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WAYSON DANIEL BOONE</w:t>
              </w:r>
            </w:hyperlink>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4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gridSpan w:val="6"/>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40" w:type="dxa"/>
            <w:vAlign w:val="bottom"/>
            <w:gridSpan w:val="6"/>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600" w:type="dxa"/>
            <w:vAlign w:val="bottom"/>
            <w:gridSpan w:val="2"/>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04/20/2017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600" w:type="dxa"/>
            <w:vAlign w:val="bottom"/>
            <w:gridSpan w:val="2"/>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2"/>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2,152</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94,162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2"/>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4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Arial" w:cs="Arial" w:eastAsia="Arial" w:hAnsi="Arial"/>
                <w:sz w:val="18"/>
                <w:szCs w:val="18"/>
                <w:color w:val="0000FF"/>
                <w:w w:val="92"/>
              </w:rPr>
              <w:t>/s/ Kathleen Tam, attorney-in-</w:t>
            </w: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04/24/2017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fact for Daniel Boone Wayson</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20th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Daniel Boone Wayson______</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25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2019-12-04T00:51:01Z</dcterms:created>
  <dcterms:modified xsi:type="dcterms:W3CDTF">2019-12-04T00:51:01Z</dcterms:modified>
</cp:coreProperties>
</file>