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AUGUST 28, 2004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NEVADA</w:t>
            </w:r>
          </w:p>
        </w:tc>
        <w:tc>
          <w:tcPr>
            <w:tcW w:w="1480" w:type="dxa"/>
            <w:vAlign w:val="bottom"/>
          </w:tcPr>
          <w:p>
            <w:pPr>
              <w:spacing w:after="0"/>
              <w:rPr>
                <w:sz w:val="17"/>
                <w:szCs w:val="17"/>
                <w:color w:val="auto"/>
              </w:rPr>
            </w:pP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000-50028</w:t>
            </w:r>
          </w:p>
        </w:tc>
        <w:tc>
          <w:tcPr>
            <w:tcW w:w="2380" w:type="dxa"/>
            <w:vAlign w:val="bottom"/>
          </w:tcPr>
          <w:p>
            <w:pPr>
              <w:ind w:left="680"/>
              <w:spacing w:after="0"/>
              <w:rPr>
                <w:sz w:val="20"/>
                <w:szCs w:val="20"/>
                <w:color w:val="auto"/>
              </w:rPr>
            </w:pPr>
            <w:r>
              <w:rPr>
                <w:rFonts w:ascii="Courier New" w:cs="Courier New" w:eastAsia="Courier New" w:hAnsi="Courier New"/>
                <w:sz w:val="18"/>
                <w:szCs w:val="18"/>
                <w:color w:val="auto"/>
              </w:rPr>
              <w:t>46-0484987</w:t>
            </w:r>
          </w:p>
        </w:tc>
        <w:tc>
          <w:tcPr>
            <w:tcW w:w="0" w:type="dxa"/>
            <w:vAlign w:val="bottom"/>
          </w:tcPr>
          <w:p>
            <w:pPr>
              <w:spacing w:after="0"/>
              <w:rPr>
                <w:sz w:val="1"/>
                <w:szCs w:val="1"/>
                <w:color w:val="auto"/>
              </w:rPr>
            </w:pPr>
          </w:p>
        </w:tc>
      </w:tr>
      <w:tr>
        <w:trPr>
          <w:trHeight w:val="203"/>
        </w:trPr>
        <w:tc>
          <w:tcPr>
            <w:tcW w:w="3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w:t>
            </w:r>
          </w:p>
        </w:tc>
        <w:tc>
          <w:tcPr>
            <w:tcW w:w="2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Incorporation)</w:t>
            </w:r>
          </w:p>
        </w:tc>
        <w:tc>
          <w:tcPr>
            <w:tcW w:w="148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File Number)</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3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3131 LAS VEGAS BOULEVARD SOUTH</w:t>
            </w:r>
          </w:p>
        </w:tc>
        <w:tc>
          <w:tcPr>
            <w:tcW w:w="1680" w:type="dxa"/>
            <w:vAlign w:val="bottom"/>
          </w:tcPr>
          <w:p>
            <w:pPr>
              <w:spacing w:after="0"/>
              <w:rPr>
                <w:sz w:val="24"/>
                <w:szCs w:val="24"/>
                <w:color w:val="auto"/>
              </w:rPr>
            </w:pPr>
          </w:p>
        </w:tc>
        <w:tc>
          <w:tcPr>
            <w:tcW w:w="238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89109</w:t>
            </w:r>
          </w:p>
        </w:tc>
        <w:tc>
          <w:tcPr>
            <w:tcW w:w="0" w:type="dxa"/>
            <w:vAlign w:val="bottom"/>
          </w:tcPr>
          <w:p>
            <w:pPr>
              <w:spacing w:after="0"/>
              <w:rPr>
                <w:sz w:val="1"/>
                <w:szCs w:val="1"/>
                <w:color w:val="auto"/>
              </w:rPr>
            </w:pP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LAS VEGAS,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NEVADA</w:t>
            </w:r>
          </w:p>
        </w:tc>
        <w:tc>
          <w:tcPr>
            <w:tcW w:w="168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(Address of Principal</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Executive Offices)</w:t>
            </w:r>
          </w:p>
        </w:tc>
        <w:tc>
          <w:tcPr>
            <w:tcW w:w="2380" w:type="dxa"/>
            <w:vAlign w:val="bottom"/>
          </w:tcPr>
          <w:p>
            <w:pPr>
              <w:ind w:left="68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546"/>
        </w:trPr>
        <w:tc>
          <w:tcPr>
            <w:tcW w:w="2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(702)</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770-7555</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obligations of the registrant under any of the following provisions:</w:t>
      </w:r>
    </w:p>
    <w:p>
      <w:pPr>
        <w:spacing w:after="0" w:line="66" w:lineRule="exact"/>
        <w:rPr>
          <w:sz w:val="24"/>
          <w:szCs w:val="24"/>
          <w:color w:val="auto"/>
        </w:rPr>
      </w:pPr>
    </w:p>
    <w:p>
      <w:pPr>
        <w:ind w:left="640" w:right="2419" w:hanging="632"/>
        <w:spacing w:after="0" w:line="347" w:lineRule="auto"/>
        <w:tabs>
          <w:tab w:leader="none" w:pos="3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8" w:lineRule="exact"/>
        <w:rPr>
          <w:sz w:val="24"/>
          <w:szCs w:val="24"/>
          <w:color w:val="auto"/>
        </w:rPr>
      </w:pPr>
    </w:p>
    <w:p>
      <w:pPr>
        <w:ind w:left="640" w:right="2199" w:hanging="632"/>
        <w:spacing w:after="0" w:line="347" w:lineRule="auto"/>
        <w:tabs>
          <w:tab w:leader="none" w:pos="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8" w:lineRule="exact"/>
        <w:rPr>
          <w:sz w:val="24"/>
          <w:szCs w:val="24"/>
          <w:color w:val="auto"/>
        </w:rPr>
      </w:pPr>
    </w:p>
    <w:p>
      <w:pPr>
        <w:ind w:left="640" w:right="2519" w:hanging="632"/>
        <w:spacing w:after="0" w:line="347" w:lineRule="auto"/>
        <w:tabs>
          <w:tab w:leader="none" w:pos="3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18" w:lineRule="exact"/>
        <w:rPr>
          <w:sz w:val="24"/>
          <w:szCs w:val="24"/>
          <w:color w:val="auto"/>
        </w:rPr>
      </w:pPr>
    </w:p>
    <w:p>
      <w:pPr>
        <w:ind w:left="640" w:right="2519" w:hanging="632"/>
        <w:spacing w:after="0" w:line="347" w:lineRule="auto"/>
        <w:tabs>
          <w:tab w:leader="none" w:pos="3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2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line="402" w:lineRule="auto"/>
        <w:rPr>
          <w:sz w:val="20"/>
          <w:szCs w:val="20"/>
          <w:color w:val="auto"/>
        </w:rPr>
      </w:pPr>
      <w:r>
        <w:rPr>
          <w:rFonts w:ascii="Courier New" w:cs="Courier New" w:eastAsia="Courier New" w:hAnsi="Courier New"/>
          <w:sz w:val="16"/>
          <w:szCs w:val="16"/>
          <w:color w:val="auto"/>
        </w:rPr>
        <w:t>Item 1.01 -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right="4099" w:hanging="210"/>
        <w:spacing w:after="0" w:line="402" w:lineRule="auto"/>
        <w:rPr>
          <w:sz w:val="20"/>
          <w:szCs w:val="20"/>
          <w:color w:val="auto"/>
        </w:rPr>
      </w:pPr>
      <w:r>
        <w:rPr>
          <w:rFonts w:ascii="Courier New" w:cs="Courier New" w:eastAsia="Courier New" w:hAnsi="Courier New"/>
          <w:sz w:val="16"/>
          <w:szCs w:val="16"/>
          <w:color w:val="auto"/>
        </w:rPr>
        <w:t>Entry into a Material Definitive Agreement. -------------------------------------------</w:t>
      </w:r>
    </w:p>
    <w:p>
      <w:pPr>
        <w:spacing w:after="0" w:line="1" w:lineRule="exact"/>
        <w:rPr>
          <w:sz w:val="24"/>
          <w:szCs w:val="24"/>
          <w:color w:val="auto"/>
        </w:rPr>
      </w:pPr>
    </w:p>
    <w:p>
      <w:pPr>
        <w:sectPr>
          <w:pgSz w:w="11900" w:h="16838" w:orient="portrait"/>
          <w:cols w:equalWidth="0" w:num="2">
            <w:col w:w="1160" w:space="420"/>
            <w:col w:w="8639"/>
          </w:cols>
          <w:pgMar w:left="240" w:top="420" w:right="1440" w:bottom="0" w:gutter="0" w:footer="0" w:header="0"/>
          <w:type w:val="continuous"/>
        </w:sectPr>
      </w:pPr>
    </w:p>
    <w:p>
      <w:pPr>
        <w:ind w:right="1879" w:firstLine="1369"/>
        <w:spacing w:after="0" w:line="245" w:lineRule="auto"/>
        <w:rPr>
          <w:sz w:val="20"/>
          <w:szCs w:val="20"/>
          <w:color w:val="auto"/>
        </w:rPr>
      </w:pPr>
      <w:r>
        <w:rPr>
          <w:rFonts w:ascii="Courier New" w:cs="Courier New" w:eastAsia="Courier New" w:hAnsi="Courier New"/>
          <w:sz w:val="18"/>
          <w:szCs w:val="18"/>
          <w:color w:val="auto"/>
        </w:rPr>
        <w:t>Between August 28, 2004 and September 1, 2004, Wynn Resorts, Limited ("Wynn Resorts") and Wynn Resorts International, Ltd., a subsidiary of Wynn Resorts, entered into agreements with the third parties named in Item 9.01 owning 17.5% of the indirect economic interests in Wynn Resorts (Macau), S.A. pursuant to which those interests will be exchanged for a total of 1,333,333 shares of Wynn Resorts' common stock. Mr. Wong Chi Seng, one of the third parties and the current Executive Director of Wynn Resorts (Macau), S.A., will continue to serve as Executive Director, and own a 10% voting interest in Wynn Resorts (Macau), S.A. Mr. Wong's interest will provide nominal preferential annual dividends and capital distributions of up to one Macau pataca (US$0.12). Upon the closing of the transactions, Wynn Resorts will indirectly own all other economic interests in Wynn Resorts (Macau), S.A. The third parties received registration rights obligating Wynn Resorts to file a shelf registration statement with respect to the shares received. The closing is subject to customary conditions and to the effectiveness of the registration statement.</w:t>
      </w:r>
    </w:p>
    <w:p>
      <w:pPr>
        <w:sectPr>
          <w:pgSz w:w="11900" w:h="16838" w:orient="portrait"/>
          <w:cols w:equalWidth="0" w:num="1">
            <w:col w:w="10219"/>
          </w:cols>
          <w:pgMar w:left="240" w:top="420" w:right="1440" w:bottom="0" w:gutter="0" w:footer="0" w:header="0"/>
          <w:type w:val="continuous"/>
        </w:sectPr>
      </w:pPr>
    </w:p>
    <w:bookmarkStart w:id="1" w:name="page2"/>
    <w:bookmarkEnd w:id="1"/>
    <w:p>
      <w:pPr>
        <w:spacing w:after="0" w:line="402" w:lineRule="auto"/>
        <w:rPr>
          <w:sz w:val="20"/>
          <w:szCs w:val="20"/>
          <w:color w:val="auto"/>
        </w:rPr>
      </w:pPr>
      <w:r>
        <w:rPr>
          <w:rFonts w:ascii="Courier New" w:cs="Courier New" w:eastAsia="Courier New" w:hAnsi="Courier New"/>
          <w:sz w:val="16"/>
          <w:szCs w:val="16"/>
          <w:color w:val="auto"/>
        </w:rPr>
        <w:t>Item 3.02 -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Unregistered Sales of Equity Securities.</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160" w:space="220"/>
            <w:col w:w="8839"/>
          </w:cols>
          <w:pgMar w:left="240" w:top="312" w:right="1440" w:bottom="1440" w:gutter="0" w:footer="0" w:header="0"/>
        </w:sectPr>
      </w:pPr>
    </w:p>
    <w:p>
      <w:pPr>
        <w:jc w:val="both"/>
        <w:ind w:right="1999" w:firstLine="1369"/>
        <w:spacing w:after="0" w:line="420" w:lineRule="auto"/>
        <w:rPr>
          <w:sz w:val="20"/>
          <w:szCs w:val="20"/>
          <w:color w:val="auto"/>
        </w:rPr>
      </w:pPr>
      <w:r>
        <w:rPr>
          <w:rFonts w:ascii="Courier New" w:cs="Courier New" w:eastAsia="Courier New" w:hAnsi="Courier New"/>
          <w:sz w:val="16"/>
          <w:szCs w:val="16"/>
          <w:color w:val="auto"/>
        </w:rPr>
        <w:t>Reference is made to Item 1.01. The sales will be made in private placements pursuant to Section 4(2) of the Securities Act of 1933, as amended.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9.01</w:t>
            </w:r>
          </w:p>
        </w:tc>
        <w:tc>
          <w:tcPr>
            <w:tcW w:w="47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Financial Statements and Exhibits.</w:t>
            </w: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78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Exhibits:</w:t>
            </w:r>
          </w:p>
        </w:tc>
        <w:tc>
          <w:tcPr>
            <w:tcW w:w="2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Exhibit</w:t>
            </w:r>
          </w:p>
        </w:tc>
        <w:tc>
          <w:tcPr>
            <w:tcW w:w="2480" w:type="dxa"/>
            <w:vAlign w:val="bottom"/>
            <w:vMerge w:val="restart"/>
          </w:tcPr>
          <w:p>
            <w:pPr>
              <w:ind w:left="440"/>
              <w:spacing w:after="0"/>
              <w:rPr>
                <w:sz w:val="20"/>
                <w:szCs w:val="20"/>
                <w:color w:val="auto"/>
              </w:rPr>
            </w:pPr>
            <w:r>
              <w:rPr>
                <w:rFonts w:ascii="Courier New" w:cs="Courier New" w:eastAsia="Courier New" w:hAnsi="Courier New"/>
                <w:sz w:val="18"/>
                <w:szCs w:val="18"/>
                <w:color w:val="auto"/>
              </w:rPr>
              <w:t>Description</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w:t>
            </w:r>
          </w:p>
        </w:tc>
        <w:tc>
          <w:tcPr>
            <w:tcW w:w="24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*4.1</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Registration Rights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Agreement, dated</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8"/>
              </w:rPr>
              <w:t>of August 28, 2004,</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and between Wynn</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60" w:type="dxa"/>
            <w:vAlign w:val="bottom"/>
            <w:gridSpan w:val="3"/>
          </w:tcPr>
          <w:p>
            <w:pPr>
              <w:ind w:left="440"/>
              <w:spacing w:after="0"/>
              <w:rPr>
                <w:sz w:val="20"/>
                <w:szCs w:val="20"/>
                <w:color w:val="auto"/>
              </w:rPr>
            </w:pPr>
            <w:r>
              <w:rPr>
                <w:rFonts w:ascii="Courier New" w:cs="Courier New" w:eastAsia="Courier New" w:hAnsi="Courier New"/>
                <w:sz w:val="18"/>
                <w:szCs w:val="18"/>
                <w:color w:val="auto"/>
                <w:w w:val="97"/>
              </w:rPr>
              <w:t>Resorts, Limited and S.H.W. &amp; Co. Limited</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*4.2</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Registration Rights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Agreement, dated</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of September 1, 2004, by and between</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Wynn</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60" w:type="dxa"/>
            <w:vAlign w:val="bottom"/>
            <w:gridSpan w:val="3"/>
          </w:tcPr>
          <w:p>
            <w:pPr>
              <w:ind w:left="440"/>
              <w:spacing w:after="0"/>
              <w:rPr>
                <w:sz w:val="20"/>
                <w:szCs w:val="20"/>
                <w:color w:val="auto"/>
              </w:rPr>
            </w:pPr>
            <w:r>
              <w:rPr>
                <w:rFonts w:ascii="Courier New" w:cs="Courier New" w:eastAsia="Courier New" w:hAnsi="Courier New"/>
                <w:sz w:val="18"/>
                <w:szCs w:val="18"/>
                <w:color w:val="auto"/>
                <w:w w:val="97"/>
              </w:rPr>
              <w:t>Resorts, Limited and Classic Wave Limited</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*4.3</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Registration Rights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Agreement, dated</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of September 1, 2004, by and between</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Wynn</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7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Resorts, Limited and L'Arc de Triomphe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rPr>
              <w:t>Limited</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*4.4</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Registration Rights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Agreement, dated</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of September 1, 2004, by and between</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Wynn</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8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Resorts, Limited and SKKG Limited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*10.1</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Exchange Agreement,</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dated as of August</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28, 2004, by and among Wynn Resorts,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Limited, Wynn Resorts International,</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8"/>
              </w:rPr>
              <w:t>Ltd., Wong Chi Seng</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S.H.W. &amp; Co.</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rPr>
              <w:t>Limited</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*10.2</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Exchange Agreement,</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dated as of September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1, 2004, by and among Wynn Resorts,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Limited, Wynn Resorts International,</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8"/>
              </w:rPr>
              <w:t>Ltd., Kwan Yan Ming</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Classic Wave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rPr>
              <w:t>Limited</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*10.3</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Exchange Agreement,</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dated as of September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1, 2004, by and among Wynn Resorts,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Limited, Wynn Resorts International,</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8"/>
              </w:rPr>
              <w:t>Ltd., Kwan Yan Ming</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and L'Arc de Triomphe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rPr>
              <w:t>Limited</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Exchange Agreement,</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dated as of September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1, 2004, by and among Wynn Resorts,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8"/>
              </w:rPr>
              <w:t>Limited, Wynn Resorts International,</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w w:val="98"/>
              </w:rPr>
              <w:t>Ltd., Wong Chi Seng</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and SKKG Limited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099" w:hanging="104"/>
        <w:spacing w:after="0" w:line="257" w:lineRule="auto"/>
        <w:rPr>
          <w:sz w:val="20"/>
          <w:szCs w:val="20"/>
          <w:color w:val="auto"/>
        </w:rPr>
      </w:pPr>
      <w:r>
        <w:rPr>
          <w:rFonts w:ascii="Courier New" w:cs="Courier New" w:eastAsia="Courier New" w:hAnsi="Courier New"/>
          <w:sz w:val="18"/>
          <w:szCs w:val="18"/>
          <w:color w:val="auto"/>
        </w:rPr>
        <w:t>*Previously filed with the Registration Statement on Form S-3 filed by the Registrant on September 1, 2004</w:t>
      </w:r>
    </w:p>
    <w:p>
      <w:pPr>
        <w:ind w:left="2220"/>
        <w:spacing w:after="0"/>
        <w:rPr>
          <w:sz w:val="20"/>
          <w:szCs w:val="20"/>
          <w:color w:val="auto"/>
        </w:rPr>
      </w:pPr>
      <w:r>
        <w:rPr>
          <w:rFonts w:ascii="Courier New" w:cs="Courier New" w:eastAsia="Courier New" w:hAnsi="Courier New"/>
          <w:sz w:val="18"/>
          <w:szCs w:val="18"/>
          <w:color w:val="auto"/>
        </w:rPr>
        <w:t>(File No. 333-118741)</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2, 2004</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Strzemp</w:t>
      </w:r>
    </w:p>
    <w:p>
      <w:pPr>
        <w:spacing w:after="0" w:line="3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Strzemp</w:t>
      </w:r>
    </w:p>
    <w:p>
      <w:pPr>
        <w:ind w:left="474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474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691" w:right="1440" w:bottom="144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8"/>
          <w:szCs w:val="18"/>
          <w:color w:val="auto"/>
        </w:rPr>
        <w:t>EXHIBIT INDEX</w:t>
      </w:r>
    </w:p>
    <w:p>
      <w:pPr>
        <w:spacing w:after="0" w:line="3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2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Description</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22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Registration Rights Agreement, dated as of August 28,</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2004, by and between Wynn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Resorts, Limited and S.H.W. &amp;</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Co. 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Registration Rights Agreement, dated as of September 1,</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2004, by and between Wynn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Resorts, Limited and Classic</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Wave 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Registration Rights Agreement, dated as of September 1,</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2004, by and between Wynn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Resorts, Limited and L'Arc de</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Triomphe 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Registration Rights Agreement, dated as of September 1,</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2004, by and between Wynn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Resorts, Limited and SKKG</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w w:val="98"/>
              </w:rPr>
              <w:t>Exchange Agreement, dated</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as of August 28, 2004, by and</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among Wynn Resorts, Limited, Wynn Resorts International,</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Ltd., Wong Chi Seng and S.H.W. &amp; Co. Limited</w:t>
            </w: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w w:val="98"/>
              </w:rPr>
              <w:t>Exchange Agreement, dated</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as of September 1, 2004, by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among Wynn Resorts, Limited, Wynn Resorts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International, Ltd., Kwan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Yan Ming and Classic Wave</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w w:val="98"/>
              </w:rPr>
              <w:t>Exchange Agreement, dated</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as of September 1, 2004, by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among Wynn Resorts, Limited, Wynn Resorts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International, Ltd., Kwan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Yan Ming and L'Arc de Triomphe</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Limited</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w w:val="98"/>
              </w:rPr>
              <w:t>Exchange Agreement, dated</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as of September 1, 2004, by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among Wynn Resorts, Limited, Wynn Resorts</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w w:val="98"/>
              </w:rPr>
              <w:t>International, Ltd., Wong</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Chi Seng and SKKG Limited</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right="2419" w:hanging="220"/>
        <w:spacing w:after="0" w:line="420" w:lineRule="auto"/>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Registration Statement on Form S-3 filed by the Registrant on September 1, 2004 (File No. 333-118741)</w:t>
      </w:r>
    </w:p>
    <w:sectPr>
      <w:pgSz w:w="11900" w:h="16838" w:orient="portrait"/>
      <w:cols w:equalWidth="0" w:num="1">
        <w:col w:w="9579"/>
      </w:cols>
      <w:pgMar w:left="88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2019-12-15T05:46:32Z</dcterms:created>
  <dcterms:modified xsi:type="dcterms:W3CDTF">2019-12-15T05:46:32Z</dcterms:modified>
</cp:coreProperties>
</file>