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to</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000-50028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48"/>
        </w:rPr>
        <w:t>WYNN RESORTS, LIMITED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3131 Las Vegas Boulevard South - Las Vegas, Nevada 89109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5306" w:type="dxa"/>
        <w:jc w:val="left"/>
        <w:tblInd w:w="0" w:type="dxa"/>
        <w:tblLayout w:type="fixed"/>
        <w:tblCellMar>
          <w:top w:w="28" w:type="dxa"/>
          <w:left w:w="28" w:type="dxa"/>
          <w:bottom w:w="28" w:type="dxa"/>
          <w:right w:w="28" w:type="dxa"/>
        </w:tblCellMar>
      </w:tblPr>
      <w:tblGrid>
        <w:gridCol w:w="973"/>
        <w:gridCol w:w="858"/>
        <w:gridCol w:w="868"/>
        <w:gridCol w:w="109"/>
        <w:gridCol w:w="109"/>
        <w:gridCol w:w="109"/>
        <w:gridCol w:w="666"/>
        <w:gridCol w:w="666"/>
        <w:gridCol w:w="948"/>
      </w:tblGrid>
      <w:tr>
        <w:trPr/>
        <w:tc>
          <w:tcPr>
            <w:tcW w:w="9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Outstanding at July 31, 2026</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102,973,891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3033"/>
        <w:gridCol w:w="2989"/>
        <w:gridCol w:w="2999"/>
        <w:gridCol w:w="109"/>
        <w:gridCol w:w="109"/>
        <w:gridCol w:w="15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
              <w:r>
                <w:rPr>
                  <w:rStyle w:val="InternetLink"/>
                  <w:rFonts w:ascii="Times New Roman;serif" w:hAnsi="Times New Roman;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
              <w:r>
                <w:rPr>
                  <w:rStyle w:val="InternetLink"/>
                  <w:rFonts w:ascii="Times New Roman;serif" w:hAnsi="Times New Roman;serif"/>
                  <w:b w:val="false"/>
                  <w:color w:val="0000FF"/>
                  <w:sz w:val="20"/>
                  <w:u w:val="single"/>
                </w:rPr>
                <w:t>Financial Statements</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6">
              <w:r>
                <w:rPr>
                  <w:rStyle w:val="InternetLink"/>
                  <w:rFonts w:ascii="Times New Roman;serif" w:hAnsi="Times New Roman;serif"/>
                  <w:b w:val="false"/>
                  <w:color w:val="0000FF"/>
                  <w:sz w:val="20"/>
                  <w:u w:val="single"/>
                </w:rPr>
                <w:t>Condensed Consolidated Balance Sheets - June 30, 2026 (unaudited) and December 31,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9">
              <w:r>
                <w:rPr>
                  <w:rStyle w:val="InternetLink"/>
                  <w:rFonts w:ascii="Times New Roman;serif" w:hAnsi="Times New Roman;serif"/>
                  <w:b w:val="false"/>
                  <w:color w:val="0000FF"/>
                  <w:sz w:val="20"/>
                  <w:u w:val="single"/>
                </w:rPr>
                <w:t>Condensed Consolidated Statements of Operations (unaudited) - Three and Six Months Ended June 30, 2026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22">
              <w:r>
                <w:rPr>
                  <w:rStyle w:val="InternetLink"/>
                  <w:rFonts w:ascii="Times New Roman;serif" w:hAnsi="Times New Roman;serif"/>
                  <w:b w:val="false"/>
                  <w:color w:val="0000FF"/>
                  <w:sz w:val="20"/>
                  <w:u w:val="single"/>
                </w:rPr>
                <w:t>Condensed Consolidated Statements of Comprehensive Income (unaudited) - Three and Six Months Ended June 30, 2026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25">
              <w:r>
                <w:rPr>
                  <w:rStyle w:val="InternetLink"/>
                  <w:rFonts w:ascii="Times New Roman;serif" w:hAnsi="Times New Roman;serif"/>
                  <w:b w:val="false"/>
                  <w:color w:val="0000FF"/>
                  <w:sz w:val="20"/>
                  <w:u w:val="single"/>
                </w:rPr>
                <w:t>Condensed Consolidated Statements of Stockholders’ Deficit (unaudited) - Three and Six Months Ended June 30, 2026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34">
              <w:r>
                <w:rPr>
                  <w:rStyle w:val="InternetLink"/>
                  <w:rFonts w:ascii="Times New Roman;serif" w:hAnsi="Times New Roman;serif"/>
                  <w:b w:val="false"/>
                  <w:color w:val="0000FF"/>
                  <w:sz w:val="20"/>
                  <w:u w:val="single"/>
                </w:rPr>
                <w:t>Condensed Consolidated Statements of Cash Flows (unaudited) - Six Months Ended June 30, 2026 and 2025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34">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cdad2b94eec444e91091f2dd117d3a1_37">
              <w:r>
                <w:rPr>
                  <w:rStyle w:val="InternetLink"/>
                  <w:rFonts w:ascii="Times New Roman;serif" w:hAnsi="Times New Roman;serif"/>
                  <w:b w:val="false"/>
                  <w:color w:val="0000FF"/>
                  <w:sz w:val="20"/>
                  <w:u w:val="single"/>
                </w:rPr>
                <w:t>Notes to Condensed Consolidated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37">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00">
              <w:r>
                <w:rPr>
                  <w:rStyle w:val="InternetLink"/>
                  <w:rFonts w:ascii="Times New Roman;serif" w:hAnsi="Times New Roman;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00">
              <w:r>
                <w:rPr>
                  <w:rStyle w:val="InternetLink"/>
                  <w:rFonts w:ascii="Times New Roman;serif" w:hAnsi="Times New Roman;serif"/>
                  <w:b w:val="false"/>
                  <w:color w:val="0000FF"/>
                  <w:sz w:val="20"/>
                  <w:u w:val="single"/>
                </w:rPr>
                <w:t>27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27">
              <w:r>
                <w:rPr>
                  <w:rStyle w:val="InternetLink"/>
                  <w:rFonts w:ascii="Times New Roman;serif" w:hAnsi="Times New Roman;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27">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27">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0">
              <w:r>
                <w:rPr>
                  <w:rStyle w:val="InternetLink"/>
                  <w:rFonts w:ascii="Times New Roman;serif" w:hAnsi="Times New Roman;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0">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30">
              <w:r>
                <w:rPr>
                  <w:rStyle w:val="InternetLink"/>
                  <w:rFonts w:ascii="Times New Roman;serif" w:hAnsi="Times New Roman;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6">
              <w:r>
                <w:rPr>
                  <w:rStyle w:val="InternetLink"/>
                  <w:rFonts w:ascii="Times New Roman;serif" w:hAnsi="Times New Roman;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6">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36">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9">
              <w:r>
                <w:rPr>
                  <w:rStyle w:val="InternetLink"/>
                  <w:rFonts w:ascii="Times New Roman;serif" w:hAnsi="Times New Roman;serif"/>
                  <w:b w:val="false"/>
                  <w:color w:val="0000FF"/>
                  <w:sz w:val="20"/>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39">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39">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2">
              <w:r>
                <w:rPr>
                  <w:rStyle w:val="InternetLink"/>
                  <w:rFonts w:ascii="Times New Roman;serif" w:hAnsi="Times New Roman;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2">
              <w:r>
                <w:rPr>
                  <w:rStyle w:val="InternetLink"/>
                  <w:rFonts w:ascii="Times New Roman;serif" w:hAnsi="Times New Roman;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42">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5">
              <w:r>
                <w:rPr>
                  <w:rStyle w:val="InternetLink"/>
                  <w:rFonts w:ascii="Times New Roman;serif" w:hAnsi="Times New Roman;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5">
              <w:r>
                <w:rPr>
                  <w:rStyle w:val="InternetLink"/>
                  <w:rFonts w:ascii="Times New Roman;serif" w:hAnsi="Times New Roman;serif"/>
                  <w:b w:val="false"/>
                  <w:color w:val="0000FF"/>
                  <w:sz w:val="20"/>
                  <w:u w:val="single"/>
                </w:rPr>
                <w:t>Default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42">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8">
              <w:r>
                <w:rPr>
                  <w:rStyle w:val="InternetLink"/>
                  <w:rFonts w:ascii="Times New Roman;serif" w:hAnsi="Times New Roman;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48">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42">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51">
              <w:r>
                <w:rPr>
                  <w:rStyle w:val="InternetLink"/>
                  <w:rFonts w:ascii="Times New Roman;serif" w:hAnsi="Times New Roman;serif"/>
                  <w:b w:val="false"/>
                  <w:color w:val="0000FF"/>
                  <w:sz w:val="20"/>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51">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51">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57">
              <w:r>
                <w:rPr>
                  <w:rStyle w:val="InternetLink"/>
                  <w:rFonts w:ascii="Times New Roman;serif" w:hAnsi="Times New Roman;serif"/>
                  <w:b w:val="false"/>
                  <w:color w:val="0000FF"/>
                  <w:sz w:val="20"/>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57">
              <w:r>
                <w:rPr>
                  <w:rStyle w:val="InternetLink"/>
                  <w:rFonts w:ascii="Times New Roman;serif" w:hAnsi="Times New Roman;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57">
              <w:r>
                <w:rPr>
                  <w:rStyle w:val="InternetLink"/>
                  <w:rFonts w:ascii="Times New Roman;serif" w:hAnsi="Times New Roman;serif"/>
                  <w:b w:val="false"/>
                  <w:color w:val="0000FF"/>
                  <w:sz w:val="20"/>
                  <w:u w:val="single"/>
                </w:rPr>
                <w:t>50</w:t>
              </w:r>
            </w:hyperlink>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cdad2b94eec444e91091f2dd117d3a1_160">
              <w:r>
                <w:rPr>
                  <w:rStyle w:val="InternetLink"/>
                  <w:rFonts w:ascii="Times New Roman;serif" w:hAnsi="Times New Roman;serif"/>
                  <w:b w:val="false"/>
                  <w:color w:val="0000FF"/>
                  <w:sz w:val="20"/>
                  <w:u w:val="single"/>
                </w:rPr>
                <w:t>Signature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dad2b94eec444e91091f2dd117d3a1_160">
              <w:r>
                <w:rPr>
                  <w:rStyle w:val="InternetLink"/>
                  <w:rFonts w:ascii="Times New Roman;serif" w:hAnsi="Times New Roman;serif"/>
                  <w:b w:val="false"/>
                  <w:color w:val="0000FF"/>
                  <w:sz w:val="20"/>
                  <w:u w:val="single"/>
                </w:rPr>
                <w:t>51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8"/>
        <w:gridCol w:w="2139"/>
        <w:gridCol w:w="2151"/>
        <w:gridCol w:w="196"/>
        <w:gridCol w:w="976"/>
        <w:gridCol w:w="109"/>
        <w:gridCol w:w="109"/>
        <w:gridCol w:w="109"/>
        <w:gridCol w:w="109"/>
        <w:gridCol w:w="212"/>
        <w:gridCol w:w="1058"/>
        <w:gridCol w:w="169"/>
      </w:tblGrid>
      <w:tr>
        <w:trPr/>
        <w:tc>
          <w:tcPr>
            <w:tcW w:w="286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$54,886 and $45,645,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2,653,782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2,683,521</w:t>
            </w:r>
            <w:r>
              <w:rPr>
                <w:color w:val="000000"/>
              </w:rPr>
              <w:t>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6,625,922 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1,778,052 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13,159,235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13,108,117</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construction payables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taxes payable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2,908,557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1,643,178</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operating lease liabilities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1,629,117 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14,065,902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14,139,396</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15)</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40,000,000 shares authorized; zero shares issued and outstanding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400,000,000 shares authorized; 135,316,099 and 134,326,464 shares issued; 103,405,133 and 103,989,787 shares outstanding, respectively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31,910,966 and 30,336,677 shares, respectively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(2,621,394)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3,801,934 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(1,454,239)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Wynn Resorts, Limited stockholders' deficit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(169,451)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(275,492)</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(755,787)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(906,667)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(1,031,279)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13,159,235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13,108,117</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0"/>
        <w:gridCol w:w="1249"/>
        <w:gridCol w:w="125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1,856,933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1,737,797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3,713,695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3,438,194</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1,559,345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1,473,197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3,133,503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2,905,005</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264,600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580,192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533,189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(353,213)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359,396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179,976</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158,366</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260,516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138,965</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93"/>
        <w:gridCol w:w="1466"/>
        <w:gridCol w:w="147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6"/>
      </w:tblGrid>
      <w:tr>
        <w:trPr/>
        <w:tc>
          <w:tcPr>
            <w:tcW w:w="169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and after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183,637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95,067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346,691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180,102</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Wynn Resorts, Limited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140,821</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79,863</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270,388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155,237</w:t>
            </w:r>
            <w:r>
              <w:rPr>
                <w:color w:val="000000"/>
              </w:rPr>
              <w:t>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577"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63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April 1, 2026</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103,745,164 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(2,693,428)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3,834,138 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(1,359,857)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(211,822)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(730,518)</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(942,340)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(31,341)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(885,926)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June 30, 2026</w:t>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103,405,133</w:t>
            </w:r>
            <w:r>
              <w:rPr>
                <w:color w:val="000000"/>
              </w:rPr>
              <w:t>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1,353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(2,784,163)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3,852,236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6,736</w:t>
            </w: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(1,245,613)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(169,451)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(737,216)</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(906,667)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08"/>
        <w:gridCol w:w="657"/>
        <w:gridCol w:w="126"/>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April 1, 2025</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105,869,624 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(2,455,134)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(1,630,831)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(360,678)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(741,243)</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(1,101,921)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160,677 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(2,052,449)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June 30, 2025</w:t>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103,976,829</w:t>
            </w:r>
            <w:r>
              <w:rPr>
                <w:color w:val="000000"/>
              </w:rPr>
              <w:t>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(2,618,638)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3,755,873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10,572</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(1,590,690)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(441,540)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(766,434)</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(1,207,974)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January 1, 2026</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103,989,787 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(2,621,394)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3,801,934 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(1,454,239)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(275,492)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(755,787)</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(1,031,279)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1,024,517 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(1,574,289)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June 30, 2026</w:t>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103,405,133</w:t>
            </w:r>
            <w:r>
              <w:rPr>
                <w:color w:val="000000"/>
              </w:rPr>
              <w:t>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1,353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(2,784,163)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3,852,236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6,736</w:t>
            </w:r>
            <w:r>
              <w:rPr>
                <w:color w:val="000000"/>
              </w:rPr>
              <w:t>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(1,245,613)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(169,451)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(737,216)</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(906,667)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08"/>
        <w:gridCol w:w="657"/>
        <w:gridCol w:w="126"/>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January 1, 2025</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107,821,567 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(2,241,607)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3,698,800 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(1,676,990)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(744,442)</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(968,603)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721,583 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(11,574)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(4,557,009)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June 30, 2025</w:t>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103,976,829</w:t>
            </w:r>
            <w:r>
              <w:rPr>
                <w:color w:val="000000"/>
              </w:rPr>
              <w:t>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1,343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(2,618,638)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3,755,873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10,572</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(1,590,690)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(441,540)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(766,434)</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(1,207,974)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43" w:type="dxa"/>
        <w:jc w:val="center"/>
        <w:tblInd w:w="0" w:type="dxa"/>
        <w:tblLayout w:type="fixed"/>
        <w:tblCellMar>
          <w:top w:w="28" w:type="dxa"/>
          <w:left w:w="28" w:type="dxa"/>
          <w:bottom w:w="28" w:type="dxa"/>
          <w:right w:w="28" w:type="dxa"/>
        </w:tblCellMar>
      </w:tblPr>
      <w:tblGrid>
        <w:gridCol w:w="2097"/>
        <w:gridCol w:w="1839"/>
        <w:gridCol w:w="1853"/>
        <w:gridCol w:w="196"/>
        <w:gridCol w:w="886"/>
        <w:gridCol w:w="109"/>
        <w:gridCol w:w="109"/>
        <w:gridCol w:w="109"/>
        <w:gridCol w:w="109"/>
        <w:gridCol w:w="196"/>
        <w:gridCol w:w="88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538,836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of investments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maturity of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(418,888)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(456,036)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(115,126)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(515,986)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on cash, cash equivalents and restricted cash</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(8,579)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Increase (decrease) in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(441,765)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1,560,095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2,521,793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1,667,394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2,080,028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Organization</w:t>
      </w:r>
    </w:p>
    <w:p>
      <w:pPr>
        <w:pStyle w:val="TextBody"/>
        <w:bidi w:val="0"/>
        <w:spacing w:before="0" w:after="0"/>
        <w:ind w:left="0" w:right="0" w:firstLine="22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has a 40% equity interest in Island 3 AMI FZ-LLC ("Island 3"), an unconsolidated affiliate, which is constructing an integrated resort property ("Wynn Al Marjan Island") in Ras Al Khaimah, United Arab Emirates, currently expected to open in September 2027.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2 -</w:t>
      </w:r>
      <w:r>
        <w:rPr>
          <w:color w:val="000000"/>
        </w:rPr>
        <w:t>    </w:t>
      </w:r>
      <w:r>
        <w:rPr>
          <w:rFonts w:ascii="Times New Roman;serif" w:hAnsi="Times New Roman;serif"/>
          <w:b/>
          <w:color w:val="000000"/>
          <w:sz w:val="20"/>
        </w:rPr>
        <w:t>Basis of Presentation and Significant Accounting Policies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ind w:left="0" w:right="0" w:firstLine="49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United States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2026 are not necessarily indicative of results to be expected for any other interim period or the full fiscal year ending December 31, 2026. These condensed consolidated financial statements should be read in conjunction with the consolidated financial statements and notes thereto in the Company's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Gaming Taxes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$517.5 million and $452.8 million for the three months ended June 30, 2026 and 2025, respectively, and $1.03 billion and $893.5 million for the six months ended June 30, 2026 and 2025, respectively.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held $400.0 million in fixed deposits, recorded at fair value within Investments, and $127.4 million and $60.4 million in U.S. treasuries (including accrued interest), recorded at amortized cost within Investments and Long-term investments, respectively, in the Condensed Consolidated Balance Sheets. The estimated fair value of the Company's U.S. treasuries as of June 30, 2026 was approximately $187.2 million, as determined based on quoted market prices in active markets (Level 1 inputs), and the unrecognized holding loss was $0.6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held $475.0 million in fixed deposits, recorded at fair value within Investments, and $127.3 million and $67.6 million in U.S. treasuries (including accrued interest), recorded at amortized cost within Investments and Long-term investments, respectively, in the Condensed Consolidated Balance Sheets. The estimated fair value of the Company's U.S. treasuries as of December 31, 2025 was approximately $194.4 million, as determined based on quoted market prices in active markets (Level 1 inputs), and the unrecognized holding loss was $0.5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six months ended June 30, 2026 and 2025, the Company recorded no allowance for credit losses related to its investments.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investment in Island 3 and affiliated ventures (the "Al Marjan Joint Venture") using the equity method. Under the equity method, the investment's carrying value is adjusted for the Company's share of the investee's earnings and losses, capital contributions to and distributions from the investee, and capitalization of interest cost incurred by the Company during the investee's initial development period.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its share of income and loss on investments in unconsolidated affiliates as a component of Operating income within the Company's accompanying Condensed Consolidated Statements of Operations, as the Company's investments in unconsolidated affiliates are an extension of the Company's core business operations. The Company recognized a loss on investments in unconsolidated affiliates of $8.8 million and $6.2 million for the three months ended June 30, 2026 and 2025, respectively, and $16.3 million and $9.5 million for the six months ended June 30, 2026 and 2025, respectively, recorded in Pre-opening expenses within the Company's accompanying Condensed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November 2024, the Financial Accounting Standards Board (the "FASB") issued Accounting Standards Update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i/>
          <w:color w:val="000000"/>
          <w:sz w:val="20"/>
        </w:rPr>
        <w:t xml:space="preserve">(Subtopic 220-40) </w:t>
      </w:r>
      <w:r>
        <w:rPr>
          <w:rFonts w:ascii="Times New Roman;serif" w:hAnsi="Times New Roman;serif"/>
          <w:b w:val="false"/>
          <w:color w:val="000000"/>
          <w:sz w:val="20"/>
        </w:rPr>
        <w:t>("ASU 2024-03"). The standard provides guidance on expanded disclosures related to the disaggregation of income statement expenses. The standard specifically requires additional disclosure of certain costs and expenses, including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Company's adoption of ASU 2024-03 will result in additional disclosures but is not expected to have an impact on the Company's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w:t>
      </w:r>
      <w:r>
        <w:rPr>
          <w:color w:val="000000"/>
        </w:rPr>
        <w:t xml:space="preserve"> </w:t>
      </w:r>
      <w:r>
        <w:rPr>
          <w:rFonts w:ascii="Times New Roman;serif" w:hAnsi="Times New Roman;serif"/>
          <w:b w:val="false"/>
          <w:color w:val="000000"/>
          <w:sz w:val="20"/>
        </w:rPr>
        <w:t>("ASU 2025-06"), which revises the approach to accounting for internal-use software costs by eliminating all references to the stages of software development projects, thereby making the guidance adaptable to a variety of software development methodologies. ASU 2025-06 will be effective for annual periods beginning after December 15, 2027, and interim periods within those annual reporting periods, on a prospective, modified or retrospective basis, with early adoption permitted. The Company is currently evaluating the impact that this guidance will have on the Company's consolidated financial statements and related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Cash, Cash Equivalents and Restricted Cash</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consisted of the following (in thousands):</w:t>
      </w:r>
    </w:p>
    <w:tbl>
      <w:tblPr>
        <w:tblW w:w="7337" w:type="dxa"/>
        <w:jc w:val="left"/>
        <w:tblInd w:w="0" w:type="dxa"/>
        <w:tblLayout w:type="fixed"/>
        <w:tblCellMar>
          <w:top w:w="28" w:type="dxa"/>
          <w:left w:w="28" w:type="dxa"/>
          <w:bottom w:w="28" w:type="dxa"/>
          <w:right w:w="28" w:type="dxa"/>
        </w:tblCellMar>
      </w:tblPr>
      <w:tblGrid>
        <w:gridCol w:w="1503"/>
        <w:gridCol w:w="1322"/>
        <w:gridCol w:w="1330"/>
        <w:gridCol w:w="211"/>
        <w:gridCol w:w="991"/>
        <w:gridCol w:w="109"/>
        <w:gridCol w:w="109"/>
        <w:gridCol w:w="109"/>
        <w:gridCol w:w="109"/>
        <w:gridCol w:w="240"/>
        <w:gridCol w:w="1129"/>
        <w:gridCol w:w="175"/>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Cash</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1,297,417 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Cash equivalents</w:t>
            </w:r>
            <w:r>
              <w:rPr>
                <w:rFonts w:ascii="Times New Roman;serif" w:hAnsi="Times New Roman;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cash and cash equivalents </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1,573,353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1,463,442</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w:t>
            </w:r>
            <w:r>
              <w:rPr>
                <w:rFonts w:ascii="Times New Roman;serif" w:hAnsi="Times New Roman;serif"/>
                <w:b w:val="false"/>
                <w:color w:val="000000"/>
                <w:sz w:val="13"/>
              </w:rPr>
              <w:t>(3)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1,667,394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1,560,095</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Cash consists of cash on hand and bank deposits.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Cash equivalents consist of bank time deposits, U.S. government treasuries and money market funds and excludes $527.4 million and $601.8 million of short-term investments as of June 30, 2026 and December 31, 2025, respectively, as described in Note 2 - "Basis of Presentation and Significant Accounting Policies."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Restricted cash consists of cash subject to certain contractual restrictions, cash collateral associated with obligations and cash held in trusts in accordance with WML's share award plans, and as of June 30, 2026 and December 31, 2025 includes $86.7 million and $87.3 million, respectively, in the form of a first demand bank guarantee in favor of the Macau government to support the legal and contractual obligations of Wynn Resorts (Macau) S.A. ("Wynn Macau SA") through the term of Wynn Macau SA's gaming concession contract.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disclosures of the Company (in thousands):</w:t>
      </w:r>
    </w:p>
    <w:tbl>
      <w:tblPr>
        <w:tblW w:w="8528"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arising from obtaining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Receivables, net consisted of the following (in thousands): </w:t>
      </w:r>
    </w:p>
    <w:tbl>
      <w:tblPr>
        <w:tblW w:w="5747" w:type="dxa"/>
        <w:jc w:val="left"/>
        <w:tblInd w:w="0" w:type="dxa"/>
        <w:tblLayout w:type="fixed"/>
        <w:tblCellMar>
          <w:top w:w="28" w:type="dxa"/>
          <w:left w:w="28" w:type="dxa"/>
          <w:bottom w:w="28" w:type="dxa"/>
          <w:right w:w="28" w:type="dxa"/>
        </w:tblCellMar>
      </w:tblPr>
      <w:tblGrid>
        <w:gridCol w:w="982"/>
        <w:gridCol w:w="864"/>
        <w:gridCol w:w="868"/>
        <w:gridCol w:w="211"/>
        <w:gridCol w:w="841"/>
        <w:gridCol w:w="109"/>
        <w:gridCol w:w="109"/>
        <w:gridCol w:w="109"/>
        <w:gridCol w:w="109"/>
        <w:gridCol w:w="270"/>
        <w:gridCol w:w="1078"/>
        <w:gridCol w:w="19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309,500 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391,515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448,286</w:t>
            </w: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336,629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402,641</w:t>
            </w:r>
            <w:r>
              <w:rPr>
                <w:color w:val="000000"/>
              </w:rPr>
              <w:t>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approximately 70.0% and 77.5%, respectively, of the Company's markers were due from customers residing outside the U.S., primarily in Asia. Business or economic conditions or other significant events in the countries in which the Company's customers reside could affect the collectability of such receivables.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allowance for casino credit losses was 18.9% and 14.3% of gross casino receivables as of June 30, 2026 and December 31, 2025, respectively. Although the Company believes that its allowance is adequate, it is possible the estimated amounts of cash collections with respect to receivables could change. The Company’s allowances for credit losses from its hotel and other receivables were not material.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The following table shows the movement in the Company's allowance for credit losses recognized for receivables that occurred during the periods presented (in thousands):</w:t>
      </w:r>
      <w:r>
        <w:rPr>
          <w:color w:val="000000"/>
        </w:rPr>
        <w:t> </w:t>
      </w:r>
    </w:p>
    <w:tbl>
      <w:tblPr>
        <w:tblW w:w="6653" w:type="dxa"/>
        <w:jc w:val="left"/>
        <w:tblInd w:w="0" w:type="dxa"/>
        <w:tblLayout w:type="fixed"/>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73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37,694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42,917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Property and Equipment, net</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017" w:type="dxa"/>
        <w:jc w:val="left"/>
        <w:tblInd w:w="0" w:type="dxa"/>
        <w:tblLayout w:type="fixed"/>
        <w:tblCellMar>
          <w:top w:w="28" w:type="dxa"/>
          <w:left w:w="28" w:type="dxa"/>
          <w:bottom w:w="28" w:type="dxa"/>
          <w:right w:w="28" w:type="dxa"/>
        </w:tblCellMar>
      </w:tblPr>
      <w:tblGrid>
        <w:gridCol w:w="1027"/>
        <w:gridCol w:w="902"/>
        <w:gridCol w:w="906"/>
        <w:gridCol w:w="211"/>
        <w:gridCol w:w="991"/>
        <w:gridCol w:w="109"/>
        <w:gridCol w:w="109"/>
        <w:gridCol w:w="109"/>
        <w:gridCol w:w="109"/>
        <w:gridCol w:w="240"/>
        <w:gridCol w:w="1129"/>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8,708,210 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3,662,869 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14,351,882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14,135,796</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(7,509,874)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6,614,702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6,625,922</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construction in progress consisted primarily of costs capitalized for various capital enhancements at the Company's properties.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June 30, 2026 and 2025 was $152.2 million and $140.1 million, respectively, and depreciation expense for the six months ended June 30, 2026 and 2025 was $299.8 million and $282.7 million, respectively.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thousands):</w:t>
      </w:r>
    </w:p>
    <w:p>
      <w:pPr>
        <w:pStyle w:val="TextBody"/>
        <w:bidi w:val="0"/>
        <w:spacing w:lineRule="auto" w:line="288" w:before="0" w:after="0"/>
        <w:ind w:left="0" w:right="0" w:firstLine="450"/>
        <w:jc w:val="left"/>
        <w:rPr>
          <w:color w:val="000000"/>
        </w:rPr>
      </w:pPr>
      <w:r>
        <w:rPr>
          <w:color w:val="000000"/>
        </w:rPr>
        <w:t> </w:t>
      </w:r>
    </w:p>
    <w:tbl>
      <w:tblPr>
        <w:tblW w:w="10171" w:type="dxa"/>
        <w:jc w:val="left"/>
        <w:tblInd w:w="0" w:type="dxa"/>
        <w:tblLayout w:type="fixed"/>
        <w:tblCellMar>
          <w:top w:w="28" w:type="dxa"/>
          <w:left w:w="28" w:type="dxa"/>
          <w:bottom w:w="28" w:type="dxa"/>
          <w:right w:w="28" w:type="dxa"/>
        </w:tblCellMar>
      </w:tblPr>
      <w:tblGrid>
        <w:gridCol w:w="2529"/>
        <w:gridCol w:w="2225"/>
        <w:gridCol w:w="2235"/>
        <w:gridCol w:w="211"/>
        <w:gridCol w:w="991"/>
        <w:gridCol w:w="109"/>
        <w:gridCol w:w="109"/>
        <w:gridCol w:w="109"/>
        <w:gridCol w:w="109"/>
        <w:gridCol w:w="223"/>
        <w:gridCol w:w="1159"/>
        <w:gridCol w:w="162"/>
      </w:tblGrid>
      <w:tr>
        <w:trPr/>
        <w:tc>
          <w:tcPr>
            <w:tcW w:w="2529"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Macau Related:</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WM Cayman II Revolver, due 2028</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1/2% Senior Notes, due 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5/8% Senior Notes, due 2028</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1/8% Senior Notes, due 2029</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6 3/4% Senior Notes, due 2034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WML 4 1/2% Convertible Bonds, due 2029</w:t>
            </w:r>
            <w:r>
              <w:rPr>
                <w:rFonts w:ascii="Times New Roman;serif" w:hAnsi="Times New Roman;serif"/>
                <w:b w:val="false"/>
                <w:color w:val="000000"/>
                <w:sz w:val="13"/>
              </w:rPr>
              <w:t>(2)(3)</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 and Corporate Related:</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WRF Credit Facilities</w:t>
            </w:r>
            <w:r>
              <w:rPr>
                <w:rFonts w:ascii="Times New Roman;serif" w:hAnsi="Times New Roman;serif"/>
                <w:b w:val="false"/>
                <w:color w:val="000000"/>
                <w:sz w:val="13"/>
              </w:rPr>
              <w:t>(4)</w:t>
            </w:r>
            <w:r>
              <w:rPr>
                <w:rFonts w:ascii="Times New Roman;serif" w:hAnsi="Times New Roman;serif"/>
                <w:b w:val="false"/>
                <w:color w:val="000000"/>
                <w:sz w:val="20"/>
              </w:rPr>
              <w:t>:</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2030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WRF Revolver, due 2030</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WLV 5 1/4% Senior Notes, due 2027</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5 1/8% Senior Notes, due 2029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7 1/8% Senior Notes, due 2031</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6 1/4% Senior Notes, due 2033</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 Term Loan, due 2027</w:t>
            </w:r>
            <w:r>
              <w:rPr>
                <w:rFonts w:ascii="Times New Roman;serif" w:hAnsi="Times New Roman;serif"/>
                <w:b w:val="false"/>
                <w:color w:val="000000"/>
                <w:sz w:val="13"/>
              </w:rPr>
              <w:t>(5)</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10,825,466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10,632,410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WML Convertible Bond Conversion Option Derivative</w:t>
            </w:r>
            <w:r>
              <w:rPr>
                <w:rFonts w:ascii="Times New Roman;serif" w:hAnsi="Times New Roman;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original issue discounts and premium,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10,724,660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10,546,812</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9,295,695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10,537,402</w:t>
            </w:r>
            <w:r>
              <w:rPr>
                <w:color w:val="000000"/>
              </w:rPr>
              <w:t>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As of June 30, 2026,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$903.6 million of the WM Cayman II Revolver bears interest at a rate of Term SOFR plus 1.975% per year and HIBOR plus 1.875% per year, respectively. As of June 30, 2026, the weighted average interest rate was approximately 4.98%. As of June 30, 2026, the available borrowing capacity under the WM Cayman II Revolver was $1.35 billion.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net carrying amount of the WML Convertible Bonds, together with the WML Convertible Bond Conversion Option Derivative, is included in Current portion of long-term debt as of June 30, 2026. WML may be required to redeem all or a portion of the WML Convertible Bonds at the option of bond holders on March 7, 2027.</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As of June 30, 2026, the net carrying amount of the WML Convertible Bonds was $530.4 million, with unamortized debt discount and debt issuance costs of $69.6 million. The Company recorded contractual interest expense of $6.8 million in each of the three months ended June 30, 2026 and 2025 and amortization of discounts and issuance costs of $5.6 million and $5.1 million during the three months ended June 30, 2026 and 2025, respectively, and contractual interest expense of $13.5 million in each of the six months ended June 30, 2026 and 2025 and amortization of discounts and issuance costs of $11.1 million and $10.1 million during the six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    The WRF Credit Facilities bear interest at a rate of Term SOFR plus 1.75% per year. As of June 30, 2026, the weighted average interest rate was approximately 5.39%. Additionally, as of June 30, 2026, the available borrowing capacity under the WRF Revolver was $1.03 billion, net of $16.3 million in outstanding letters of credit. During the three months ended June 30, 2026, the Company drew $200.0 million under the WRF Revolver.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The Retail Term Loan bears interest at a rate of adjusted daily simple secured overnight financing rate ("SOFR") plus 2.15% per year. As of June 30, 2026, the effective interest rate was 5.54%.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Covenant Compliance</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management believes the Company was in compliance with all debt covenants.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of Long-Term Debt</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long-term debt as of June 30, 2026 and December 31, 2025 was approximately $10.83 billion and $10.74 billion, respectively, compared to its carrying value, excluding debt issuance costs and original issue discount and premium, of $10.83 billion and $10.63 billion, respectively. The estimated fair value of the Company's long-term debt is based on recent trades, if available, and indicative pricing from market information (Level 2 inputs).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WML Convertible Bond Conversion Option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Operations. The following table sets forth the inputs to the lattice models that were used to value the WML Convertible Bond Conversion Option Derivative:</w:t>
      </w:r>
    </w:p>
    <w:tbl>
      <w:tblPr>
        <w:tblW w:w="5008" w:type="dxa"/>
        <w:jc w:val="center"/>
        <w:tblInd w:w="0" w:type="dxa"/>
        <w:tblLayout w:type="fixed"/>
        <w:tblCellMar>
          <w:top w:w="28" w:type="dxa"/>
          <w:left w:w="28" w:type="dxa"/>
          <w:bottom w:w="28" w:type="dxa"/>
          <w:right w:w="28" w:type="dxa"/>
        </w:tblCellMar>
      </w:tblPr>
      <w:tblGrid>
        <w:gridCol w:w="677"/>
        <w:gridCol w:w="595"/>
        <w:gridCol w:w="602"/>
        <w:gridCol w:w="481"/>
        <w:gridCol w:w="511"/>
        <w:gridCol w:w="271"/>
        <w:gridCol w:w="109"/>
        <w:gridCol w:w="109"/>
        <w:gridCol w:w="109"/>
        <w:gridCol w:w="568"/>
        <w:gridCol w:w="603"/>
        <w:gridCol w:w="37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stock price</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HK$</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HK$</w:t>
            </w:r>
          </w:p>
        </w:tc>
        <w:tc>
          <w:tcPr>
            <w:tcW w:w="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volatility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 yield</w:t>
            </w:r>
            <w:r>
              <w:rPr>
                <w:rFonts w:ascii="Times New Roman;serif" w:hAnsi="Times New Roman;serif"/>
                <w:b w:val="false"/>
                <w:color w:val="000000"/>
                <w:sz w:val="13"/>
              </w:rPr>
              <w:t>(1)</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Dividend yield is assumed to be zero in the lattice model used to value the WML Convertible Bond Conversion Option Derivative, due to a dividend protection feature in the WML Convertible Bond Agreement.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embedded derivative was $2.0 million recorded in Current portion of long-term debt and $32.6 million recorded in Long-term debt in the accompanying Condensed Consolidated Balance Sheets as of June 30, 2026 and December 31, 2025, respectively. In connection with the change in fair value, the Company recorded a gain of $7.0 million and $6.0 million for the three months ended June 30, 2026 and 2025, respectively, and a gain of $30.6 million and a loss of $10.0 million for the six months ended June 30, 2026 and 2025, respectively, within Change in derivatives fair value in the accompanying Condensed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Swaps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foreign currency swap agreements (the "Foreign Currency Swaps") with the objective of managing foreign currency exchange rate risk associated with the outstanding U.S. dollar denominated WML Senior Notes. The Foreign Currency Swaps exchange predetermined amounts of Hong Kong dollars for U.S. dollars at a contractual spot rate, and as of June 30, 2026, have an aggregate notional amount of $4.10 billion, and have maturities between October 2027 and August 2030.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net fair value of the Foreign Currency Swaps was an asset of $9.1 million, with $17.4 million recorded in Prepaid expenses and other and $8.3 million recorded in Other long-term liabilities in the accompanying Condensed Consolidated Balance Sheets. As of December 31, 2025, the net fair value of the Foreign Currency Swaps was a liability of $36.0 million, with $17.0 million recorded in Prepaid expenses and other and $53.0 million recorded in Other long-term liabilities in the accompanying Condensed Consolidated Balance Sheets.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the Foreign Currency Swaps were estimated based on discounted future cash flows, incorporating foreign currency spot rates and market yield curves (Level 2 inputs). Gains and losses on the Foreign Currency Swaps are recorded in earnings, as these instruments are not designated as hedges. The Company recorded a gain of $35.9 million and a loss of $5.3 million in the three months ended June 30, 2026 and 2025, respectively, and a gain of $57.6 million and a loss of $14.6 million in the six months ended June 30, 2026 and 2025, respectively, within Change in derivatives fair value in the accompanying Condensed Consolidated Statements of Operations.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Stockholders' Deficit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741,098 and 1,269,765 shares of its common stock at average prices of $101.20 and $101.42 per share, respectively, for an aggregate cost of $75.0 million and $128.8 million, respectively, under the equity repurchase program. During the three and six months ended June 30, 2025, the Company repurchased 2,004,418 and 4,364,612 shares of its common stock at average prices of $78.88 and $82.06 per share for an aggregate cost of $158.1 million and $358.1 million, respectively, under the equity repurchase program. As of June 30, 2026, the Company had $326.1 million in repurchase authority remaining under the program.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paid a cash dividend of $0.25 per share on its common stock during each of the three month periods ended March 31, 2026 and June 30, 2026 and recorded $26.1 million and $25.8 million against accumulated deficit, respectively. The Company paid a cash dividend of $0.25 per share on its common stock during each of the three month periods ended March 31, 2025 and June 30, 2025 and recorded $26.6 million and $26.1 million against accumulated deficit,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Company's Board of Directors declared a cash dividend of $0.25 per share on its common stock, payable on August 28, 2026 to stockholders of record as of August 14, 2026.</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Wynn Macau, Limited</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16, 2026, WML paid a cash dividend of HK$0.223 per share on its common stock for a total U.S. dollar equivalent of approximately $149.8 million. The Company's share of this dividend was $106.7 million, and the noncontrolling interest holders' share of this dividend was $43.1 million.</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79,774,985 WML shares under the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Retail Joint Venture</w:t>
      </w:r>
    </w:p>
    <w:p>
      <w:pPr>
        <w:pStyle w:val="TextBody"/>
        <w:bidi w:val="0"/>
        <w:spacing w:before="0" w:after="0"/>
        <w:ind w:left="0" w:right="0" w:firstLine="1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Retail Joint Venture made aggregate distributions of $7.6 million and $6.0 million during the three months ended June 30, 2026 and 2025, respectively, and $15.9 million and $12.3 million during the six months ended June 30, 2026 and 2025, respectively, to its non-controlling interest holder. For more information on the Retail Joint Venture, see Note 16, "Retail Joint Venture."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 Fair Value Measurements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The following tables present assets and liabilities carried at fair value (in thousands):</w:t>
      </w:r>
      <w:r>
        <w:rPr>
          <w:color w:val="000000"/>
        </w:rPr>
        <w:t>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581"/>
        <w:gridCol w:w="1386"/>
        <w:gridCol w:w="1397"/>
        <w:gridCol w:w="255"/>
        <w:gridCol w:w="1018"/>
        <w:gridCol w:w="131"/>
        <w:gridCol w:w="109"/>
        <w:gridCol w:w="109"/>
        <w:gridCol w:w="109"/>
        <w:gridCol w:w="236"/>
        <w:gridCol w:w="808"/>
        <w:gridCol w:w="121"/>
        <w:gridCol w:w="109"/>
        <w:gridCol w:w="109"/>
        <w:gridCol w:w="109"/>
        <w:gridCol w:w="211"/>
        <w:gridCol w:w="826"/>
        <w:gridCol w:w="109"/>
        <w:gridCol w:w="109"/>
        <w:gridCol w:w="109"/>
        <w:gridCol w:w="109"/>
        <w:gridCol w:w="221"/>
        <w:gridCol w:w="757"/>
        <w:gridCol w:w="167"/>
      </w:tblGrid>
      <w:tr>
        <w:trPr/>
        <w:tc>
          <w:tcPr>
            <w:tcW w:w="15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152,813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94,041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deposits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17,430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WML Convertible Bond Conversion Option Derivative (see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166,025</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96,653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deposits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475,000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16,980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WML Convertible Bond Conversion Option Derivative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(see Note 7)</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32,586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53,036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 Customer Contract Liabilities </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38"/>
        <w:gridCol w:w="444"/>
        <w:gridCol w:w="446"/>
        <w:gridCol w:w="211"/>
        <w:gridCol w:w="841"/>
        <w:gridCol w:w="109"/>
        <w:gridCol w:w="109"/>
        <w:gridCol w:w="109"/>
        <w:gridCol w:w="109"/>
        <w:gridCol w:w="216"/>
        <w:gridCol w:w="863"/>
        <w:gridCol w:w="111"/>
        <w:gridCol w:w="109"/>
        <w:gridCol w:w="109"/>
        <w:gridCol w:w="109"/>
        <w:gridCol w:w="218"/>
        <w:gridCol w:w="770"/>
        <w:gridCol w:w="112"/>
        <w:gridCol w:w="109"/>
        <w:gridCol w:w="109"/>
        <w:gridCol w:w="109"/>
        <w:gridCol w:w="211"/>
        <w:gridCol w:w="841"/>
        <w:gridCol w:w="109"/>
        <w:gridCol w:w="109"/>
        <w:gridCol w:w="109"/>
        <w:gridCol w:w="109"/>
        <w:gridCol w:w="216"/>
        <w:gridCol w:w="863"/>
        <w:gridCol w:w="111"/>
        <w:gridCol w:w="109"/>
        <w:gridCol w:w="109"/>
        <w:gridCol w:w="109"/>
        <w:gridCol w:w="220"/>
        <w:gridCol w:w="752"/>
        <w:gridCol w:w="168"/>
      </w:tblGrid>
      <w:tr>
        <w:trPr/>
        <w:tc>
          <w:tcPr>
            <w:tcW w:w="7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Casino outstanding chips and front money deposits</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467,994 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Advance room deposits and ticket sales</w:t>
            </w:r>
            <w:r>
              <w:rPr>
                <w:rFonts w:ascii="Times New Roman;serif" w:hAnsi="Times New Roman;serif"/>
                <w:b w:val="false"/>
                <w:color w:val="000000"/>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gaming-related liabilities</w:t>
            </w:r>
            <w:r>
              <w:rPr>
                <w:rFonts w:ascii="Times New Roman;serif" w:hAnsi="Times New Roman;serif"/>
                <w:b w:val="false"/>
                <w:color w:val="000000"/>
                <w:sz w:val="13"/>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Loyalty program and related liabilities</w:t>
            </w:r>
            <w:r>
              <w:rPr>
                <w:rFonts w:ascii="Times New Roman;serif" w:hAnsi="Times New Roman;serif"/>
                <w:b w:val="false"/>
                <w:color w:val="000000"/>
                <w:sz w:val="13"/>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540,309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593,361</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(53,052)</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532,373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539,335</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(6,962)</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compensation cost for stock-based compensation plans was recorded as follows (in thousands):</w:t>
      </w:r>
    </w:p>
    <w:p>
      <w:pPr>
        <w:pStyle w:val="TextBody"/>
        <w:bidi w:val="0"/>
        <w:spacing w:before="0" w:after="0"/>
        <w:ind w:left="0" w:right="0" w:firstLine="450"/>
        <w:jc w:val="left"/>
        <w:rPr/>
      </w:pPr>
      <w:r>
        <w:rPr/>
      </w:r>
    </w:p>
    <w:tbl>
      <w:tblPr>
        <w:tblW w:w="8939" w:type="dxa"/>
        <w:jc w:val="left"/>
        <w:tblInd w:w="0" w:type="dxa"/>
        <w:tblLayout w:type="fixed"/>
        <w:tblCellMar>
          <w:top w:w="28" w:type="dxa"/>
          <w:left w:w="28" w:type="dxa"/>
          <w:bottom w:w="28" w:type="dxa"/>
          <w:right w:w="28" w:type="dxa"/>
        </w:tblCellMar>
      </w:tblPr>
      <w:tblGrid>
        <w:gridCol w:w="1332"/>
        <w:gridCol w:w="1171"/>
        <w:gridCol w:w="1186"/>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expense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48,237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capitalized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18,222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45,322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51,115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$16.2 million and $10.6 million for the three months ended June 30, 2026 and 2025, respectively, and income tax expense of $26.3 million and $21.6 million for the six months ended June 30, 2026 and 2025, respectively, primarily related to its U.S.-based operating profits.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statutory tax rate of 21% and the effective tax rate of 7.3% is due to the exemption from Macau's 12% Complementary Tax on casino gaming profits earned by Wynn Macau SA.</w: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share-based awards outstanding under the Wynn Resorts, Limited Third Amended and Restated 2014 Omnibus Incentive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728"/>
        <w:gridCol w:w="1450"/>
        <w:gridCol w:w="1461"/>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5"/>
      </w:tblGrid>
      <w:tr>
        <w:trPr/>
        <w:tc>
          <w:tcPr>
            <w:tcW w:w="172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 of Wynn Resorts, Limited subsidiaries: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conversion of WML Convertible Bonds</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 - diluted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135,830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243,869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138,965</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dilutive effect of stock options, nonvested, and performance nonvested shares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and common equivalent shares outstanding</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103,780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104,749</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 per common share,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 per common share, 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nonvested, and performance nonvested shares excluded from the calculation of diluted net income per share</w:t>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assumed conversion of the WML Convertible Bonds had an anti-dilutive impact for the three and six months ended June 30, 2025.</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14 - Leases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Lessor Arrangements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minimum and contingent operating lease income for the periods presented (in thousands):</w:t>
      </w:r>
    </w:p>
    <w:p>
      <w:pPr>
        <w:pStyle w:val="TextBody"/>
        <w:bidi w:val="0"/>
        <w:spacing w:before="0" w:after="0"/>
        <w:jc w:val="both"/>
        <w:rPr/>
      </w:pPr>
      <w:r>
        <w:rPr/>
      </w:r>
    </w:p>
    <w:tbl>
      <w:tblPr>
        <w:tblW w:w="7664" w:type="dxa"/>
        <w:jc w:val="left"/>
        <w:tblInd w:w="0" w:type="dxa"/>
        <w:tblLayout w:type="fixed"/>
        <w:tblCellMar>
          <w:top w:w="28" w:type="dxa"/>
          <w:left w:w="28" w:type="dxa"/>
          <w:bottom w:w="28" w:type="dxa"/>
          <w:right w:w="28" w:type="dxa"/>
        </w:tblCellMar>
      </w:tblPr>
      <w:tblGrid>
        <w:gridCol w:w="798"/>
        <w:gridCol w:w="701"/>
        <w:gridCol w:w="705"/>
        <w:gridCol w:w="211"/>
        <w:gridCol w:w="736"/>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rental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rental income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rental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107,988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103,670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 Marjan Island Funding Commitments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construction of Wynn Al Marjan Island and surrounding developments, including Janu Al Marjan Island, a hotel and residential development to be operated by Aman Group, the Company is required to contribute capital to the Al Marjan Joint Venture to fund 40% of the project design and development costs in exchange for a pro-rata share of equity. During the three and six months ended June 30, 2026, the Company contributed $48.1 million and $148.2 million of cash into the Al Marjan Joint Venture, bringing our life-to-date cash contributions to $1.06 billion. The remaining 40% pro-rata share of the required cash contributions for Wynn Al Marjan Island, including Janu Al Marjan, is currently estimated to be between $525 million and $650 million inclusive of capitalized interest and fees.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Al Marjan Facility Completion Guarantee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 (as provided in the Al Marjan Facility Agreement), taking place no later than June 30, 2028.</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DCP Completion Guarantee and Share Pledge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DCP AMI 3 FZ-LLC ("DCP"), an unconsolidated affiliate included in the Al Marjan Joint Venture, entered into a financing agreement for a U.S. dollar equivalent of approximately $45.1 million (the "DCP Financing"). DCP will construct and operate a district cooling plant serving Wynn Al Marjan Island and surrounding developments. In connection with the DCP Financing, the Al Marjan Guarantors entered into a completion guarantee, pursuant to which the Al Marjan Guarantors may be required to fund shortfalls necessary to achieve practical completion of the cooling plant by September 30, 2026. As of June 30, 2026, construction is substantially complete and the cooling plant is operational. Pursuant to a shareholder side letter, the Al Marjan Guarantors are required to pledge their equity interests in DCP as collateral for the DCP Financing.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June 30, 2026, the Company's investment in DCP was $18.2 million and is presented in Investments in unconsolidated affiliates in the Condensed Consolidated Balance Sheet.</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Macau Land Concession</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Palo Real Estate Company Limited ("Palo") and Wynn Macau SA, each an indirect subsidiary of the Company, accepted the terms and conditions of an amended and restated land concession contract from the Macau government (the "Amended Land Concession Contract"). The Amended Land Concession Contract amends and restates the original land concession contract among Palo, Wynn Macau SA and the Macau government published in the Official Gazette of Macau on May 2, 2012 (the "Land Concession Contract").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Land Concession Contract, Palo leases 51 acres of land in the Cotai area of Macau (the "Cotai Land") from the Macau government for an initial term of 25 years from May 2, 2012 until May 1, 2037, with the right to renew for additional periods, subject to applicable legislation. The Land Concession Contract also requires that Wynn Macau SA, as a gaming concessionaire, operate and manage gaming operations on the Cotai Land.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Amended Land Concession Contract permits Palo and Wynn Macau SA to expand Wynn Palace to develop a new five-star hotel, a theater and an event and entertainment center on the Cotai Land (the "Expanded Resort"). The Macau government has allocated Palo a maximum of 60 months from the date of publication of the Amended Land Concession Contract to complete development of the Expanded Resort on the Cotai Land. As acceptance of the conditions of the Amended Land Concession Contract, Palo paid an additional land premium of MOP652.3 million (approximately $80.8 million) as a one-time lump sum payment. Palo is also required to pay an additional annual rent to the Macau government, resulting in a total annual rent of MOP9.5 million (approximately $1.2 million) for the Expanded Resort. The rent for the Expanded Resort may be reviewed by the Macau government every five years since the date of publication of the Amended Land Concession Contract. Palo must also provide the Macau government with an additional guarantee by means of a deposit or bank guarantee for an amount equal to the annual rent payable under the Amended Land Concession Contract.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Retail Joint Venture</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Retail Joint Venture had total assets of $97.9 million and $96.5 million, respectively, and total liabilities of $608.2 million and $607.3 million, respectively. As of June 30, 2026 and December 31, 2025, the Retail Joint Venture's liabilities included long-term debt of $598.9 million and $598.4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Segment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("CEO"). The primary profitability measure used by the Company's CEO to review segment operating results and allocate resources is Adjusted Property EBITDAR.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segment information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901"/>
        <w:gridCol w:w="616"/>
        <w:gridCol w:w="587"/>
        <w:gridCol w:w="109"/>
        <w:gridCol w:w="109"/>
        <w:gridCol w:w="109"/>
        <w:gridCol w:w="211"/>
        <w:gridCol w:w="841"/>
        <w:gridCol w:w="109"/>
        <w:gridCol w:w="109"/>
        <w:gridCol w:w="109"/>
        <w:gridCol w:w="109"/>
        <w:gridCol w:w="211"/>
        <w:gridCol w:w="826"/>
        <w:gridCol w:w="109"/>
        <w:gridCol w:w="109"/>
        <w:gridCol w:w="109"/>
        <w:gridCol w:w="109"/>
        <w:gridCol w:w="235"/>
        <w:gridCol w:w="939"/>
        <w:gridCol w:w="121"/>
        <w:gridCol w:w="109"/>
        <w:gridCol w:w="109"/>
        <w:gridCol w:w="109"/>
        <w:gridCol w:w="239"/>
        <w:gridCol w:w="937"/>
        <w:gridCol w:w="123"/>
        <w:gridCol w:w="109"/>
        <w:gridCol w:w="109"/>
        <w:gridCol w:w="109"/>
        <w:gridCol w:w="109"/>
        <w:gridCol w:w="109"/>
        <w:gridCol w:w="211"/>
        <w:gridCol w:w="976"/>
        <w:gridCol w:w="160"/>
      </w:tblGrid>
      <w:tr>
        <w:trPr/>
        <w:tc>
          <w:tcPr>
            <w:tcW w:w="9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674" w:type="dxa"/>
            <w:gridSpan w:val="6"/>
            <w:tcBorders/>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653,399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351,086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643,168</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209,280</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1,856,933</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201,488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95,511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215,226</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56,084</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568,309</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297,588</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(98,862)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198,726</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182,572</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140,062</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901"/>
        <w:gridCol w:w="616"/>
        <w:gridCol w:w="587"/>
        <w:gridCol w:w="109"/>
        <w:gridCol w:w="109"/>
        <w:gridCol w:w="109"/>
        <w:gridCol w:w="211"/>
        <w:gridCol w:w="841"/>
        <w:gridCol w:w="109"/>
        <w:gridCol w:w="109"/>
        <w:gridCol w:w="109"/>
        <w:gridCol w:w="109"/>
        <w:gridCol w:w="211"/>
        <w:gridCol w:w="826"/>
        <w:gridCol w:w="109"/>
        <w:gridCol w:w="109"/>
        <w:gridCol w:w="109"/>
        <w:gridCol w:w="109"/>
        <w:gridCol w:w="235"/>
        <w:gridCol w:w="939"/>
        <w:gridCol w:w="121"/>
        <w:gridCol w:w="109"/>
        <w:gridCol w:w="109"/>
        <w:gridCol w:w="109"/>
        <w:gridCol w:w="239"/>
        <w:gridCol w:w="937"/>
        <w:gridCol w:w="123"/>
        <w:gridCol w:w="109"/>
        <w:gridCol w:w="109"/>
        <w:gridCol w:w="109"/>
        <w:gridCol w:w="109"/>
        <w:gridCol w:w="109"/>
        <w:gridCol w:w="211"/>
        <w:gridCol w:w="976"/>
        <w:gridCol w:w="160"/>
      </w:tblGrid>
      <w:tr>
        <w:trPr/>
        <w:tc>
          <w:tcPr>
            <w:tcW w:w="9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674" w:type="dxa"/>
            <w:gridSpan w:val="6"/>
            <w:tcBorders/>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539,641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638,633</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215,710</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1,737,797</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157,206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234,812</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63,859</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552,387</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264,600</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(177,051)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87,549</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76,961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66,218</w:t>
            </w: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63"/>
        <w:gridCol w:w="572"/>
        <w:gridCol w:w="542"/>
        <w:gridCol w:w="109"/>
        <w:gridCol w:w="109"/>
        <w:gridCol w:w="109"/>
        <w:gridCol w:w="211"/>
        <w:gridCol w:w="976"/>
        <w:gridCol w:w="109"/>
        <w:gridCol w:w="109"/>
        <w:gridCol w:w="109"/>
        <w:gridCol w:w="109"/>
        <w:gridCol w:w="211"/>
        <w:gridCol w:w="841"/>
        <w:gridCol w:w="109"/>
        <w:gridCol w:w="109"/>
        <w:gridCol w:w="109"/>
        <w:gridCol w:w="109"/>
        <w:gridCol w:w="231"/>
        <w:gridCol w:w="922"/>
        <w:gridCol w:w="119"/>
        <w:gridCol w:w="109"/>
        <w:gridCol w:w="109"/>
        <w:gridCol w:w="109"/>
        <w:gridCol w:w="233"/>
        <w:gridCol w:w="932"/>
        <w:gridCol w:w="120"/>
        <w:gridCol w:w="109"/>
        <w:gridCol w:w="109"/>
        <w:gridCol w:w="109"/>
        <w:gridCol w:w="109"/>
        <w:gridCol w:w="109"/>
        <w:gridCol w:w="211"/>
        <w:gridCol w:w="991"/>
        <w:gridCol w:w="159"/>
      </w:tblGrid>
      <w:tr>
        <w:trPr/>
        <w:tc>
          <w:tcPr>
            <w:tcW w:w="8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470" w:type="dxa"/>
            <w:gridSpan w:val="4"/>
            <w:tcBorders/>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1,312,737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680,938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1,305,077</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414,943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3,713,695</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447,686</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106,603</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1,130,726</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580,192</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(220,796)</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359,396</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333,110</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260,516</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93"/>
        <w:gridCol w:w="606"/>
        <w:gridCol w:w="577"/>
        <w:gridCol w:w="109"/>
        <w:gridCol w:w="109"/>
        <w:gridCol w:w="109"/>
        <w:gridCol w:w="211"/>
        <w:gridCol w:w="841"/>
        <w:gridCol w:w="109"/>
        <w:gridCol w:w="109"/>
        <w:gridCol w:w="109"/>
        <w:gridCol w:w="109"/>
        <w:gridCol w:w="211"/>
        <w:gridCol w:w="841"/>
        <w:gridCol w:w="109"/>
        <w:gridCol w:w="109"/>
        <w:gridCol w:w="109"/>
        <w:gridCol w:w="109"/>
        <w:gridCol w:w="234"/>
        <w:gridCol w:w="935"/>
        <w:gridCol w:w="121"/>
        <w:gridCol w:w="109"/>
        <w:gridCol w:w="109"/>
        <w:gridCol w:w="109"/>
        <w:gridCol w:w="237"/>
        <w:gridCol w:w="946"/>
        <w:gridCol w:w="122"/>
        <w:gridCol w:w="109"/>
        <w:gridCol w:w="109"/>
        <w:gridCol w:w="109"/>
        <w:gridCol w:w="109"/>
        <w:gridCol w:w="109"/>
        <w:gridCol w:w="211"/>
        <w:gridCol w:w="991"/>
        <w:gridCol w:w="157"/>
      </w:tblGrid>
      <w:tr>
        <w:trPr/>
        <w:tc>
          <w:tcPr>
            <w:tcW w:w="89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468" w:type="dxa"/>
            <w:gridSpan w:val="4"/>
            <w:tcBorders/>
          </w:tcPr>
          <w:p>
            <w:pPr>
              <w:pStyle w:val="TableContents"/>
              <w:bidi w:val="0"/>
              <w:spacing w:before="0" w:after="283"/>
              <w:jc w:val="left"/>
              <w:rPr>
                <w:sz w:val="4"/>
                <w:szCs w:val="4"/>
              </w:rPr>
            </w:pPr>
            <w:r>
              <w:rPr>
                <w:sz w:val="4"/>
                <w:szCs w:val="4"/>
              </w:rPr>
            </w:r>
          </w:p>
        </w:tc>
      </w:tr>
      <w:tr>
        <w:trPr/>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1,075,570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673,773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1,263,918</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424,933</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3,438,194</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319,091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458,173</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121,313</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1,085,286</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533,189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(353,213)</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179,976</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158,366</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138,965</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Includes lease revenue accounted for under lease accounting guidance. For more information on leases, see Note 14, "Leases."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Primarily comprised of payroll, cost of goods sold, marketing, promotional, facilities, taxes and licenses (excluding gaming taxes) and other operating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For Las Vegas Operations, includes table and slot license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875" w:type="dxa"/>
        <w:jc w:val="left"/>
        <w:tblInd w:w="0" w:type="dxa"/>
        <w:tblLayout w:type="fixed"/>
        <w:tblCellMar>
          <w:top w:w="28" w:type="dxa"/>
          <w:left w:w="28" w:type="dxa"/>
          <w:bottom w:w="28" w:type="dxa"/>
          <w:right w:w="28" w:type="dxa"/>
        </w:tblCellMar>
      </w:tblPr>
      <w:tblGrid>
        <w:gridCol w:w="799"/>
        <w:gridCol w:w="701"/>
        <w:gridCol w:w="705"/>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135,640</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153,023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165,266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332,087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325,197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491" w:type="dxa"/>
        <w:jc w:val="left"/>
        <w:tblInd w:w="0" w:type="dxa"/>
        <w:tblLayout w:type="fixed"/>
        <w:tblCellMar>
          <w:top w:w="28" w:type="dxa"/>
          <w:left w:w="28" w:type="dxa"/>
          <w:bottom w:w="28" w:type="dxa"/>
          <w:right w:w="28" w:type="dxa"/>
        </w:tblCellMar>
      </w:tblPr>
      <w:tblGrid>
        <w:gridCol w:w="796"/>
        <w:gridCol w:w="701"/>
        <w:gridCol w:w="707"/>
        <w:gridCol w:w="211"/>
        <w:gridCol w:w="1096"/>
        <w:gridCol w:w="109"/>
        <w:gridCol w:w="109"/>
        <w:gridCol w:w="109"/>
        <w:gridCol w:w="109"/>
        <w:gridCol w:w="223"/>
        <w:gridCol w:w="1159"/>
        <w:gridCol w:w="162"/>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3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4,984,740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5,161,013</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3,252,007 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2,748,314 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13,159,235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13,108,117</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2025 and other factors we describe from time to time in our periodic filings with the Securities and Exchange Commission ("SEC"), such as:</w:t>
      </w:r>
    </w:p>
    <w:p>
      <w:pPr>
        <w:pStyle w:val="TextBody"/>
        <w:bidi w:val="0"/>
        <w:spacing w:before="0" w:after="0"/>
        <w:ind w:left="0" w:right="0" w:firstLine="45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extensive regulation of our business and the cost of compliance or failure to comply with applicable laws and regulations;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pending or future investigations, litigation and other disputes;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dependence on key managers and employees;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ability to maintain our gaming licenses and concessions and comply with applicable gaming law;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disruptions caused by, and the impact on regional demand for casino resorts and inbound tourism and the travel and leisure industry more generally from, events outside of our control, including an outbreak of an infectious disease, public incidents of violence, mass shootings, riots, demonstrations, extreme weather patterns or natural disasters, military conflicts, civil unrest, and any future security alerts or terrorist attacks;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public perception of our resorts and the level of service we provide;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maintain our customer relationships and collect and enforce gaming receivables;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win rates for our gaming operations;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construction, regulatory and other macroeconomic or geopolitical risks associated with our current and future construction projects or co-investments in such projects;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any violations by us of various anti-money laundering laws or the Foreign Corrupt Practices Act;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compliance with environmental requirements and potential cleanup responsibility and liability as an owner or operator of property;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adverse incidents or adverse publicity concerning our resorts or our corporate responsibilities;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and compliance with the gaming laws or regulations in the various jurisdictions in which we operate;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tax laws or regulations related to taxation, including changes in the rates of taxation;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ability to protect our intellectual property rights;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labor actions and other labor problems;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current and future insurance coverage levels;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risks specifically associated with our Macau Operations;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level of our indebtedness and our ability to meet our debt service obligations (including sensitivity to fluctuations in interest rates);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 40% equity interest in Island 3 AMI FZ-LLC ("Island 3") and affiliated ventures (collectively, the "Al Marjan Joint Venture"), which is constructing an integrated resort property ("Wynn Al Marjan Island") in Ras Al Khaimah, United Arab Emirates.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Measures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Revenue per available room ("REVPAR") is calculated by dividing total room revenues, including complimentaries (less service charges, if any), by total rooms available.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Below is a discussion of the methodologies used to calculate win percentages at our resorts.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Summary of second quarter 2026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financial results for the periods presented (dollars in thousands, except per share data):</w:t>
      </w:r>
    </w:p>
    <w:tbl>
      <w:tblPr>
        <w:tblW w:w="12922" w:type="dxa"/>
        <w:jc w:val="left"/>
        <w:tblInd w:w="0" w:type="dxa"/>
        <w:tblLayout w:type="fixed"/>
        <w:tblCellMar>
          <w:top w:w="28" w:type="dxa"/>
          <w:left w:w="28" w:type="dxa"/>
          <w:bottom w:w="28" w:type="dxa"/>
          <w:right w:w="28" w:type="dxa"/>
        </w:tblCellMar>
      </w:tblPr>
      <w:tblGrid>
        <w:gridCol w:w="472"/>
        <w:gridCol w:w="296"/>
        <w:gridCol w:w="298"/>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96"/>
        <w:gridCol w:w="220"/>
        <w:gridCol w:w="221"/>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258"/>
        <w:gridCol w:w="258"/>
        <w:gridCol w:w="260"/>
        <w:gridCol w:w="305"/>
        <w:gridCol w:w="206"/>
        <w:gridCol w:w="294"/>
      </w:tblGrid>
      <w:tr>
        <w:trPr/>
        <w:tc>
          <w:tcPr>
            <w:tcW w:w="4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90"/>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90"/>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690"/>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operating revenues for the three months ended June 30, 2026 was largely driven by increased casino revenues of $116.1 million at Wynn Palace as a result of higher mass market table games volume and win.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income attributable to Wynn Resorts, Limited for the three months ended June 30, 2026 was primarily attributable to a $33.0 million increase in operating income, largely due to higher casino revenues partially offset by casino expenses. In addition, we recorded a gain in change in derivatives fair value of $43.3 million in the three months ended June 30, 2026 compared to a loss in change in derivatives fair value of $1.1 million in the three months ended June 30, 2025.</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results for the three months ended June 30, 2026 compared to the three months ended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operating revenues (dollars in thousands): </w:t>
      </w:r>
    </w:p>
    <w:p>
      <w:pPr>
        <w:pStyle w:val="TextBody"/>
        <w:bidi w:val="0"/>
        <w:spacing w:before="0" w:after="0"/>
        <w:ind w:left="0" w:right="0" w:firstLine="450"/>
        <w:jc w:val="left"/>
        <w:rPr/>
      </w:pPr>
      <w:r>
        <w:rPr/>
      </w:r>
    </w:p>
    <w:tbl>
      <w:tblPr>
        <w:tblW w:w="8852" w:type="dxa"/>
        <w:jc w:val="left"/>
        <w:tblInd w:w="0" w:type="dxa"/>
        <w:tblLayout w:type="fixed"/>
        <w:tblCellMar>
          <w:top w:w="28" w:type="dxa"/>
          <w:left w:w="28" w:type="dxa"/>
          <w:bottom w:w="28" w:type="dxa"/>
          <w:right w:w="28" w:type="dxa"/>
        </w:tblCellMar>
      </w:tblPr>
      <w:tblGrid>
        <w:gridCol w:w="864"/>
        <w:gridCol w:w="758"/>
        <w:gridCol w:w="76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Macau Operations</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1,004,485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121,031</w:t>
            </w: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1,856,933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1,737,797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119,136</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1,175,288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123,454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non-casino revenues</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681,645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(4,318)</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1,856,933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1,737,797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119,136</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revenues for the three months ended June 30, 2026 were 63.3% of operating revenues, compared to 60.5% for the same period of 2025. Non-casino revenues for the three months ended June 30, 2026 were 36.7% of operating revenues, compared to 39.5% for the same period of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Casino revenues</w:t>
      </w:r>
      <w:r>
        <w:rPr>
          <w:color w:val="000000"/>
        </w:rPr>
        <w: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revenues increased primarily due to higher mass market table games volume and win at Wynn Palace.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our casino revenues and associated key operating measures (dollars in thousands, except for win per unit per day): </w:t>
      </w:r>
    </w:p>
    <w:p>
      <w:pPr>
        <w:pStyle w:val="TextBody"/>
        <w:bidi w:val="0"/>
        <w:spacing w:before="0" w:after="0"/>
        <w:ind w:left="0" w:right="0" w:firstLine="495"/>
        <w:jc w:val="both"/>
        <w:rPr/>
      </w:pPr>
      <w:r>
        <w:rPr/>
      </w:r>
    </w:p>
    <w:tbl>
      <w:tblPr>
        <w:tblW w:w="9611" w:type="dxa"/>
        <w:jc w:val="left"/>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40"/>
        <w:gridCol w:w="1196"/>
        <w:gridCol w:w="124"/>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table games win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757,815 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316"/>
        <w:gridCol w:w="1081"/>
        <w:gridCol w:w="163"/>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Non-casino revenues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our room revenues and associated key operating measures: </w:t>
      </w:r>
    </w:p>
    <w:tbl>
      <w:tblPr>
        <w:tblW w:w="10045"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25"/>
        <w:gridCol w:w="1066"/>
        <w:gridCol w:w="168"/>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Wynn Palace</w:t>
            </w:r>
            <w:r>
              <w:rPr>
                <w:rFonts w:ascii="Times New Roman;serif" w:hAnsi="Times New Roman;serif"/>
                <w:b w:val="false"/>
                <w:color w:val="000000"/>
                <w:sz w:val="16"/>
              </w:rPr>
              <w: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Room and food and beverage revenues for the three months ended June 30, 2026 were comparable to the three months ended June 30,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Entertainment, retail and other revenues decreased $6.9 million, primarily as a result of lower entertainment venue sales at our Las Vegas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operating expenses (dollars in thousands): </w:t>
      </w:r>
    </w:p>
    <w:p>
      <w:pPr>
        <w:pStyle w:val="TextBody"/>
        <w:bidi w:val="0"/>
        <w:spacing w:before="0" w:after="0"/>
        <w:ind w:left="0" w:right="0" w:firstLine="450"/>
        <w:jc w:val="both"/>
        <w:rPr/>
      </w:pPr>
      <w:r>
        <w:rPr/>
      </w:r>
    </w:p>
    <w:tbl>
      <w:tblPr>
        <w:tblW w:w="9061"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311"/>
        <w:gridCol w:w="1087"/>
        <w:gridCol w:w="161"/>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1,559,345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1,473,197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86,148</w:t>
            </w:r>
            <w:r>
              <w:rPr>
                <w:color w:val="000000"/>
              </w:rPr>
              <w:t>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total operating expenses was primarily due to the increase in casino expenses at our Macau Operations, largely driven by an increase in gaming tax expense, and an increase in food and beverage expense at our Las Vegas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expense increased $68.1 million and $5.9 million at Wynn Palace and Wynn Macau, respectively, which includes increases of $53.7 million and $2.2 million in gaming tax expense at Wynn Palace and Wynn Macau,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expense increased $6.8 million at our Las Vegas Operations largely due to costs associated with new food and beverage offerings.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Entertainment, retail and other expense decreased $4.7 million at our Las Vegas Operations due to a reduction in entertainment venue offerings.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$12.5 million, which includes increases across all of our properties, resulting from enhancements to our properties and maintenance capital expenditures.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charges and other expenses for the three months ended June 30, 2026 consisted primarily of asset abandonments and disposals of $4.0 million and $1.1 million at our Las Vegas Operations and our Macau Operations, respectively, and contract termination costs of $3.3 million and $1.1 million at our Macau Operations and our Las Vegas Operations, respectively. Property charges and other expenses for the three months ended June 30, 2025 consisted primarily of asset abandonments and disposals of $2.3 million and $1.5 million at our Macau Operations and Corporate and other, respectively, and $6.3 million of contract termination and other costs at our Las Vegas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 decreased $2.4 million. We capitalized interest of $17.9 million and $10.9 million in the three months ended June 30, 2026 and 2025, respectively. Interest expense, exclusive of capitalized interest, increased $4.6 million, primarily due to an increase in the weighted average interest rate from 6.03% for the three months ended June 30, 2025 to 6.17% for the three months ended June 30,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interest income of $12.8 million and $15.9 million in the three months ended June 30, 2026 and 2025, respectively, primarily related to interest earned on cash and cash equivalents held at financial institutions.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incurred foreign currency remeasurement losses of $2.7 million and $36.2 million for the three months ended June 30, 2026 and 2025, respectively. The impact of the exchange rate fluctuation of the Macau pataca, in relation to the U.S. dollar, on the remeasurements of U.S. dollar denominated debt and other obligations from our Macau-related entities primarily drove the variability between periods.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recorded a gain of $43.3 million for the three months ended June 30, 2026, from change in derivatives fair value, which includes a gain of $35.9 million related to foreign currency swaps and a gain of $7.0 million related to the conversion feature on the WML Convertible Bonds. We recorded a loss of $1.1 million for the three months ended June 30, 2025, from change in derivatives fair value, which includes a gain of $6.0 million related to the conversion feature on the WML Convertible Bonds and a loss of $5.3 million related to foreign currency swaps. F</w:t>
      </w:r>
      <w:r>
        <w:rPr>
          <w:rFonts w:ascii="Times New Roman;serif" w:hAnsi="Times New Roman;serif"/>
          <w:b w:val="false"/>
          <w:color w:val="000000"/>
          <w:sz w:val="20"/>
          <w:shd w:fill="FFFFFF" w:val="clear"/>
        </w:rPr>
        <w:t xml:space="preserve">or more information on the Company's derivative instruments, refer to </w:t>
      </w:r>
      <w:r>
        <w:rPr>
          <w:rFonts w:ascii="Times New Roman;serif" w:hAnsi="Times New Roman;serif"/>
          <w:b w:val="false"/>
          <w:color w:val="000000"/>
          <w:sz w:val="20"/>
        </w:rPr>
        <w:t>Item 1—"Notes to Condensed Consolidated Financial Statements," Note 7,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income tax expense of $16.2 million and $10.6 million for the three months ended June 30, 2026 and 2025, respectively, primarily related to our U.S.-based operating profits.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noncontrolling interests of $42.5 million for the three months ended June 30, 2026, primarily related to the noncontrolling interests' share of net income from WML.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noncontrolling interests of $10.7 million for the three months ended June 30, 2025, primarily related to the noncontrolling interest's share of net income in the Retail Joint Venture.</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results for the six months ended June 30, 2026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revenues (dollars in thousands):</w:t>
      </w:r>
    </w:p>
    <w:p>
      <w:pPr>
        <w:pStyle w:val="TextBody"/>
        <w:bidi w:val="0"/>
        <w:spacing w:before="0" w:after="0"/>
        <w:ind w:left="0" w:right="0" w:firstLine="450"/>
        <w:jc w:val="left"/>
        <w:rPr/>
      </w:pPr>
      <w:r>
        <w:rPr/>
      </w:r>
    </w:p>
    <w:tbl>
      <w:tblPr>
        <w:tblW w:w="8672" w:type="dxa"/>
        <w:jc w:val="left"/>
        <w:tblInd w:w="0" w:type="dxa"/>
        <w:tblLayout w:type="fixed"/>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1,993,675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1,749,343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244,332</w:t>
            </w: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3,713,695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3,438,194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275,501</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2,352,521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260,257</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Non-casino revenues: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non-casino revenues </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1,361,174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1,345,930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15,244</w:t>
            </w:r>
            <w:r>
              <w:rPr>
                <w:color w:val="000000"/>
              </w:rPr>
              <w:t>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3,713,695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3,438,194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275,501</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revenues for the six months ended June 30, 2026 were 63.3% of operating revenues, compared to 60.9% for the same period of 2025. Non-casino revenues for the six months ended June 30, 2026 were 36.7% of operating revenues, compared to 39.1%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Casino revenues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revenues increased primarily due to higher mass market gaming volumes at our Macau Operations and higher table games win at our Las Vegas Operations during the six months ended June 30,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casino revenues and associated key operating measures (dollars in thousands, except for win per unit per day):  </w:t>
      </w:r>
    </w:p>
    <w:p>
      <w:pPr>
        <w:pStyle w:val="TextBody"/>
        <w:bidi w:val="0"/>
        <w:spacing w:before="0" w:after="0"/>
        <w:jc w:val="both"/>
        <w:rPr/>
      </w:pPr>
      <w:r>
        <w:rPr/>
      </w:r>
    </w:p>
    <w:tbl>
      <w:tblPr>
        <w:tblW w:w="9611" w:type="dxa"/>
        <w:jc w:val="center"/>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40"/>
        <w:gridCol w:w="1196"/>
        <w:gridCol w:w="124"/>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7,083,818 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8,076,093 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3,871,036 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2,418,782 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 market:</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Non-casino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room revenues and associated key operating measures:</w:t>
      </w:r>
    </w:p>
    <w:p>
      <w:pPr>
        <w:pStyle w:val="TextBody"/>
        <w:bidi w:val="0"/>
        <w:spacing w:before="0" w:after="0"/>
        <w:jc w:val="both"/>
        <w:rPr/>
      </w:pPr>
      <w:r>
        <w:rPr/>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316"/>
        <w:gridCol w:w="1081"/>
        <w:gridCol w:w="163"/>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Room revenues increased $15.1 million primarily due to higher ADR at our Las Vegas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revenues increased $12.4 million, primarily due to incremental revenue from new outlets at our Las Vegas Operations during the six months ended June 30, 2026.</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Entertainment, retail and other revenues decreased $12.3 million, primarily as a result of lower entertainment venue sales at our Las Vegas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presents operating expenses (dollars in thousands):</w:t>
      </w:r>
    </w:p>
    <w:tbl>
      <w:tblPr>
        <w:tblW w:w="9061"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3,133,503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2,905,005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228,498</w:t>
            </w:r>
            <w:r>
              <w:rPr>
                <w:color w:val="000000"/>
              </w:rPr>
              <w:t>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total operating expenses was primarily due to an increase in casino expense at our Macau Operations, largely driven by an increase in gaming tax expense, and an increase in food and beverage expense at our Las Vegas Operations and our Macau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expense increased $142.9 million and $17.2 million at Wynn Palace and Wynn Macau, respectively, which includes increases of $120.6 million and $7.7 million, respectively, in gaming tax expense driven by an increase in casino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Food and beverage expense increased $25.7 million at our Las Vegas Operations, primarily due to costs associated with new food and beverage offerings, and $14.2 million at our Macau Operations largely due to higher cost of sales.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Entertainment, retail and other expense decreased $7.3 million at our Las Vegas Operations due to a reduction in entertainment venue offerings.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$17.6 million, which includes increases across all of our properties, resulting from enhancements to our properties and maintenance capital expenditures.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charges and other expenses for the six months ended June 30, 2026 consisted primarily of $8.3 million and $5.2 million of asset abandonments and disposals at our Las Vegas Operations and our Macau Operations, respectively, and $3.3 million of contract terminations and other expenses at our Macau Operations. Property charges and other expenses for the six months ended June 30, 2025 consisted primarily of $6.6 million and $5.8 million of contract terminations and other expenses at our Las Vegas Operations and Encore Boston Harbor, respectively, and $7.1 million and $2.6 million of asset abandonments and disposals at our Macau Operations and Corporate and other, respectively.</w:t>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 decreased $7.6 million. We capitalized interest of $34.9 million and $21.2 million in the six months ended June 30, 2026 and 2025, respectively. Interest expense, exclusive of capitalized interest, increased $6.1 million, primarily due to an increase in the weighted average interest rate from 6.08% for the six months ended June 30, 2025 to 6.18% for the six months ended June 30,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interest income of $25.9 million and $35.2 million in the six months ended June 30, 2026 and 2025,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incurred a foreign currency remeasurement loss of $32.2 million and $44.5 million for the six months ended June 30, 2026 and 2025, respectively. The impact of the exchange rate fluctuation of the Macau pataca, in relation to the U.S. dollar, on the remeasurements of U.S. dollar denominated debt and other obligations from our Macau-related entities primarily drove the variability between periods.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gain of $90.1 million for the six months ended June 30, 2026, from change in derivatives fair value, which primarily includes a gain of $57.6 million related to foreign currency swaps and a gain of $30.6 million related to the conversion feature on the WML Convertible Bonds. We recorded a loss of $30.7 million from changes in derivatives fair value for the six months ended June 30, 2025, which includes a loss of $10.0 million related to the conversion feature on the WML Convertible Bonds and a loss of $14.6 million related to foreign currency swaps.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$1.1 million loss on debt financing transactions for the six months ended June 30, 2025 related to the amendment of the WRF credit facility.</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$26.3 million and $21.6 million for the six months ended June 30, 2026 and 2025, respectively. The increase in income tax expense for the six months ended June 30, 2026 primarily relates to U.S.-based operating profits.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noncontrolling interests of $72.6 million for the six months ended June 30, 2026, primarily related to the noncontrolling interests' share of net income from WML.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noncontrolling interests of $19.4 million for the six months ended June 30, 2025, primarily related to the noncontrolling interest's share of net income in the Retail Joint Venture.</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Adjusted Property EBITDAR (dollars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EBITDAR to net income attributable to Wynn Resorts, Limited. </w:t>
      </w:r>
    </w:p>
    <w:tbl>
      <w:tblPr>
        <w:tblW w:w="11528" w:type="dxa"/>
        <w:jc w:val="left"/>
        <w:tblInd w:w="0" w:type="dxa"/>
        <w:tblLayout w:type="fixed"/>
        <w:tblCellMar>
          <w:top w:w="28" w:type="dxa"/>
          <w:left w:w="28" w:type="dxa"/>
          <w:bottom w:w="28" w:type="dxa"/>
          <w:right w:w="28" w:type="dxa"/>
        </w:tblCellMar>
      </w:tblPr>
      <w:tblGrid>
        <w:gridCol w:w="440"/>
        <w:gridCol w:w="359"/>
        <w:gridCol w:w="2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20"/>
        <w:gridCol w:w="206"/>
        <w:gridCol w:w="294"/>
      </w:tblGrid>
      <w:tr>
        <w:trPr/>
        <w:tc>
          <w:tcPr>
            <w:tcW w:w="4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Encore Boston Harbor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Adjusted Property EBITDAR at Wynn Palace increased $44.3 million and $86.2 million for the three and six months ended June 30, 2026, respectively, largely from an increase in casino revenue partially offset by increased casino expense, inclusive of gaming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Property EBITDAR at Wynn Macau for the three months ended June 30, 2026 was relatively consistent with the three months ended June 30, 2025. Adjusted Property EBITDAR at Wynn Macau decreased $15.6 million for the six months ended June 30, 2026, primarily due to an increase in casino expense, inclusive of gaming taxes.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Adjusted Property EBITDAR at our Las Vegas Operations for the three and six months ended June 30, 2026 decreased $19.6 million and $10.5 million, respectively, due to increased operating expenses, partially offset by increased operating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Adjusted Property EBITDAR at Encore Boston Harbor decreased $7.8 million and $14.7 million for the three and six months ended June 30, 2026, respectively, primarily due to a decrease in operating revenues of $6.4 million and $10.0 million, respectively. </w:t>
      </w:r>
    </w:p>
    <w:p>
      <w:pPr>
        <w:pStyle w:val="TextBody"/>
        <w:bidi w:val="0"/>
        <w:spacing w:before="0" w:after="0"/>
        <w:ind w:left="0" w:right="0" w:firstLine="45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discussions above regarding the specific details of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 (in thousands):</w:t>
      </w:r>
    </w:p>
    <w:tbl>
      <w:tblPr>
        <w:tblW w:w="8588" w:type="dxa"/>
        <w:jc w:val="left"/>
        <w:tblInd w:w="0" w:type="dxa"/>
        <w:tblLayout w:type="fixed"/>
        <w:tblCellMar>
          <w:top w:w="28" w:type="dxa"/>
          <w:left w:w="28" w:type="dxa"/>
          <w:bottom w:w="28" w:type="dxa"/>
          <w:right w:w="28" w:type="dxa"/>
        </w:tblCellMar>
      </w:tblPr>
      <w:tblGrid>
        <w:gridCol w:w="2113"/>
        <w:gridCol w:w="1854"/>
        <w:gridCol w:w="1867"/>
        <w:gridCol w:w="211"/>
        <w:gridCol w:w="841"/>
        <w:gridCol w:w="109"/>
        <w:gridCol w:w="109"/>
        <w:gridCol w:w="109"/>
        <w:gridCol w:w="109"/>
        <w:gridCol w:w="211"/>
        <w:gridCol w:w="90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 Summary</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538,836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construction payables and retention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and 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(418,888)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(456,036)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payments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(115,126)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(515,986)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on cash, cash equivalents and 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107,299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(441,765)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increase in cash flows from operating activities was largely driven by increased gaming revenue of $245.0 million at our Macau Operations as a result of higher mass market gaming volumes and $26.8 million at our Las Vegas Operations due to higher table games win, partially offset by commensurate increases in operating expenses.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incurred capital expenditures of $174.9 million at our Las Vegas Operations, $84.4 million at Wynn Palace, $60.5 million at Wynn Macau, and $7.1 million at Encore Boston Harbor, primarily related to enhancements at our properties and maintenance capital expenditures, and $5.3 million at Corporate and other. In addition, during the six months ended June 30, 2026, we invested $178.6 million, including $148.2 million of cash contributions, in the Al Marjan Joint Venture, purchased $57.1 million of U.S. treasuries and received proceeds of $140.5 million upon the maturity of investments.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incurred capital expenditures of $106.1 million at our Las Vegas Operations, $105.4 million at Wynn Palace, $30.2 million at Wynn Macau, and $11.5 million at Encore Boston Harbor, primarily related to enhancements at our properties and maintenance capital expenditures, and $72.0 million at Corporate and other primarily related to future development projects. In addition, during the six months ended June 30, 2025, we invested $121.1 million, including $109.5 million of cash contributions, in the Al Marjan Joint Venture.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borrowed $200.0 million under the WRF Revolver. In addition, we repurchased 1,574,289 shares of our common stock for an aggregate cost of $165.5 million, including 1,269,765 shares of our common stock repurchased pursuant to our publicly announced equity repurchase program for an aggregate cost of $128.8 million. We also made dividend payments of $95.0 million, finance lease payments of $13.7 million, and used cash of $15.9 million for distributions to noncontrolling interest holders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received net proceeds of $752.8 million from the issuance of the WRF Term Loan due 2030 and repaid $763.1 million of aggregate principal amounts outstanding under the WRF Term Loan due 2027. In addition, during the six months ended June 30, 2025, we repurchased 4,557,009 shares of our common stock for an aggregate cost of $377.6 million, including 4,364,612 shares of our common stock repurchased pursuant to our publicly announced equity repurchase program for an aggregate cost of $358.1 million. We also made dividend payments of $88.3 million, finance lease payments of $12.7 million, and used cash of $12.3 million for distributions to noncontrolling interest holders of the Retail Joint Venture.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unrestricted cash and cash equivalents, investments and available revolver borrowing capacity, presented by significant financing entity as of June 30, 2026 (in thousands):</w:t>
      </w:r>
    </w:p>
    <w:tbl>
      <w:tblPr>
        <w:tblW w:w="9958"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211"/>
        <w:gridCol w:w="841"/>
        <w:gridCol w:w="109"/>
        <w:gridCol w:w="109"/>
        <w:gridCol w:w="109"/>
        <w:gridCol w:w="109"/>
        <w:gridCol w:w="364"/>
        <w:gridCol w:w="1710"/>
        <w:gridCol w:w="265"/>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 Limited and subsidiaries</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944,779 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1,346,487 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Wynn Resorts Finance, LLC</w:t>
            </w:r>
            <w:r>
              <w:rPr>
                <w:rFonts w:ascii="Times New Roman;serif" w:hAnsi="Times New Roman;serif"/>
                <w:b w:val="false"/>
                <w:color w:val="000000"/>
                <w:sz w:val="13"/>
              </w:rPr>
              <w:t>(2)</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1,033,710 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1,573,353</w:t>
            </w:r>
            <w:r>
              <w:rPr>
                <w:color w:val="000000"/>
              </w:rPr>
              <w:t>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527,370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2,380,197</w:t>
            </w:r>
            <w:r>
              <w:rPr>
                <w:color w:val="000000"/>
              </w:rPr>
              <w:t>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Investments consist of U.S. treasuries and fixed deposits maturing in less than one year and exclude long-term investments of $60.4 million.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Excluding Wynn Macau, Limited and subsidiaries.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Macau, Limited and subsidiaries</w:t>
      </w:r>
      <w:r>
        <w:rPr>
          <w:rFonts w:ascii="Times New Roman;serif" w:hAnsi="Times New Roman;serif"/>
          <w:b w:val="false"/>
          <w:color w:val="000000"/>
          <w:sz w:val="20"/>
        </w:rPr>
        <w:t>. WML generates cash from our Macau Operations and may utilize proceeds from 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constructing the Enclave at Wynn Palace, a 432-key, all-suite hotel tower to be developed adjacent to Wynn Palace’s east entrance. The estimated project budget for the Enclave at Wynn Palace is between $900 million and $950 million, inclusive of capitalized interest. Construction is expected to begin in the second half of 2026 and span 2.5 years. Total project capital expenditures for the Enclave at Wynn Palace and other enhancements at our Macau Operations are expected to be between $350 million and $400 million during 2026 and between $750 million and $800 million during 2027. Maintenance capital expenditures at our Macau Operations are expected to be between $70 million and $80 million during 2026.</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16, 2026, WML paid a cash dividend of HK$0.223 per share on its common stock for a total U.S. dollar equivalent of approximately $149.8 million in respect of the year ended December 31, 2025. Our share of this dividend was $106.7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our portion of cash available for repatriation was repatriated on June 30, 2026, it would be subject to minimal U.S. taxes.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Resorts Finance, LLC and subsidiaries.</w:t>
      </w:r>
      <w:r>
        <w:rPr>
          <w:color w:val="000000"/>
        </w:rPr>
        <w:t xml:space="preserve"> </w:t>
      </w:r>
      <w:r>
        <w:rPr>
          <w:rFonts w:ascii="Times New Roman;serif" w:hAnsi="Times New Roman;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and the WRF Senior Notes, to pay dividends or distributions to Wynn Resorts, and to fund working capital and capital expenditure requirements as needed.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estimated project capital expenditures between $350 million and $375 million during 2026 and between $175 million and $200 million during 2027 related to enhancements at our Las Vegas Operations. We expect to make total maintenance capital expenditures at our Las Vegas Operations and Encore Boston Harbor between $90 million and $115 million, on a combined basis, during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WRF is a holding company and, as a result, its ability to pay dividends or distributions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0075"/>
                <wp:effectExtent l="0" t="0" r="0" b="0"/>
                <wp:wrapNone/>
                <wp:docPr id="45" name="Frame4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Resorts, Limited and other subsidiaries.</w:t>
      </w:r>
      <w:r>
        <w:rPr>
          <w:color w:val="000000"/>
        </w:rPr>
        <w:t xml:space="preserve"> </w:t>
      </w:r>
      <w:r>
        <w:rPr>
          <w:rFonts w:ascii="Times New Roman;serif" w:hAnsi="Times New Roman;serif"/>
          <w:b w:val="false"/>
          <w:color w:val="000000"/>
          <w:sz w:val="20"/>
        </w:rPr>
        <w:t>Wynn Resorts, Limited is a holding company and, as a result, our ability to pay dividends is dependent on our ability to obtain funds and our subsidiaries' ability to provide funds to us. Wynn Resorts, Limited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2026. We expect to use cash held by Wynn Resorts, Limited and other to service our Retail Term Loan, to fund working capital needs of our subsidiaries, pay dividends, make required capital contributions to the Al Marjan Joint Venture,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contributed $48.1 million of cash into Wynn Al Marjan Island and Janu Al Marjan Island, a hotel and residential development operated by Aman Group, bringing our life-to-date cash contributions to $1.06 billion. We estimate our remaining 40% pro-rata share of the required equity for the development projects is between $525 million and $650 million, inclusive of capitalized interest and fees. Wynn Al Marjan Island is currently expected to open in September 2027 and Janu Al Marjan Island is expected to open in 2029.</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paid a cash dividend of $0.25 per share on its common stock in the quarters ended March 31, 2026 and June 30, 2026 and recorded $26.1 million and $25.8 million, respectively, against accumulated deficit.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announced that its Board of Directors declared a cash dividend of $0.25 per share, payable on August 28, 2026 to stockholders of record as of August 14, 2026.</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Factors Affecting Liquidity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refinance all or a portion of our indebtedness on or before maturity. We cannot assure you that we will be able to refinance any of the indebtedness on acceptable terms or at all.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June 30, 2026, we had $326.1 million in repurchase authority remaining under the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0075"/>
                <wp:effectExtent l="0" t="0" r="0" b="0"/>
                <wp:wrapNone/>
                <wp:docPr id="46" name="Frame4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Contractual Commitments </w:t>
      </w:r>
    </w:p>
    <w:p>
      <w:pPr>
        <w:pStyle w:val="TextBody"/>
        <w:bidi w:val="0"/>
        <w:spacing w:before="0" w:after="0"/>
        <w:ind w:left="0" w:right="0" w:firstLine="18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2026, Palo Real Estate Company Limited ("Palo") and Wynn Macau SA, each an indirect subsidiary of the Company, accepted the terms and conditions of an amended and restated land concession contract from the Macau government (the "Amended Land Concession Contract"). The Amended Land Concession Contract permits Palo and Wynn Macau SA to expand Wynn Palace to develop a new five-star hotel, a theater and an event and entertainment center on the Cotai Land (the "Expanded Resort"). The Macau government has allocated Palo a maximum of 60 months from the date of publication of the Amended Land Concession Contract to complete development of the Expanded Resort on the Cotai Land. As acceptance of the conditions of the Amended Land Concession Contract, Palo paid an additional land premium of MOP652.3 million (approximately $80.8 million) as a one-time lump sum payment. Palo is also required to pay an additional annual rent to the Macau government. For additional information, refer to Note 15, "Commitments and Contingencies" of Part I in this Quarterly Report on Form 10-Q.</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Off Balance Sheet Arrangements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subsidiary of Island 3 is party to a facility agreement which provides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Additionally, the Company and certain partners in the Al Marjan Joint Venture entered into a completion guarantee, pursuant to which the Company may be required to fund shortfalls necessary to achieve practical completion of a district cooling plant serving Wynn Al Marjan Island. For additional information, refer to Note 15, "Commitments and Contingencies" of Part I in this Quarterly Report on Form 10-Q.</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description of our critical accounting policies is included in Item 7 of our Annual Report on Form 10-K for the year ended December 31, 2025. There have been no significant changes to these policies for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Accounting Standards Issued But Not Yet Adopted</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related disclosure in Note 2, "Basis of Presentation and Significant Accounting Policies" of Part I in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market risks to which we are exposed is included within our Annual Report on Form 10-K for the year ended December 31, 2025. </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Sensitivity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0075"/>
                <wp:effectExtent l="0" t="0" r="0" b="0"/>
                <wp:wrapNone/>
                <wp:docPr id="47" name="Frame4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As of June 30, 2026, approximately 81% </w:t>
      </w:r>
      <w:r>
        <w:rPr>
          <w:rFonts w:ascii="Times New Roman;serif" w:hAnsi="Times New Roman;serif"/>
          <w:b w:val="false"/>
          <w:color w:val="000000"/>
          <w:sz w:val="20"/>
          <w:shd w:fill="FFFFFF" w:val="clear"/>
        </w:rPr>
        <w:t xml:space="preserve">of our long-term debt was based on fixed rates. Based on our outstanding borrowings as of </w:t>
      </w:r>
      <w:r>
        <w:rPr>
          <w:rFonts w:ascii="Times New Roman;serif" w:hAnsi="Times New Roman;serif"/>
          <w:b w:val="false"/>
          <w:color w:val="000000"/>
          <w:sz w:val="20"/>
        </w:rPr>
        <w:t>June 30, 2026 and after giving effect to the interest rate swap on the Retail Term Loan</w:t>
      </w:r>
      <w:r>
        <w:rPr>
          <w:rFonts w:ascii="Times New Roman;serif" w:hAnsi="Times New Roman;serif"/>
          <w:b w:val="false"/>
          <w:color w:val="000000"/>
          <w:sz w:val="20"/>
          <w:shd w:fill="FFFFFF" w:val="clear"/>
        </w:rPr>
        <w:t>, an assumed 100 basis point change in the variable rates would cause our annual interest expense to change by</w:t>
      </w:r>
      <w:r>
        <w:rPr>
          <w:color w:val="000000"/>
        </w:rPr>
        <w:t xml:space="preserve"> </w:t>
      </w:r>
      <w:r>
        <w:rPr>
          <w:rFonts w:ascii="Times New Roman;serif" w:hAnsi="Times New Roman;serif"/>
          <w:b w:val="false"/>
          <w:color w:val="000000"/>
          <w:sz w:val="20"/>
        </w:rPr>
        <w:t>$21.0 million.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a party to foreign currency swap agreements with the objective of managing foreign currency exchange rate risk associated with the outstanding U.S. dollar denominated WML Senior Notes. The foreign currency swaps exchange predetermined amounts of Hong Kong dollars for U.S. dollars at a contractual spot rate, and as of June 30, 2026, have an aggregate notional amount of $4.10 billion, and have maturities between October 2027 and August 2030. For additional information, refer to Note 7, "Derivative Instruments" of Part I in this Quarterly Report on Form 10-Q.</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our balances as of June 30, 2026 and after giving effect to our foreign currency swaps, an assumed 1% change in the U.S. dollar/Hong Kong dollar exchange rate would cause a foreign currency gain/loss of $2.9 million.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075"/>
                <wp:effectExtent l="0" t="0" r="0" b="0"/>
                <wp:wrapNone/>
                <wp:docPr id="48" name="Frame4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party to lawsuits in the ordinary course of business.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description of our risk factors can be found in Item 1A, Part I of our Annual Report on Form 10-K for the year ended December 31, 2025. There were no material changes to those risk factors during the six months ended June 30, 2026.</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repurchases made by the Company during the three months ended June 30, 2026:</w:t>
      </w:r>
    </w:p>
    <w:tbl>
      <w:tblPr>
        <w:tblW w:w="10205" w:type="dxa"/>
        <w:jc w:val="left"/>
        <w:tblInd w:w="0" w:type="dxa"/>
        <w:tblLayout w:type="fixed"/>
        <w:tblCellMar>
          <w:top w:w="28" w:type="dxa"/>
          <w:left w:w="28" w:type="dxa"/>
          <w:bottom w:w="28" w:type="dxa"/>
          <w:right w:w="28" w:type="dxa"/>
        </w:tblCellMar>
      </w:tblPr>
      <w:tblGrid>
        <w:gridCol w:w="378"/>
        <w:gridCol w:w="333"/>
        <w:gridCol w:w="336"/>
        <w:gridCol w:w="109"/>
        <w:gridCol w:w="109"/>
        <w:gridCol w:w="109"/>
        <w:gridCol w:w="627"/>
        <w:gridCol w:w="451"/>
        <w:gridCol w:w="452"/>
        <w:gridCol w:w="109"/>
        <w:gridCol w:w="109"/>
        <w:gridCol w:w="109"/>
        <w:gridCol w:w="266"/>
        <w:gridCol w:w="909"/>
        <w:gridCol w:w="137"/>
        <w:gridCol w:w="109"/>
        <w:gridCol w:w="109"/>
        <w:gridCol w:w="109"/>
        <w:gridCol w:w="878"/>
        <w:gridCol w:w="710"/>
        <w:gridCol w:w="712"/>
        <w:gridCol w:w="109"/>
        <w:gridCol w:w="109"/>
        <w:gridCol w:w="109"/>
        <w:gridCol w:w="478"/>
        <w:gridCol w:w="1874"/>
        <w:gridCol w:w="356"/>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(in thousands)</w:t>
            </w:r>
          </w:p>
        </w:tc>
      </w:tr>
      <w:tr>
        <w:trPr/>
        <w:tc>
          <w:tcPr>
            <w:tcW w:w="10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410,098 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272,617 </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372,671 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317,638 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153,365 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150,843 </w:t>
            </w:r>
          </w:p>
        </w:tc>
        <w:tc>
          <w:tcPr>
            <w:tcW w:w="7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Shares purchased in April 2026, May 2026, and June 2026 include 137,481, 4,825 and 2,522 shares, respectively, purchased in satisfaction of employee tax withholding obligations on vested restricted stock granted under our stock incentive plans. Refer to Note 13, "Stock-Based Compensation" in our Consolidated Financial Statements included in our Annual Report on Form 10-K for the year ended December 31, 2025 for additional details on our stock incentive plans.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3. Default Upon Senior Securities. </w:t>
      </w:r>
    </w:p>
    <w:p>
      <w:pPr>
        <w:pStyle w:val="TextBody"/>
        <w:bidi w:val="0"/>
        <w:spacing w:before="0" w:after="0"/>
        <w:ind w:left="0" w:right="0" w:firstLine="4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Section 16 of the Exchange Act) adopted, modified or terminated a “Rule 10b5-1 trading arrangement” or a “non-Rule 10b5-1 trading arrangement” (each as defined in Item 408(a) and (c)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0075"/>
                <wp:effectExtent l="0" t="0" r="0" b="0"/>
                <wp:wrapNone/>
                <wp:docPr id="49" name="Frame4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8"/>
        <w:gridCol w:w="2650"/>
        <w:gridCol w:w="378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Employment Agreement, dated as of January 8, 2026, by and between Wynn Resorts, Limited and Craig Fullalove. (Incorporated by reference from the Current Report on Form 8-K filed by the Registrant on January 9,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First Amendment to the Land Concession Contract, published on July 22, 2026, by and among Palo Real Estate Company Limited, Wynn Resorts (Macau), S.A. and the Macau Special Administrative Region of the People's Republic of China (translated to English from traditional Chinese and Portuguese). (Incorporated by reference from the Current Report on Form 8-K filed by the Registrant on July 22,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eoscertificationxq2.htm">
              <w:r>
                <w:rPr>
                  <w:rStyle w:val="InternetLink"/>
                  <w:rFonts w:ascii="Times New Roman;serif" w:hAnsi="Times New Roman;serif"/>
                  <w:b w:val="false"/>
                  <w:color w:val="0000FF"/>
                  <w:sz w:val="20"/>
                  <w:u w:val="single"/>
                </w:rPr>
                <w:t>Certification of Chief Executive Officer of Periodic Report Pursuant to Rule 13a–14(a) and Rule 15d–14(a).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foscertificationxq2.htm">
              <w:r>
                <w:rPr>
                  <w:rStyle w:val="InternetLink"/>
                  <w:rFonts w:ascii="Times New Roman;serif" w:hAnsi="Times New Roman;serif"/>
                  <w:b w:val="false"/>
                  <w:color w:val="0000FF"/>
                  <w:sz w:val="20"/>
                  <w:u w:val="single"/>
                </w:rPr>
                <w:t>Certification of Chief Financial Officer of Periodic Report Pursuant to Rule 13a–14(a) and Rule 15d–14(a).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eoandcfocertification.htm">
              <w:r>
                <w:rPr>
                  <w:rStyle w:val="InternetLink"/>
                  <w:rFonts w:ascii="Times New Roman;serif" w:hAnsi="Times New Roman;serif"/>
                  <w:b w:val="false"/>
                  <w:color w:val="0000FF"/>
                  <w:sz w:val="20"/>
                  <w:u w:val="single"/>
                </w:rPr>
                <w:t>Certification of CEO and CFO Pursuant to 18 U.S.C. Section 1350 (furnished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 from Wynn Resorts, Limited's Quarterly Report on Form 10-Q, formatted in Inline XBRL (Inline Extensible Business Reporting Language): (i) the Condensed Consolidated Balance Sheets as of June 30, 2026 and December 31, 2025; (ii) the Condensed Consolidated Statements of Operations for the three and six months ended June 30, 2026 and 2025; (iii) the Condensed Consolidated Statements of Comprehensive Income for the three and six months ended June 30, 2026 and 2025; (iv) the Condensed Consolidated Statements of Stockholders' Deficit for the three and six months ended June 30, 2026 and 2025; (v) the Condensed Consolidated Statements of Cash Flows for the six months ended June 30, 2026 and 2025; and (vi) Notes to Condensed Consolidated Financial Statements.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00075"/>
                <wp:effectExtent l="0" t="0" r="0" b="0"/>
                <wp:wrapNone/>
                <wp:docPr id="50" name="Frame5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cdad2b94eec444e91091f2dd117d3a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771"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34"/>
        <w:gridCol w:w="134"/>
        <w:gridCol w:w="136"/>
        <w:gridCol w:w="109"/>
        <w:gridCol w:w="109"/>
        <w:gridCol w:w="109"/>
        <w:gridCol w:w="1102"/>
        <w:gridCol w:w="1102"/>
        <w:gridCol w:w="156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J. Fullalove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0075"/>
                <wp:effectExtent l="0" t="0" r="0" b="0"/>
                <wp:wrapNone/>
                <wp:docPr id="51" name="Frame5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Craig S. Billings, certify that: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300"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724"/>
        <w:gridCol w:w="724"/>
        <w:gridCol w:w="102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Craig S. Billings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Craig J. Fullalove, certify that: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589" w:type="dxa"/>
        <w:jc w:val="center"/>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9"/>
        <w:gridCol w:w="1099"/>
        <w:gridCol w:w="15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Craig J. Fullalove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J. Fullalove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and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Wynn Resorts, Limited (the “Company”) for the quarter ended June 30, 2026 as filed with the Securities and Exchange Commission on the date hereof (the “Report”), Craig S. Billings, as Chief Executive Officer of the Company, and Craig J. Fullalove,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J. Fullalove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Craig J. Fullalove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lineRule="auto" w:line="288" w:before="29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6000004/ex101craigfullaloveea.htm" TargetMode="External"/><Relationship Id="rId5" Type="http://schemas.openxmlformats.org/officeDocument/2006/relationships/hyperlink" Target="https://www.sec.gov/Archives/edgar/data/1174922/000117492226000047/ex101-firstamendmenttothel.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22210</Words>
  <Characters>122929</Characters>
  <CharactersWithSpaces>143198</CharactersWithSpaces>
  <Paragraphs>4376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