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jc w:val="center"/>
        <w:ind w:right="-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26" w:lineRule="auto"/>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8"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186"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Date of Report (Date of earliest event reported): November 24, 2010</w:t>
      </w:r>
    </w:p>
    <w:p>
      <w:pPr>
        <w:spacing w:after="0" w:line="242"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468" w:right="239" w:bottom="1440" w:gutter="0" w:footer="0" w:header="0"/>
        </w:sectPr>
      </w:pPr>
    </w:p>
    <w:p>
      <w:pPr>
        <w:spacing w:after="0" w:line="180" w:lineRule="exact"/>
        <w:rPr>
          <w:sz w:val="24"/>
          <w:szCs w:val="24"/>
          <w:color w:val="auto"/>
        </w:rPr>
      </w:pPr>
    </w:p>
    <w:p>
      <w:pPr>
        <w:jc w:val="center"/>
        <w:ind w:right="120"/>
        <w:spacing w:after="0"/>
        <w:rPr>
          <w:sz w:val="20"/>
          <w:szCs w:val="20"/>
          <w:color w:val="auto"/>
        </w:rPr>
      </w:pPr>
      <w:r>
        <w:rPr>
          <w:rFonts w:ascii="Arial" w:cs="Arial" w:eastAsia="Arial" w:hAnsi="Arial"/>
          <w:sz w:val="20"/>
          <w:szCs w:val="20"/>
          <w:b w:val="1"/>
          <w:bCs w:val="1"/>
          <w:color w:val="auto"/>
        </w:rPr>
        <w:t>Nevada</w:t>
      </w:r>
    </w:p>
    <w:p>
      <w:pPr>
        <w:spacing w:after="0" w:line="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8"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46-0484987</w:t>
      </w:r>
    </w:p>
    <w:p>
      <w:pPr>
        <w:spacing w:after="0" w:line="8"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900" w:space="720"/>
            <w:col w:w="2760" w:space="720"/>
            <w:col w:w="3320"/>
          </w:cols>
          <w:pgMar w:left="240" w:top="468"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1420"/>
          </w:cols>
          <w:pgMar w:left="240" w:top="468" w:right="239" w:bottom="1440" w:gutter="0" w:footer="0" w:header="0"/>
          <w:type w:val="continuous"/>
        </w:sectPr>
      </w:pPr>
    </w:p>
    <w:p>
      <w:pPr>
        <w:spacing w:after="0" w:line="200" w:lineRule="exact"/>
        <w:rPr>
          <w:sz w:val="24"/>
          <w:szCs w:val="24"/>
          <w:color w:val="auto"/>
        </w:rPr>
      </w:pPr>
    </w:p>
    <w:p>
      <w:pPr>
        <w:spacing w:after="0" w:line="201" w:lineRule="exact"/>
        <w:rPr>
          <w:sz w:val="24"/>
          <w:szCs w:val="24"/>
          <w:color w:val="auto"/>
        </w:rPr>
      </w:pPr>
    </w:p>
    <w:p>
      <w:pPr>
        <w:jc w:val="center"/>
        <w:ind w:right="900"/>
        <w:spacing w:after="0"/>
        <w:rPr>
          <w:sz w:val="20"/>
          <w:szCs w:val="20"/>
          <w:color w:val="auto"/>
        </w:rPr>
      </w:pPr>
      <w:r>
        <w:rPr>
          <w:rFonts w:ascii="Arial" w:cs="Arial" w:eastAsia="Arial" w:hAnsi="Arial"/>
          <w:sz w:val="20"/>
          <w:szCs w:val="20"/>
          <w:b w:val="1"/>
          <w:bCs w:val="1"/>
          <w:color w:val="auto"/>
        </w:rPr>
        <w:t>3131 Las Vegas Boulevard South</w:t>
      </w:r>
    </w:p>
    <w:p>
      <w:pPr>
        <w:jc w:val="center"/>
        <w:ind w:right="900"/>
        <w:spacing w:after="0" w:line="233" w:lineRule="auto"/>
        <w:rPr>
          <w:sz w:val="20"/>
          <w:szCs w:val="20"/>
          <w:color w:val="auto"/>
        </w:rPr>
      </w:pPr>
      <w:r>
        <w:rPr>
          <w:rFonts w:ascii="Arial" w:cs="Arial" w:eastAsia="Arial" w:hAnsi="Arial"/>
          <w:sz w:val="20"/>
          <w:szCs w:val="20"/>
          <w:b w:val="1"/>
          <w:bCs w:val="1"/>
          <w:color w:val="auto"/>
        </w:rPr>
        <w:t>Las Vegas, Nevada</w:t>
      </w:r>
    </w:p>
    <w:p>
      <w:pPr>
        <w:spacing w:after="0" w:line="1" w:lineRule="exact"/>
        <w:rPr>
          <w:sz w:val="24"/>
          <w:szCs w:val="24"/>
          <w:color w:val="auto"/>
        </w:rPr>
      </w:pPr>
    </w:p>
    <w:p>
      <w:pPr>
        <w:jc w:val="center"/>
        <w:ind w:right="90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7" w:lineRule="exact"/>
        <w:rPr>
          <w:sz w:val="24"/>
          <w:szCs w:val="24"/>
          <w:color w:val="auto"/>
        </w:rPr>
      </w:pPr>
    </w:p>
    <w:p>
      <w:pPr>
        <w:jc w:val="center"/>
        <w:ind w:right="1620"/>
        <w:spacing w:after="0"/>
        <w:rPr>
          <w:sz w:val="20"/>
          <w:szCs w:val="20"/>
          <w:color w:val="auto"/>
        </w:rPr>
      </w:pPr>
      <w:r>
        <w:rPr>
          <w:rFonts w:ascii="Arial" w:cs="Arial" w:eastAsia="Arial" w:hAnsi="Arial"/>
          <w:sz w:val="20"/>
          <w:szCs w:val="20"/>
          <w:b w:val="1"/>
          <w:bCs w:val="1"/>
          <w:color w:val="auto"/>
        </w:rPr>
        <w:t>89109</w:t>
      </w:r>
    </w:p>
    <w:p>
      <w:pPr>
        <w:spacing w:after="0" w:line="8"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220" w:space="720"/>
            <w:col w:w="2480"/>
          </w:cols>
          <w:pgMar w:left="240" w:top="468"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468" w:right="239" w:bottom="1440" w:gutter="0" w:footer="0" w:header="0"/>
          <w:type w:val="continuous"/>
        </w:sect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8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1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02" w:lineRule="exact"/>
        <w:rPr>
          <w:rFonts w:ascii="Arial" w:cs="Arial" w:eastAsia="Arial" w:hAnsi="Arial"/>
          <w:sz w:val="20"/>
          <w:szCs w:val="20"/>
          <w:color w:val="auto"/>
        </w:rPr>
      </w:pPr>
    </w:p>
    <w:p>
      <w:pPr>
        <w:ind w:left="580" w:hanging="572"/>
        <w:spacing w:after="0"/>
        <w:tabs>
          <w:tab w:leader="none" w:pos="58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02" w:lineRule="exact"/>
        <w:rPr>
          <w:rFonts w:ascii="Arial" w:cs="Arial" w:eastAsia="Arial" w:hAnsi="Arial"/>
          <w:sz w:val="20"/>
          <w:szCs w:val="20"/>
          <w:color w:val="auto"/>
        </w:rPr>
      </w:pPr>
    </w:p>
    <w:p>
      <w:pPr>
        <w:ind w:left="580" w:hanging="572"/>
        <w:spacing w:after="0"/>
        <w:tabs>
          <w:tab w:leader="none" w:pos="5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02" w:lineRule="exact"/>
        <w:rPr>
          <w:rFonts w:ascii="Arial" w:cs="Arial" w:eastAsia="Arial" w:hAnsi="Arial"/>
          <w:sz w:val="20"/>
          <w:szCs w:val="20"/>
          <w:color w:val="auto"/>
        </w:rPr>
      </w:pPr>
    </w:p>
    <w:p>
      <w:pPr>
        <w:ind w:left="580" w:hanging="572"/>
        <w:spacing w:after="0"/>
        <w:tabs>
          <w:tab w:leader="none" w:pos="5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spacing w:after="0"/>
        <w:tabs>
          <w:tab w:leader="none" w:pos="140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On November 24, 2010, Stephen A. Wynn (“Mr. Wynn”), the Chairman of the Board of Directors and Chief Executive Officer of Wynn Resorts, Limited (the “Registrant”), Elaine P. Wynn, a member of the Board of Directors of the Registrant (“Ms. Wynn”), and Aruze USA, Inc. (“Aruze”), a Nevada corporation, entered into a Waiver and Consent (the “Waiver and Consent”) with respect to that certain Amended and Restated Stockholders Agreement, dated January 6, 2010, by and among Mr. Wynn, Ms. Wynn and Aruze (the “Stockholders Agreement”). Pursuant to the Waiver and Consent, (a) each of Mr. Wynn and Ms. Wynn consented to the transfer by Aruze of up to 1,445,805 shares (the “Aruze Released Shares”) of common stock, par value $0.01, of the Registrant (“Common Stock”) from the Stockholders Agreement, and (b) each of Mr. Wynn, Ms. Wynn and Aruze consented to the transfer by each of Mr. Wynn and Ms. Wynn of up to 1,000,000 shares (collectively, the “Wynn Released Shares”) of Common Stock from the Stockholders Agreement. The parties agreed that the Aruze Released Shares and the Wynn Released Shares shall be released from all terms and restrictions set forth in the Stockholders Agreement upon the transfer of such shares. The parties further agreed that until any such transfer, the Aruze Released Shares and the Wynn Released Shares shall remain subject to all terms and restrictions set forth in the Stockholders Agreement.</w:t>
      </w:r>
    </w:p>
    <w:p>
      <w:pPr>
        <w:spacing w:after="0" w:line="189"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The foregoing description of the Waiver and Consent does not purport to be complete and is qualified in its entirety by reference to the Waiver and Consent which is filed herewith as Exhibit 10.1 and is incorporated herein by this reference.</w:t>
      </w:r>
    </w:p>
    <w:p>
      <w:pPr>
        <w:spacing w:after="0" w:line="17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500" w:hanging="790"/>
        <w:spacing w:after="0"/>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000" w:type="dxa"/>
            <w:vAlign w:val="bottom"/>
          </w:tcPr>
          <w:p>
            <w:pPr>
              <w:spacing w:after="0"/>
              <w:rPr>
                <w:sz w:val="21"/>
                <w:szCs w:val="21"/>
                <w:color w:val="auto"/>
              </w:rPr>
            </w:pPr>
          </w:p>
        </w:tc>
        <w:tc>
          <w:tcPr>
            <w:tcW w:w="8000" w:type="dxa"/>
            <w:vAlign w:val="bottom"/>
          </w:tcPr>
          <w:p>
            <w:pPr>
              <w:spacing w:after="0"/>
              <w:rPr>
                <w:sz w:val="21"/>
                <w:szCs w:val="21"/>
                <w:color w:val="auto"/>
              </w:rPr>
            </w:pPr>
          </w:p>
        </w:tc>
      </w:tr>
      <w:tr>
        <w:trPr>
          <w:trHeight w:val="224"/>
        </w:trPr>
        <w:tc>
          <w:tcPr>
            <w:tcW w:w="1040" w:type="dxa"/>
            <w:vAlign w:val="bottom"/>
          </w:tcPr>
          <w:p>
            <w:pPr>
              <w:spacing w:after="0"/>
              <w:rPr>
                <w:sz w:val="19"/>
                <w:szCs w:val="19"/>
                <w:color w:val="auto"/>
              </w:rPr>
            </w:pPr>
          </w:p>
        </w:tc>
        <w:tc>
          <w:tcPr>
            <w:tcW w:w="720" w:type="dxa"/>
            <w:vAlign w:val="bottom"/>
          </w:tcPr>
          <w:p>
            <w:pPr>
              <w:spacing w:after="0" w:line="224" w:lineRule="exact"/>
              <w:rPr>
                <w:sz w:val="20"/>
                <w:szCs w:val="20"/>
                <w:color w:val="auto"/>
              </w:rPr>
            </w:pPr>
            <w:r>
              <w:rPr>
                <w:rFonts w:ascii="Arial" w:cs="Arial" w:eastAsia="Arial" w:hAnsi="Arial"/>
                <w:sz w:val="22"/>
                <w:szCs w:val="22"/>
                <w:color w:val="auto"/>
                <w:w w:val="89"/>
              </w:rPr>
              <w:t>Number</w:t>
            </w:r>
          </w:p>
        </w:tc>
        <w:tc>
          <w:tcPr>
            <w:tcW w:w="660" w:type="dxa"/>
            <w:vAlign w:val="bottom"/>
          </w:tcPr>
          <w:p>
            <w:pPr>
              <w:spacing w:after="0"/>
              <w:rPr>
                <w:sz w:val="19"/>
                <w:szCs w:val="19"/>
                <w:color w:val="auto"/>
              </w:rPr>
            </w:pPr>
          </w:p>
        </w:tc>
        <w:tc>
          <w:tcPr>
            <w:tcW w:w="9000" w:type="dxa"/>
            <w:vAlign w:val="bottom"/>
            <w:gridSpan w:val="2"/>
          </w:tcPr>
          <w:p>
            <w:pPr>
              <w:spacing w:after="0" w:line="224" w:lineRule="exact"/>
              <w:rPr>
                <w:sz w:val="20"/>
                <w:szCs w:val="20"/>
                <w:color w:val="auto"/>
              </w:rPr>
            </w:pPr>
            <w:r>
              <w:rPr>
                <w:rFonts w:ascii="Arial" w:cs="Arial" w:eastAsia="Arial" w:hAnsi="Arial"/>
                <w:sz w:val="22"/>
                <w:szCs w:val="22"/>
                <w:color w:val="auto"/>
              </w:rPr>
              <w:t>Description</w:t>
            </w: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458"/>
        </w:trPr>
        <w:tc>
          <w:tcPr>
            <w:tcW w:w="104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22"/>
                <w:szCs w:val="22"/>
                <w:color w:val="auto"/>
              </w:rPr>
              <w:t>10.1</w:t>
            </w:r>
          </w:p>
        </w:tc>
        <w:tc>
          <w:tcPr>
            <w:tcW w:w="6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22"/>
                <w:szCs w:val="22"/>
                <w:color w:val="auto"/>
                <w:w w:val="89"/>
              </w:rPr>
              <w:t>Waiver and Consent, dated November 24, 2010, by and among Aruze USA, Inc., Stephen A. Wynn and</w:t>
            </w:r>
          </w:p>
        </w:tc>
      </w:tr>
      <w:tr>
        <w:trPr>
          <w:trHeight w:val="275"/>
        </w:trPr>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0" w:type="dxa"/>
            <w:vAlign w:val="bottom"/>
            <w:gridSpan w:val="2"/>
          </w:tcPr>
          <w:p>
            <w:pPr>
              <w:spacing w:after="0"/>
              <w:rPr>
                <w:sz w:val="20"/>
                <w:szCs w:val="20"/>
                <w:color w:val="auto"/>
              </w:rPr>
            </w:pPr>
            <w:r>
              <w:rPr>
                <w:rFonts w:ascii="Arial" w:cs="Arial" w:eastAsia="Arial" w:hAnsi="Arial"/>
                <w:sz w:val="22"/>
                <w:szCs w:val="22"/>
                <w:color w:val="auto"/>
              </w:rPr>
              <w:t>Elaine P. Wynn.</w:t>
            </w:r>
          </w:p>
        </w:tc>
      </w:tr>
      <w:tr>
        <w:trPr>
          <w:trHeight w:val="1135"/>
        </w:trPr>
        <w:tc>
          <w:tcPr>
            <w:tcW w:w="10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November 24, 2010</w:t>
      </w:r>
    </w:p>
    <w:p>
      <w:pPr>
        <w:spacing w:after="0" w:line="202"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18" w:lineRule="exact"/>
        <w:rPr>
          <w:sz w:val="20"/>
          <w:szCs w:val="20"/>
          <w:color w:val="auto"/>
        </w:rPr>
      </w:pPr>
    </w:p>
    <w:p>
      <w:pPr>
        <w:ind w:left="6740"/>
        <w:spacing w:after="0"/>
        <w:tabs>
          <w:tab w:leader="none" w:pos="73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Kevin Tourek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1905</wp:posOffset>
            </wp:positionV>
            <wp:extent cx="2590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7340"/>
        <w:spacing w:after="0"/>
        <w:rPr>
          <w:sz w:val="20"/>
          <w:szCs w:val="20"/>
          <w:color w:val="auto"/>
        </w:rPr>
      </w:pPr>
      <w:r>
        <w:rPr>
          <w:rFonts w:ascii="Arial" w:cs="Arial" w:eastAsia="Arial" w:hAnsi="Arial"/>
          <w:sz w:val="20"/>
          <w:szCs w:val="20"/>
          <w:color w:val="auto"/>
        </w:rPr>
        <w:t>Kevin Tourek</w:t>
      </w:r>
    </w:p>
    <w:p>
      <w:pPr>
        <w:ind w:left="7340"/>
        <w:spacing w:after="0"/>
        <w:rPr>
          <w:sz w:val="20"/>
          <w:szCs w:val="20"/>
          <w:color w:val="auto"/>
        </w:rPr>
      </w:pPr>
      <w:r>
        <w:rPr>
          <w:rFonts w:ascii="Arial" w:cs="Arial" w:eastAsia="Arial" w:hAnsi="Arial"/>
          <w:sz w:val="20"/>
          <w:szCs w:val="20"/>
          <w:color w:val="auto"/>
        </w:rPr>
        <w:t>Assistant Secretary</w:t>
      </w:r>
    </w:p>
    <w:p>
      <w:pPr>
        <w:sectPr>
          <w:pgSz w:w="11900" w:h="16838" w:orient="portrait"/>
          <w:cols w:equalWidth="0" w:num="1">
            <w:col w:w="11420"/>
          </w:cols>
          <w:pgMar w:left="240" w:top="5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 AND CONSENT</w:t>
      </w:r>
    </w:p>
    <w:p>
      <w:pPr>
        <w:spacing w:after="0" w:line="198"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This Waiver and Consent is made as of the 24 day of November, 2010 by and among Aruze USA, Inc. (“Aruze”), Stephen A. Wynn (“SW”) and Elaine P. Wynn (“EW”).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98" w:lineRule="exact"/>
        <w:rPr>
          <w:sz w:val="20"/>
          <w:szCs w:val="20"/>
          <w:color w:val="auto"/>
        </w:rPr>
      </w:pPr>
    </w:p>
    <w:p>
      <w:pPr>
        <w:ind w:left="1300" w:right="180" w:hanging="644"/>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Aruze, SW and EW are parties to that certain Amended and Restated Stockholders’ Agreement dated as of January 6, 2010, modified by a Release dated April 14, 2010 (together, the “Agreement”).</w:t>
      </w:r>
    </w:p>
    <w:p>
      <w:pPr>
        <w:spacing w:after="0" w:line="183" w:lineRule="exact"/>
        <w:rPr>
          <w:rFonts w:ascii="Arial" w:cs="Arial" w:eastAsia="Arial" w:hAnsi="Arial"/>
          <w:sz w:val="18"/>
          <w:szCs w:val="18"/>
          <w:color w:val="auto"/>
        </w:rPr>
      </w:pPr>
    </w:p>
    <w:p>
      <w:pPr>
        <w:ind w:left="1300" w:right="500" w:hanging="644"/>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Agreement provides that each party is required to obtain prior written consent of the others to Transfer any shares of Wynn Resorts, Limited (“WRL”) subject to the Agreement.</w:t>
      </w:r>
    </w:p>
    <w:p>
      <w:pPr>
        <w:spacing w:after="0" w:line="183" w:lineRule="exact"/>
        <w:rPr>
          <w:rFonts w:ascii="Arial" w:cs="Arial" w:eastAsia="Arial" w:hAnsi="Arial"/>
          <w:sz w:val="18"/>
          <w:szCs w:val="18"/>
          <w:color w:val="auto"/>
        </w:rPr>
      </w:pPr>
    </w:p>
    <w:p>
      <w:pPr>
        <w:ind w:left="1300" w:right="80" w:hanging="644"/>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to the date hereof, SAW and EW collectively have obtained a release of 2,445,805 shares of common stock of WRL from the terms of the Agreement and Aruze has obtained the release of 2,000,000 shares from the terms of the Agreement.</w:t>
      </w:r>
    </w:p>
    <w:p>
      <w:pPr>
        <w:spacing w:after="0" w:line="183" w:lineRule="exact"/>
        <w:rPr>
          <w:rFonts w:ascii="Arial" w:cs="Arial" w:eastAsia="Arial" w:hAnsi="Arial"/>
          <w:sz w:val="18"/>
          <w:szCs w:val="18"/>
          <w:color w:val="auto"/>
        </w:rPr>
      </w:pPr>
    </w:p>
    <w:p>
      <w:pPr>
        <w:ind w:left="1300" w:right="480" w:hanging="644"/>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have each consented to the Transfer by each of them of up to certain shares of WRL common stock currently subject to the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foregoing and the agreements set forth below, the parties hereto agree as follows:</w:t>
      </w:r>
    </w:p>
    <w:p>
      <w:pPr>
        <w:spacing w:after="0" w:line="198" w:lineRule="exact"/>
        <w:rPr>
          <w:sz w:val="20"/>
          <w:szCs w:val="20"/>
          <w:color w:val="auto"/>
        </w:rPr>
      </w:pPr>
    </w:p>
    <w:p>
      <w:pPr>
        <w:ind w:left="1580" w:hanging="924"/>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herein shall have the meanings set forth in the Agreement.</w:t>
      </w:r>
    </w:p>
    <w:p>
      <w:pPr>
        <w:spacing w:after="0" w:line="198" w:lineRule="exact"/>
        <w:rPr>
          <w:rFonts w:ascii="Arial" w:cs="Arial" w:eastAsia="Arial" w:hAnsi="Arial"/>
          <w:sz w:val="18"/>
          <w:szCs w:val="18"/>
          <w:color w:val="auto"/>
        </w:rPr>
      </w:pPr>
    </w:p>
    <w:p>
      <w:pPr>
        <w:ind w:left="1580" w:right="100" w:hanging="924"/>
        <w:spacing w:after="0" w:line="237" w:lineRule="auto"/>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Consent</w:t>
      </w:r>
      <w:r>
        <w:rPr>
          <w:rFonts w:ascii="Arial" w:cs="Arial" w:eastAsia="Arial" w:hAnsi="Arial"/>
          <w:sz w:val="18"/>
          <w:szCs w:val="18"/>
          <w:color w:val="auto"/>
        </w:rPr>
        <w:t>. Each of SW and EW consents to the Transfer by Aruze of up to 1,445,805 shares of common stock of WRL currently subject to the Agreement and Aruze, and SW and EW each consent to the Transfer by SW and EW of up to 1,000,000 shares of common stock of WRL currently subject to the Agreement and each confirms that such shares of common stock of WRL shall be released from all terms and restrictions set forth in the Agreement upon a Transfer. It is understood and agreed that until any such Transfer, the shares shall remain subject to all terms and restrictions set forth in the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set their hand to this Agreement on the day and year first written above.</w:t>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Aruze USA,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-1905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Name: Kazuo Okada,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3920" w:type="dxa"/>
            <w:vAlign w:val="bottom"/>
          </w:tcPr>
          <w:p>
            <w:pPr>
              <w:spacing w:after="0"/>
              <w:rPr>
                <w:sz w:val="20"/>
                <w:szCs w:val="20"/>
                <w:color w:val="auto"/>
              </w:rPr>
            </w:pPr>
            <w:r>
              <w:rPr>
                <w:rFonts w:ascii="Arial" w:cs="Arial" w:eastAsia="Arial" w:hAnsi="Arial"/>
                <w:sz w:val="18"/>
                <w:szCs w:val="18"/>
                <w:color w:val="auto"/>
              </w:rPr>
              <w:t>/s/ Stephen A. Wynn</w:t>
            </w:r>
          </w:p>
        </w:tc>
        <w:tc>
          <w:tcPr>
            <w:tcW w:w="6420" w:type="dxa"/>
            <w:vAlign w:val="bottom"/>
            <w:gridSpan w:val="2"/>
          </w:tcPr>
          <w:p>
            <w:pPr>
              <w:ind w:left="1860"/>
              <w:spacing w:after="0"/>
              <w:rPr>
                <w:sz w:val="20"/>
                <w:szCs w:val="20"/>
                <w:color w:val="auto"/>
              </w:rPr>
            </w:pPr>
            <w:r>
              <w:rPr>
                <w:rFonts w:ascii="Arial" w:cs="Arial" w:eastAsia="Arial" w:hAnsi="Arial"/>
                <w:sz w:val="18"/>
                <w:szCs w:val="18"/>
                <w:color w:val="auto"/>
              </w:rPr>
              <w:t>/s/ Elaine P. Wynn</w:t>
            </w:r>
          </w:p>
        </w:tc>
      </w:tr>
      <w:tr>
        <w:trPr>
          <w:trHeight w:val="210"/>
        </w:trPr>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A. Wynn</w:t>
            </w:r>
          </w:p>
        </w:tc>
        <w:tc>
          <w:tcPr>
            <w:tcW w:w="186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Elaine P. Wynn</w:t>
            </w:r>
          </w:p>
        </w:tc>
      </w:tr>
    </w:tbl>
    <w:p>
      <w:pPr>
        <w:spacing w:after="0" w:line="1" w:lineRule="exact"/>
        <w:rPr>
          <w:sz w:val="20"/>
          <w:szCs w:val="20"/>
          <w:color w:val="auto"/>
        </w:rPr>
      </w:pP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2019-12-10T21:40:06Z</dcterms:created>
  <dcterms:modified xsi:type="dcterms:W3CDTF">2019-12-10T21:40:06Z</dcterms:modified>
</cp:coreProperties>
</file>