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31, 2008</w:t>
      </w:r>
    </w:p>
    <w:p>
      <w:pPr>
        <w:spacing w:after="0" w:line="2" w:lineRule="exact"/>
        <w:rPr>
          <w:sz w:val="24"/>
          <w:szCs w:val="24"/>
          <w:color w:val="auto"/>
        </w:rPr>
      </w:pPr>
    </w:p>
    <w:p>
      <w:pPr>
        <w:ind w:left="9160"/>
        <w:spacing w:after="0"/>
        <w:rPr>
          <w:sz w:val="20"/>
          <w:szCs w:val="20"/>
          <w:color w:val="auto"/>
        </w:rPr>
      </w:pPr>
      <w:r>
        <w:rPr>
          <w:rFonts w:ascii="Arial" w:cs="Arial" w:eastAsia="Arial" w:hAnsi="Arial"/>
          <w:sz w:val="12"/>
          <w:szCs w:val="12"/>
          <w:b w:val="1"/>
          <w:bCs w:val="1"/>
          <w:color w:val="auto"/>
        </w:rPr>
        <w:t>Registration Statement No. 333-149556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4"/>
                <w:szCs w:val="14"/>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88-0494875</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34"/>
        </w:trPr>
        <w:tc>
          <w:tcPr>
            <w:tcW w:w="2120" w:type="dxa"/>
            <w:vAlign w:val="bottom"/>
          </w:tcPr>
          <w:p>
            <w:pPr>
              <w:jc w:val="center"/>
              <w:ind w:right="292"/>
              <w:spacing w:after="0" w:line="135"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line="135" w:lineRule="exact"/>
              <w:rPr>
                <w:sz w:val="20"/>
                <w:szCs w:val="20"/>
                <w:color w:val="auto"/>
              </w:rPr>
            </w:pPr>
            <w:r>
              <w:rPr>
                <w:rFonts w:ascii="Arial" w:cs="Arial" w:eastAsia="Arial" w:hAnsi="Arial"/>
                <w:sz w:val="14"/>
                <w:szCs w:val="14"/>
                <w:b w:val="1"/>
                <w:bCs w:val="1"/>
                <w:color w:val="auto"/>
                <w:w w:val="89"/>
              </w:rPr>
              <w:t>Identification No.)</w:t>
            </w:r>
          </w:p>
        </w:tc>
      </w:tr>
      <w:tr>
        <w:trPr>
          <w:trHeight w:val="392"/>
        </w:trPr>
        <w:tc>
          <w:tcPr>
            <w:tcW w:w="2120" w:type="dxa"/>
            <w:vAlign w:val="bottom"/>
          </w:tcPr>
          <w:p>
            <w:pPr>
              <w:spacing w:after="0"/>
              <w:rPr>
                <w:sz w:val="24"/>
                <w:szCs w:val="24"/>
                <w:color w:val="auto"/>
              </w:rPr>
            </w:pPr>
          </w:p>
        </w:tc>
        <w:tc>
          <w:tcPr>
            <w:tcW w:w="5260" w:type="dxa"/>
            <w:vAlign w:val="bottom"/>
          </w:tcPr>
          <w:p>
            <w:pPr>
              <w:jc w:val="center"/>
              <w:ind w:right="163"/>
              <w:spacing w:after="0"/>
              <w:rPr>
                <w:sz w:val="20"/>
                <w:szCs w:val="20"/>
                <w:color w:val="auto"/>
              </w:rPr>
            </w:pPr>
            <w:r>
              <w:rPr>
                <w:rFonts w:ascii="Arial" w:cs="Arial" w:eastAsia="Arial" w:hAnsi="Arial"/>
                <w:sz w:val="32"/>
                <w:szCs w:val="32"/>
                <w:b w:val="1"/>
                <w:bCs w:val="1"/>
                <w:color w:val="auto"/>
                <w:w w:val="92"/>
              </w:rPr>
              <w:t>Wynn Las Vegas Capital Corp.</w:t>
            </w:r>
          </w:p>
        </w:tc>
        <w:tc>
          <w:tcPr>
            <w:tcW w:w="1660" w:type="dxa"/>
            <w:vAlign w:val="bottom"/>
          </w:tcPr>
          <w:p>
            <w:pPr>
              <w:spacing w:after="0"/>
              <w:rPr>
                <w:sz w:val="24"/>
                <w:szCs w:val="24"/>
                <w:color w:val="auto"/>
              </w:rPr>
            </w:pPr>
          </w:p>
        </w:tc>
      </w:tr>
      <w:tr>
        <w:trPr>
          <w:trHeight w:val="162"/>
        </w:trPr>
        <w:tc>
          <w:tcPr>
            <w:tcW w:w="2120" w:type="dxa"/>
            <w:vAlign w:val="bottom"/>
          </w:tcPr>
          <w:p>
            <w:pPr>
              <w:spacing w:after="0"/>
              <w:rPr>
                <w:sz w:val="14"/>
                <w:szCs w:val="14"/>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4"/>
                <w:szCs w:val="14"/>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46-0484992</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(Primary Standard</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Industrial Classification Code Number)</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12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*See Table of Additional Registrants below</w:t>
            </w: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770-7555</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Matt Maddox</w:t>
      </w:r>
    </w:p>
    <w:p>
      <w:pPr>
        <w:jc w:val="center"/>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51435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Jerome L. Coben, Esq.</w:t>
      </w:r>
    </w:p>
    <w:p>
      <w:pPr>
        <w:jc w:val="center"/>
        <w:spacing w:after="0" w:line="221" w:lineRule="auto"/>
        <w:rPr>
          <w:sz w:val="20"/>
          <w:szCs w:val="20"/>
          <w:color w:val="auto"/>
        </w:rPr>
      </w:pPr>
      <w:r>
        <w:rPr>
          <w:rFonts w:ascii="Arial" w:cs="Arial" w:eastAsia="Arial" w:hAnsi="Arial"/>
          <w:sz w:val="14"/>
          <w:szCs w:val="14"/>
          <w:b w:val="1"/>
          <w:bCs w:val="1"/>
          <w:color w:val="auto"/>
        </w:rPr>
        <w:t>Casey T. Fleck, Esq.</w:t>
      </w:r>
    </w:p>
    <w:p>
      <w:pPr>
        <w:jc w:val="center"/>
        <w:spacing w:after="0" w:line="221"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2"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1"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2"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66040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0" w:lineRule="exact"/>
        <w:rPr>
          <w:sz w:val="24"/>
          <w:szCs w:val="24"/>
          <w:color w:val="auto"/>
        </w:rPr>
      </w:pPr>
    </w:p>
    <w:p>
      <w:pPr>
        <w:ind w:left="360"/>
        <w:spacing w:after="0"/>
        <w:tabs>
          <w:tab w:leader="none" w:pos="5540" w:val="left"/>
        </w:tabs>
        <w:rPr>
          <w:sz w:val="20"/>
          <w:szCs w:val="20"/>
          <w:color w:val="auto"/>
        </w:rPr>
      </w:pPr>
      <w:r>
        <w:rPr>
          <w:rFonts w:ascii="Arial" w:cs="Arial" w:eastAsia="Arial" w:hAnsi="Arial"/>
          <w:sz w:val="18"/>
          <w:szCs w:val="18"/>
          <w:b w:val="1"/>
          <w:bCs w:val="1"/>
          <w:color w:val="auto"/>
        </w:rPr>
        <w:t>Approximate date of commencement of proposed sale to the public:</w:t>
      </w:r>
      <w:r>
        <w:rPr>
          <w:sz w:val="20"/>
          <w:szCs w:val="20"/>
          <w:color w:val="auto"/>
        </w:rPr>
        <w:tab/>
      </w:r>
      <w:r>
        <w:rPr>
          <w:rFonts w:ascii="Arial" w:cs="Arial" w:eastAsia="Arial" w:hAnsi="Arial"/>
          <w:sz w:val="15"/>
          <w:szCs w:val="15"/>
          <w:color w:val="auto"/>
        </w:rPr>
        <w:t>As soon as practicable after this registration statement becomes effective.</w:t>
      </w:r>
    </w:p>
    <w:p>
      <w:pPr>
        <w:spacing w:after="0" w:line="29" w:lineRule="exact"/>
        <w:rPr>
          <w:sz w:val="24"/>
          <w:szCs w:val="24"/>
          <w:color w:val="auto"/>
        </w:rPr>
      </w:pPr>
    </w:p>
    <w:p>
      <w:pPr>
        <w:ind w:right="40" w:firstLine="342"/>
        <w:spacing w:after="0" w:line="229"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380" w:firstLine="342"/>
        <w:spacing w:after="0" w:line="22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740" w:firstLine="342"/>
        <w:spacing w:after="0" w:line="223" w:lineRule="exact"/>
        <w:rPr>
          <w:sz w:val="20"/>
          <w:szCs w:val="20"/>
          <w:color w:val="auto"/>
        </w:rPr>
      </w:pPr>
      <w:r>
        <w:rPr>
          <w:rFonts w:ascii="Arial" w:cs="Arial" w:eastAsia="Arial" w:hAnsi="Arial"/>
          <w:sz w:val="18"/>
          <w:szCs w:val="18"/>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66040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0" w:lineRule="exact"/>
        <w:rPr>
          <w:sz w:val="24"/>
          <w:szCs w:val="24"/>
          <w:color w:val="auto"/>
        </w:rPr>
      </w:pPr>
    </w:p>
    <w:p>
      <w:pPr>
        <w:ind w:right="220" w:firstLine="342"/>
        <w:spacing w:after="0" w:line="256" w:lineRule="auto"/>
        <w:rPr>
          <w:sz w:val="20"/>
          <w:szCs w:val="20"/>
          <w:color w:val="auto"/>
        </w:rPr>
      </w:pPr>
      <w:r>
        <w:rPr>
          <w:rFonts w:ascii="Arial" w:cs="Arial" w:eastAsia="Arial" w:hAnsi="Arial"/>
          <w:sz w:val="18"/>
          <w:szCs w:val="18"/>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ADDITIONAL REGISTRANTS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6"/>
              </w:rPr>
              <w:t>State or Other Jurisdiction of</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w w:val="90"/>
              </w:rPr>
              <w:t>Primary Standard Industrial</w:t>
            </w:r>
          </w:p>
        </w:tc>
        <w:tc>
          <w:tcPr>
            <w:tcW w:w="9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I.R.S. Employer</w:t>
            </w:r>
          </w:p>
        </w:tc>
      </w:tr>
      <w:tr>
        <w:trPr>
          <w:trHeight w:val="161"/>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Name of Additional Registrant*</w:t>
            </w:r>
          </w:p>
        </w:tc>
        <w:tc>
          <w:tcPr>
            <w:tcW w:w="26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0"/>
              </w:rPr>
              <w:t>Incorporation or Formation</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w w:val="87"/>
              </w:rPr>
              <w:t>Classification Code Number</w:t>
            </w:r>
          </w:p>
        </w:tc>
        <w:tc>
          <w:tcPr>
            <w:tcW w:w="19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Identification No.</w:t>
            </w:r>
          </w:p>
        </w:tc>
      </w:tr>
      <w:tr>
        <w:trPr>
          <w:trHeight w:val="201"/>
        </w:trPr>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Las Vegas Jet, LLC</w:t>
            </w:r>
          </w:p>
        </w:tc>
        <w:tc>
          <w:tcPr>
            <w:tcW w:w="3220" w:type="dxa"/>
            <w:vAlign w:val="bottom"/>
          </w:tcPr>
          <w:p>
            <w:pPr>
              <w:spacing w:after="0"/>
              <w:rPr>
                <w:sz w:val="17"/>
                <w:szCs w:val="17"/>
                <w:color w:val="auto"/>
              </w:rPr>
            </w:pPr>
          </w:p>
        </w:tc>
        <w:tc>
          <w:tcPr>
            <w:tcW w:w="1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Nevada</w:t>
            </w:r>
          </w:p>
        </w:tc>
        <w:tc>
          <w:tcPr>
            <w:tcW w:w="920" w:type="dxa"/>
            <w:vAlign w:val="bottom"/>
          </w:tcPr>
          <w:p>
            <w:pPr>
              <w:spacing w:after="0"/>
              <w:rPr>
                <w:sz w:val="17"/>
                <w:szCs w:val="17"/>
                <w:color w:val="auto"/>
              </w:rPr>
            </w:pPr>
          </w:p>
        </w:tc>
        <w:tc>
          <w:tcPr>
            <w:tcW w:w="1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7990</w:t>
            </w:r>
          </w:p>
        </w:tc>
        <w:tc>
          <w:tcPr>
            <w:tcW w:w="9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88-0460935</w:t>
            </w:r>
          </w:p>
        </w:tc>
        <w:tc>
          <w:tcPr>
            <w:tcW w:w="20" w:type="dxa"/>
            <w:vAlign w:val="bottom"/>
          </w:tcPr>
          <w:p>
            <w:pPr>
              <w:spacing w:after="0"/>
              <w:rPr>
                <w:sz w:val="17"/>
                <w:szCs w:val="17"/>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World Travel, LLC</w:t>
            </w:r>
          </w:p>
        </w:tc>
        <w:tc>
          <w:tcPr>
            <w:tcW w:w="2620" w:type="dxa"/>
            <w:vAlign w:val="bottom"/>
            <w:gridSpan w:val="2"/>
          </w:tcPr>
          <w:p>
            <w:pPr>
              <w:jc w:val="right"/>
              <w:ind w:right="920"/>
              <w:spacing w:after="0"/>
              <w:rPr>
                <w:sz w:val="20"/>
                <w:szCs w:val="20"/>
                <w:color w:val="auto"/>
              </w:rPr>
            </w:pPr>
            <w:r>
              <w:rPr>
                <w:rFonts w:ascii="Arial" w:cs="Arial" w:eastAsia="Arial" w:hAnsi="Arial"/>
                <w:sz w:val="18"/>
                <w:szCs w:val="18"/>
                <w:color w:val="auto"/>
              </w:rPr>
              <w:t>Nevada</w:t>
            </w:r>
          </w:p>
        </w:tc>
        <w:tc>
          <w:tcPr>
            <w:tcW w:w="1680" w:type="dxa"/>
            <w:vAlign w:val="bottom"/>
          </w:tcPr>
          <w:p>
            <w:pPr>
              <w:jc w:val="right"/>
              <w:spacing w:after="0"/>
              <w:rPr>
                <w:sz w:val="20"/>
                <w:szCs w:val="20"/>
                <w:color w:val="auto"/>
              </w:rPr>
            </w:pPr>
            <w:r>
              <w:rPr>
                <w:rFonts w:ascii="Arial" w:cs="Arial" w:eastAsia="Arial" w:hAnsi="Arial"/>
                <w:sz w:val="18"/>
                <w:szCs w:val="18"/>
                <w:color w:val="auto"/>
              </w:rPr>
              <w:t>7990</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47-0846667</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Wynn Golf, LLC</w:t>
            </w:r>
          </w:p>
        </w:tc>
        <w:tc>
          <w:tcPr>
            <w:tcW w:w="2620" w:type="dxa"/>
            <w:vAlign w:val="bottom"/>
            <w:gridSpan w:val="2"/>
          </w:tcPr>
          <w:p>
            <w:pPr>
              <w:jc w:val="right"/>
              <w:ind w:right="920"/>
              <w:spacing w:after="0"/>
              <w:rPr>
                <w:sz w:val="20"/>
                <w:szCs w:val="20"/>
                <w:color w:val="auto"/>
              </w:rPr>
            </w:pPr>
            <w:r>
              <w:rPr>
                <w:rFonts w:ascii="Arial" w:cs="Arial" w:eastAsia="Arial" w:hAnsi="Arial"/>
                <w:sz w:val="18"/>
                <w:szCs w:val="18"/>
                <w:color w:val="auto"/>
              </w:rPr>
              <w:t>Nevada</w:t>
            </w:r>
          </w:p>
        </w:tc>
        <w:tc>
          <w:tcPr>
            <w:tcW w:w="1680" w:type="dxa"/>
            <w:vAlign w:val="bottom"/>
          </w:tcPr>
          <w:p>
            <w:pPr>
              <w:jc w:val="right"/>
              <w:spacing w:after="0"/>
              <w:rPr>
                <w:sz w:val="20"/>
                <w:szCs w:val="20"/>
                <w:color w:val="auto"/>
              </w:rPr>
            </w:pPr>
            <w:r>
              <w:rPr>
                <w:rFonts w:ascii="Arial" w:cs="Arial" w:eastAsia="Arial" w:hAnsi="Arial"/>
                <w:sz w:val="18"/>
                <w:szCs w:val="18"/>
                <w:color w:val="auto"/>
              </w:rPr>
              <w:t>7990</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20-1267401</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Wynn Show Performers, LLC</w:t>
            </w:r>
          </w:p>
        </w:tc>
        <w:tc>
          <w:tcPr>
            <w:tcW w:w="2620" w:type="dxa"/>
            <w:vAlign w:val="bottom"/>
            <w:gridSpan w:val="2"/>
          </w:tcPr>
          <w:p>
            <w:pPr>
              <w:jc w:val="right"/>
              <w:ind w:right="920"/>
              <w:spacing w:after="0"/>
              <w:rPr>
                <w:sz w:val="20"/>
                <w:szCs w:val="20"/>
                <w:color w:val="auto"/>
              </w:rPr>
            </w:pPr>
            <w:r>
              <w:rPr>
                <w:rFonts w:ascii="Arial" w:cs="Arial" w:eastAsia="Arial" w:hAnsi="Arial"/>
                <w:sz w:val="18"/>
                <w:szCs w:val="18"/>
                <w:color w:val="auto"/>
              </w:rPr>
              <w:t>Nevada</w:t>
            </w:r>
          </w:p>
        </w:tc>
        <w:tc>
          <w:tcPr>
            <w:tcW w:w="1680" w:type="dxa"/>
            <w:vAlign w:val="bottom"/>
          </w:tcPr>
          <w:p>
            <w:pPr>
              <w:jc w:val="right"/>
              <w:spacing w:after="0"/>
              <w:rPr>
                <w:sz w:val="20"/>
                <w:szCs w:val="20"/>
                <w:color w:val="auto"/>
              </w:rPr>
            </w:pPr>
            <w:r>
              <w:rPr>
                <w:rFonts w:ascii="Arial" w:cs="Arial" w:eastAsia="Arial" w:hAnsi="Arial"/>
                <w:sz w:val="18"/>
                <w:szCs w:val="18"/>
                <w:color w:val="auto"/>
              </w:rPr>
              <w:t>7990</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20-0475541</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Wynn Sunrise, LLC</w:t>
            </w:r>
          </w:p>
        </w:tc>
        <w:tc>
          <w:tcPr>
            <w:tcW w:w="2620" w:type="dxa"/>
            <w:vAlign w:val="bottom"/>
            <w:gridSpan w:val="2"/>
          </w:tcPr>
          <w:p>
            <w:pPr>
              <w:jc w:val="right"/>
              <w:ind w:right="920"/>
              <w:spacing w:after="0"/>
              <w:rPr>
                <w:sz w:val="20"/>
                <w:szCs w:val="20"/>
                <w:color w:val="auto"/>
              </w:rPr>
            </w:pPr>
            <w:r>
              <w:rPr>
                <w:rFonts w:ascii="Arial" w:cs="Arial" w:eastAsia="Arial" w:hAnsi="Arial"/>
                <w:sz w:val="18"/>
                <w:szCs w:val="18"/>
                <w:color w:val="auto"/>
              </w:rPr>
              <w:t>Nevada</w:t>
            </w:r>
          </w:p>
        </w:tc>
        <w:tc>
          <w:tcPr>
            <w:tcW w:w="1680" w:type="dxa"/>
            <w:vAlign w:val="bottom"/>
          </w:tcPr>
          <w:p>
            <w:pPr>
              <w:jc w:val="right"/>
              <w:spacing w:after="0"/>
              <w:rPr>
                <w:sz w:val="20"/>
                <w:szCs w:val="20"/>
                <w:color w:val="auto"/>
              </w:rPr>
            </w:pPr>
            <w:r>
              <w:rPr>
                <w:rFonts w:ascii="Arial" w:cs="Arial" w:eastAsia="Arial" w:hAnsi="Arial"/>
                <w:sz w:val="18"/>
                <w:szCs w:val="18"/>
                <w:color w:val="auto"/>
              </w:rPr>
              <w:t>7990</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20-1366675</w:t>
            </w: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Kevyn, LLC</w:t>
            </w:r>
          </w:p>
        </w:tc>
        <w:tc>
          <w:tcPr>
            <w:tcW w:w="2620" w:type="dxa"/>
            <w:vAlign w:val="bottom"/>
            <w:gridSpan w:val="2"/>
          </w:tcPr>
          <w:p>
            <w:pPr>
              <w:jc w:val="right"/>
              <w:ind w:right="920"/>
              <w:spacing w:after="0"/>
              <w:rPr>
                <w:sz w:val="20"/>
                <w:szCs w:val="20"/>
                <w:color w:val="auto"/>
              </w:rPr>
            </w:pPr>
            <w:r>
              <w:rPr>
                <w:rFonts w:ascii="Arial" w:cs="Arial" w:eastAsia="Arial" w:hAnsi="Arial"/>
                <w:sz w:val="18"/>
                <w:szCs w:val="18"/>
                <w:color w:val="auto"/>
              </w:rPr>
              <w:t>Nevada</w:t>
            </w:r>
          </w:p>
        </w:tc>
        <w:tc>
          <w:tcPr>
            <w:tcW w:w="1680" w:type="dxa"/>
            <w:vAlign w:val="bottom"/>
          </w:tcPr>
          <w:p>
            <w:pPr>
              <w:jc w:val="right"/>
              <w:spacing w:after="0"/>
              <w:rPr>
                <w:sz w:val="20"/>
                <w:szCs w:val="20"/>
                <w:color w:val="auto"/>
              </w:rPr>
            </w:pPr>
            <w:r>
              <w:rPr>
                <w:rFonts w:ascii="Arial" w:cs="Arial" w:eastAsia="Arial" w:hAnsi="Arial"/>
                <w:sz w:val="18"/>
                <w:szCs w:val="18"/>
                <w:color w:val="auto"/>
              </w:rPr>
              <w:t>7990</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88-0464939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4"/>
          <w:szCs w:val="24"/>
          <w:color w:val="auto"/>
        </w:rPr>
      </w:pPr>
    </w:p>
    <w:p>
      <w:pPr>
        <w:ind w:left="120" w:right="120" w:hanging="112"/>
        <w:spacing w:after="0" w:line="228" w:lineRule="auto"/>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Address and telephone number of principal executive offices are the same as Wynn Las Vegas, LLC. The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were issued by Wynn Las Vegas, LLC and Wynn Las Vegas Capital Corp. The additional registrants are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March 31,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 to exchange $400,000,000 of their outstanding</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(CUSIPs 983130 AH8 and U 98347 AD6)</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(CUSIP 983130 AK1)</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86" w:lineRule="exact"/>
        <w:rPr>
          <w:sz w:val="20"/>
          <w:szCs w:val="20"/>
          <w:color w:val="auto"/>
        </w:rPr>
      </w:pPr>
    </w:p>
    <w:p>
      <w:pPr>
        <w:ind w:left="360"/>
        <w:spacing w:after="0"/>
        <w:tabs>
          <w:tab w:leader="none" w:pos="4920" w:val="left"/>
        </w:tabs>
        <w:rPr>
          <w:sz w:val="20"/>
          <w:szCs w:val="20"/>
          <w:color w:val="auto"/>
        </w:rPr>
      </w:pPr>
      <w:r>
        <w:rPr>
          <w:rFonts w:ascii="Arial" w:cs="Arial" w:eastAsia="Arial" w:hAnsi="Arial"/>
          <w:sz w:val="14"/>
          <w:szCs w:val="14"/>
          <w:b w:val="1"/>
          <w:bCs w:val="1"/>
          <w:color w:val="auto"/>
        </w:rPr>
        <w:t>The exchange offer will expire at 5:00 p.m., New York City time, on</w:t>
      </w:r>
      <w:r>
        <w:rPr>
          <w:sz w:val="20"/>
          <w:szCs w:val="20"/>
          <w:color w:val="auto"/>
        </w:rPr>
        <w:tab/>
      </w:r>
      <w:r>
        <w:rPr>
          <w:rFonts w:ascii="Arial" w:cs="Arial" w:eastAsia="Arial" w:hAnsi="Arial"/>
          <w:sz w:val="11"/>
          <w:szCs w:val="11"/>
          <w:b w:val="1"/>
          <w:bCs w:val="1"/>
          <w:color w:val="auto"/>
        </w:rPr>
        <w:t>, 2008, unless we extend the exchange offer.</w:t>
      </w:r>
    </w:p>
    <w:p>
      <w:pPr>
        <w:spacing w:after="0" w:line="79" w:lineRule="exact"/>
        <w:rPr>
          <w:sz w:val="20"/>
          <w:szCs w:val="20"/>
          <w:color w:val="auto"/>
        </w:rPr>
      </w:pPr>
    </w:p>
    <w:p>
      <w:pPr>
        <w:ind w:right="160" w:firstLine="342"/>
        <w:spacing w:after="0" w:line="246" w:lineRule="auto"/>
        <w:rPr>
          <w:sz w:val="20"/>
          <w:szCs w:val="20"/>
          <w:color w:val="auto"/>
        </w:rPr>
      </w:pPr>
      <w:r>
        <w:rPr>
          <w:rFonts w:ascii="Arial" w:cs="Arial" w:eastAsia="Arial" w:hAnsi="Arial"/>
          <w:sz w:val="12"/>
          <w:szCs w:val="12"/>
          <w:color w:val="auto"/>
        </w:rPr>
        <w:t xml:space="preserve">We refer to the registered notes offered in this exchange offer as the “new notes” and to all outstanding $400,000,000 aggregate principal amount of our 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 issued on November 6, 2007 as the “old notes.” The old notes were issued as additional notes under the indenture, dated as of December 14, 2004, as supplemented by a first supplemental indenture, dated as of June 29,</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2"/>
          <w:szCs w:val="12"/>
          <w:color w:val="auto"/>
        </w:rPr>
        <w:t xml:space="preserve">2005, and a second supplemental indenture, dated as of July 29, 2005. On December 14, 2004, we issued $1.3 billion aggregate principal amount of our 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 (which we refer to as the “original 2004 notes”), which we subsequently offered to exchange for registered notes (which we refer to as the “registered 2004 notes”) substantially identical to the original 2004 notes, except that the registered 2004 notes had been registered under the Securities Act of 1933, as amended. The exchange offer for the original 2004 notes closed on June 29, 2005. The exchange offer described in this prospectus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applies only to the $400,000,000 aggregate principal amount of our 6 </w:t>
      </w:r>
      <w:r>
        <w:rPr>
          <w:rFonts w:ascii="Arial" w:cs="Arial" w:eastAsia="Arial" w:hAnsi="Arial"/>
          <w:sz w:val="22"/>
          <w:szCs w:val="22"/>
          <w:color w:val="auto"/>
          <w:vertAlign w:val="superscript"/>
        </w:rPr>
        <w:t>5</w:t>
      </w:r>
      <w:r>
        <w:rPr>
          <w:rFonts w:ascii="Arial" w:cs="Arial" w:eastAsia="Arial" w:hAnsi="Arial"/>
          <w:sz w:val="14"/>
          <w:szCs w:val="14"/>
          <w:color w:val="auto"/>
        </w:rPr>
        <w:t>/8% first mortgage notes due 2014 issued on November 6, 2007.</w:t>
      </w:r>
    </w:p>
    <w:p>
      <w:pPr>
        <w:spacing w:after="0" w:line="74" w:lineRule="exact"/>
        <w:rPr>
          <w:sz w:val="20"/>
          <w:szCs w:val="20"/>
          <w:color w:val="auto"/>
        </w:rPr>
      </w:pPr>
    </w:p>
    <w:p>
      <w:pPr>
        <w:ind w:right="80" w:firstLine="342"/>
        <w:spacing w:after="0" w:line="228" w:lineRule="auto"/>
        <w:rPr>
          <w:sz w:val="20"/>
          <w:szCs w:val="20"/>
          <w:color w:val="auto"/>
        </w:rPr>
      </w:pPr>
      <w:r>
        <w:rPr>
          <w:rFonts w:ascii="Arial" w:cs="Arial" w:eastAsia="Arial" w:hAnsi="Arial"/>
          <w:sz w:val="14"/>
          <w:szCs w:val="14"/>
          <w:color w:val="auto"/>
        </w:rPr>
        <w:t>The old notes are, and, upon consummation of the exchange offer, the new notes will be, pari passu with the original 2004 notes and the registered 2004 notes, and the old notes vote, and upon consummation of the exchange offer the new notes will vote, on any matter submitted to noteholders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Terms of the exchange offer:</w:t>
      </w:r>
    </w:p>
    <w:p>
      <w:pPr>
        <w:spacing w:after="0" w:line="55" w:lineRule="exact"/>
        <w:rPr>
          <w:sz w:val="20"/>
          <w:szCs w:val="20"/>
          <w:color w:val="auto"/>
        </w:rPr>
      </w:pPr>
    </w:p>
    <w:p>
      <w:pPr>
        <w:ind w:left="800" w:hanging="454"/>
        <w:spacing w:after="0"/>
        <w:tabs>
          <w:tab w:leader="none" w:pos="80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will exchange the new notes for all outstanding old notes that are validly tendered pursuant to the exchange offer and not properly withdrawn prior to the expiration of the exchange offer.</w:t>
      </w:r>
    </w:p>
    <w:p>
      <w:pPr>
        <w:spacing w:after="0" w:line="78" w:lineRule="exact"/>
        <w:rPr>
          <w:rFonts w:ascii="Arial" w:cs="Arial" w:eastAsia="Arial" w:hAnsi="Arial"/>
          <w:sz w:val="12"/>
          <w:szCs w:val="12"/>
          <w:color w:val="auto"/>
        </w:rPr>
      </w:pPr>
    </w:p>
    <w:p>
      <w:pPr>
        <w:ind w:left="800" w:hanging="454"/>
        <w:spacing w:after="0"/>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You may withdraw tenders of old notes at any time prior to the expiration of the exchange offer.</w:t>
      </w:r>
    </w:p>
    <w:p>
      <w:pPr>
        <w:spacing w:after="0" w:line="55" w:lineRule="exact"/>
        <w:rPr>
          <w:rFonts w:ascii="Arial" w:cs="Arial" w:eastAsia="Arial" w:hAnsi="Arial"/>
          <w:sz w:val="14"/>
          <w:szCs w:val="14"/>
          <w:color w:val="auto"/>
        </w:rPr>
      </w:pPr>
    </w:p>
    <w:p>
      <w:pPr>
        <w:ind w:left="800" w:hanging="454"/>
        <w:spacing w:after="0" w:line="239"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terms of the new notes are substantially identical to those of the old notes, except that the transfer restrictions, registration rights and liquidated damages provisions relating to the old notes will not apply to the new notes.</w:t>
      </w:r>
    </w:p>
    <w:p>
      <w:pPr>
        <w:spacing w:after="0" w:line="43" w:lineRule="exact"/>
        <w:rPr>
          <w:rFonts w:ascii="Arial" w:cs="Arial" w:eastAsia="Arial" w:hAnsi="Arial"/>
          <w:sz w:val="14"/>
          <w:szCs w:val="14"/>
          <w:color w:val="auto"/>
        </w:rPr>
      </w:pPr>
    </w:p>
    <w:p>
      <w:pPr>
        <w:ind w:left="800" w:right="360" w:hanging="454"/>
        <w:spacing w:after="0" w:line="239"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43" w:lineRule="exact"/>
        <w:rPr>
          <w:rFonts w:ascii="Arial" w:cs="Arial" w:eastAsia="Arial" w:hAnsi="Arial"/>
          <w:sz w:val="14"/>
          <w:szCs w:val="14"/>
          <w:color w:val="auto"/>
        </w:rPr>
      </w:pPr>
    </w:p>
    <w:p>
      <w:pPr>
        <w:ind w:left="800" w:hanging="454"/>
        <w:spacing w:after="0"/>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will not receive any cash proceeds from the exchange offer.</w:t>
      </w:r>
    </w:p>
    <w:p>
      <w:pPr>
        <w:spacing w:after="0" w:line="55" w:lineRule="exact"/>
        <w:rPr>
          <w:rFonts w:ascii="Arial" w:cs="Arial" w:eastAsia="Arial" w:hAnsi="Arial"/>
          <w:sz w:val="14"/>
          <w:szCs w:val="14"/>
          <w:color w:val="auto"/>
        </w:rPr>
      </w:pPr>
    </w:p>
    <w:p>
      <w:pPr>
        <w:ind w:left="800" w:right="200" w:hanging="454"/>
        <w:spacing w:after="0" w:line="239"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issued the old notes in a transaction not requiring registration under the Securities Act, and as a result, transfer of the old notes is restricted. We are making the exchange offer to satisfy your registration rights as a holder of old notes.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no established trading market for the new notes, although the old notes currently trade in The PORTAL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See “ </w:t>
      </w:r>
      <w:hyperlink w:anchor="page2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16 for a discussion of risks you should consider prior to tendering your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p>
      <w:pPr>
        <w:ind w:right="440" w:firstLine="342"/>
        <w:spacing w:after="0" w:line="239" w:lineRule="auto"/>
        <w:rPr>
          <w:sz w:val="20"/>
          <w:szCs w:val="20"/>
          <w:color w:val="auto"/>
        </w:rPr>
      </w:pPr>
      <w:r>
        <w:rPr>
          <w:rFonts w:ascii="Arial" w:cs="Arial" w:eastAsia="Arial" w:hAnsi="Arial"/>
          <w:sz w:val="14"/>
          <w:szCs w:val="14"/>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p>
      <w:pPr>
        <w:ind w:right="560" w:firstLine="342"/>
        <w:spacing w:after="0" w:line="239" w:lineRule="auto"/>
        <w:rPr>
          <w:sz w:val="20"/>
          <w:szCs w:val="20"/>
          <w:color w:val="auto"/>
        </w:rPr>
      </w:pPr>
      <w:r>
        <w:rPr>
          <w:rFonts w:ascii="Arial" w:cs="Arial" w:eastAsia="Arial" w:hAnsi="Arial"/>
          <w:sz w:val="14"/>
          <w:szCs w:val="14"/>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8" w:lineRule="exact"/>
        <w:rPr>
          <w:sz w:val="20"/>
          <w:szCs w:val="20"/>
          <w:color w:val="auto"/>
        </w:rPr>
      </w:pPr>
    </w:p>
    <w:tbl>
      <w:tblPr>
        <w:tblLayout w:type="fixed"/>
        <w:tblInd w:w="440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680" w:type="dxa"/>
            <w:vAlign w:val="bottom"/>
          </w:tcPr>
          <w:p>
            <w:pPr>
              <w:jc w:val="right"/>
              <w:spacing w:after="0"/>
              <w:rPr>
                <w:sz w:val="20"/>
                <w:szCs w:val="20"/>
                <w:color w:val="auto"/>
              </w:rPr>
            </w:pPr>
            <w:r>
              <w:rPr>
                <w:rFonts w:ascii="Arial" w:cs="Arial" w:eastAsia="Arial" w:hAnsi="Arial"/>
                <w:sz w:val="14"/>
                <w:szCs w:val="14"/>
                <w:color w:val="auto"/>
              </w:rPr>
              <w:t>, 2008</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the applicable document.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5"/>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101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7"/>
          </w:tcPr>
          <w:p>
            <w:pPr>
              <w:spacing w:after="0"/>
              <w:rPr>
                <w:sz w:val="17"/>
                <w:szCs w:val="17"/>
                <w:color w:val="auto"/>
              </w:rPr>
            </w:pPr>
          </w:p>
        </w:tc>
        <w:tc>
          <w:tcPr>
            <w:tcW w:w="85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8">
              <w:r>
                <w:rPr>
                  <w:rFonts w:ascii="Arial" w:cs="Arial" w:eastAsia="Arial" w:hAnsi="Arial"/>
                  <w:sz w:val="18"/>
                  <w:szCs w:val="18"/>
                  <w:color w:val="0000EE"/>
                  <w:w w:val="84"/>
                </w:rPr>
                <w:t>Business</w:t>
              </w:r>
            </w:hyperlink>
          </w:p>
        </w:tc>
        <w:tc>
          <w:tcPr>
            <w:tcW w:w="5660" w:type="dxa"/>
            <w:vAlign w:val="bottom"/>
            <w:tcBorders>
              <w:top w:val="single" w:sz="8" w:color="0000EE"/>
            </w:tcBorders>
            <w:gridSpan w:val="22"/>
          </w:tcPr>
          <w:p>
            <w:pPr>
              <w:spacing w:after="0"/>
              <w:rPr>
                <w:sz w:val="17"/>
                <w:szCs w:val="17"/>
                <w:color w:val="auto"/>
              </w:rPr>
            </w:pPr>
          </w:p>
        </w:tc>
        <w:tc>
          <w:tcPr>
            <w:tcW w:w="47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Certain Relationships and Related Transactions</w:t>
              </w:r>
            </w:hyperlink>
          </w:p>
        </w:tc>
        <w:tc>
          <w:tcPr>
            <w:tcW w:w="772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The Exchange Offer</w:t>
              </w:r>
            </w:hyperlink>
          </w:p>
        </w:tc>
        <w:tc>
          <w:tcPr>
            <w:tcW w:w="962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Description of the New Notes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Description of Certain Indebtedness</w:t>
              </w:r>
            </w:hyperlink>
          </w:p>
        </w:tc>
        <w:tc>
          <w:tcPr>
            <w:tcW w:w="85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Disbursement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178">
              <w:r>
                <w:rPr>
                  <w:rFonts w:ascii="Arial" w:cs="Arial" w:eastAsia="Arial" w:hAnsi="Arial"/>
                  <w:sz w:val="18"/>
                  <w:szCs w:val="18"/>
                  <w:color w:val="0000EE"/>
                  <w:w w:val="94"/>
                </w:rPr>
                <w:t>Intercreditor Agreement</w:t>
              </w:r>
            </w:hyperlink>
          </w:p>
        </w:tc>
        <w:tc>
          <w:tcPr>
            <w:tcW w:w="92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Material United States Federal Income Tax Considerations</w:t>
              </w:r>
            </w:hyperlink>
          </w:p>
        </w:tc>
        <w:tc>
          <w:tcPr>
            <w:tcW w:w="69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Legal Matters</w:t>
              </w:r>
            </w:hyperlink>
          </w:p>
        </w:tc>
        <w:tc>
          <w:tcPr>
            <w:tcW w:w="96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800" w:type="dxa"/>
            <w:vAlign w:val="bottom"/>
            <w:gridSpan w:val="1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82">
              <w:r>
                <w:rPr>
                  <w:rFonts w:ascii="Arial" w:cs="Arial" w:eastAsia="Arial" w:hAnsi="Arial"/>
                  <w:sz w:val="18"/>
                  <w:szCs w:val="18"/>
                  <w:color w:val="0000EE"/>
                  <w:w w:val="88"/>
                </w:rPr>
                <w:t>Index to Consolidated Financial Statements</w:t>
              </w:r>
            </w:hyperlink>
          </w:p>
        </w:tc>
        <w:tc>
          <w:tcPr>
            <w:tcW w:w="79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Section 27A of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right="3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casino/hotel and resort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for, and maintenance of, licenses and approvals under applicable jurisdictional laws and regulations (including gaming laws and regulations);</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9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16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right="160" w:firstLine="443"/>
        <w:spacing w:after="0" w:line="291" w:lineRule="auto"/>
        <w:rPr>
          <w:sz w:val="20"/>
          <w:szCs w:val="20"/>
          <w:color w:val="auto"/>
        </w:rPr>
      </w:pPr>
      <w:r>
        <w:rPr>
          <w:rFonts w:ascii="Arial" w:cs="Arial" w:eastAsia="Arial" w:hAnsi="Arial"/>
          <w:sz w:val="15"/>
          <w:szCs w:val="15"/>
          <w:i w:val="1"/>
          <w:iCs w:val="1"/>
          <w:color w:val="auto"/>
        </w:rPr>
        <w:t>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Unless the context otherwise requires, all references in this prospectus to the “Company,” “we,” “us” or “our,” or similar terms, refer to Wynn Las Vegas, LLC and its consolidated</w:t>
      </w:r>
    </w:p>
    <w:p>
      <w:pPr>
        <w:spacing w:after="0" w:line="1"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6"/>
          <w:szCs w:val="16"/>
          <w:i w:val="1"/>
          <w:iCs w:val="1"/>
          <w:color w:val="auto"/>
        </w:rPr>
        <w:t xml:space="preserve">subsidiaries (other than Wynn Completion Guarantor, LLC). The 6 </w:t>
      </w:r>
      <w:r>
        <w:rPr>
          <w:rFonts w:ascii="Arial" w:cs="Arial" w:eastAsia="Arial" w:hAnsi="Arial"/>
          <w:sz w:val="20"/>
          <w:szCs w:val="20"/>
          <w:i w:val="1"/>
          <w:iCs w:val="1"/>
          <w:color w:val="auto"/>
          <w:vertAlign w:val="superscript"/>
        </w:rPr>
        <w:t>5</w:t>
      </w:r>
      <w:r>
        <w:rPr>
          <w:rFonts w:ascii="Arial" w:cs="Arial" w:eastAsia="Arial" w:hAnsi="Arial"/>
          <w:sz w:val="16"/>
          <w:szCs w:val="16"/>
          <w:i w:val="1"/>
          <w:iCs w:val="1"/>
          <w:color w:val="auto"/>
        </w:rPr>
        <w:t>/</w:t>
      </w:r>
      <w:r>
        <w:rPr>
          <w:rFonts w:ascii="Arial" w:cs="Arial" w:eastAsia="Arial" w:hAnsi="Arial"/>
          <w:sz w:val="12"/>
          <w:szCs w:val="12"/>
          <w:i w:val="1"/>
          <w:iCs w:val="1"/>
          <w:color w:val="auto"/>
        </w:rPr>
        <w:t>8</w:t>
      </w:r>
      <w:r>
        <w:rPr>
          <w:rFonts w:ascii="Arial" w:cs="Arial" w:eastAsia="Arial" w:hAnsi="Arial"/>
          <w:sz w:val="16"/>
          <w:szCs w:val="16"/>
          <w:i w:val="1"/>
          <w:iCs w:val="1"/>
          <w:color w:val="auto"/>
        </w:rPr>
        <w:t>% first mortgage notes due 2014 are sometimes referred to herein as the “notes,” which term, except with respect to discussions of original issue discount and other income tax consequences and unless the context otherwise requires, includes the new notes, the old notes, the original 2004 notes and the registered 2004 notes. The sole member of Wynn Las Vegas, LLC is Wynn Resorts Holdings, LLC (“Wynn Holdings”), and the sole member of Wynn Holdings is Wynn Resorts, Limited (“Wynn Resorts”).</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is constructing an expansion of Wynn Las Vegas named “Encore at Wynn Las Vegas,” or “Encore.” We commenced operations with the opening of Wynn Las Vegas on April 28, 2005. Prior to April 28, 2005, we were solely a development stage company.</w:t>
      </w:r>
    </w:p>
    <w:p>
      <w:pPr>
        <w:spacing w:after="0" w:line="140"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Wynn Las Vegas’ accommodations, amenities and exceptional service have allowed us to attract and retain high quality customers. Wynn Las Vegas offers 2,716 rooms and suites, including 36 fairway villas and 6 private-entry villas for our premium guests. The Tower Suites at Wynn Las Vegas is the only casino resort in the world that has been awarded both the Mobil five star and AAA five diamond distinctions.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Additionally, our resort and country club received five red pavilions, the highest honor for Michelin rated accommodations. The approximately 111,000 square foot casino features approximately 140 table games, a baccarat salon, private VIP gaming rooms, a poker room, approximately 1,970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two showrooms. The “Le Rêve” Theater features “Le Rêve,” a water-based production. The Broadway Theater hosts “Monty Python’s Spamalot,” winner of the 2005 Tony Award for best musical. Performances of Spamalot commenced in the first quarter of 2007. We believe that the unique experience of Wynn Las Vegas drives the significant visitation experienced since opening. During the year ended December 31, 2007, our average hotel occupancy was 96% and our average daily room rate was $300, which compares favorably to the overall 90.4% average occupancy and $132 average daily room rate of Las Vegas.</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firstLine="443"/>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approximately 18 acres across Sands Avenue, a portion of which is improved with an employee parking garage, and approximately 5 acres adjacent to our golf course on which an office building is located.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Wynn Las Vegas</w:t>
      </w:r>
    </w:p>
    <w:p>
      <w:pPr>
        <w:spacing w:after="0" w:line="17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Since opening on April 28, 2005, we have remodeled our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 xml:space="preserve">Tryst </w:t>
      </w:r>
      <w:r>
        <w:rPr>
          <w:rFonts w:ascii="Arial" w:cs="Arial" w:eastAsia="Arial" w:hAnsi="Arial"/>
          <w:sz w:val="16"/>
          <w:szCs w:val="16"/>
          <w:color w:val="auto"/>
        </w:rPr>
        <w:t>and</w:t>
      </w:r>
      <w:r>
        <w:rPr>
          <w:rFonts w:ascii="Arial" w:cs="Arial" w:eastAsia="Arial" w:hAnsi="Arial"/>
          <w:sz w:val="16"/>
          <w:szCs w:val="16"/>
          <w:i w:val="1"/>
          <w:iCs w:val="1"/>
          <w:color w:val="auto"/>
        </w:rPr>
        <w:t xml:space="preserve"> Blush, </w:t>
      </w:r>
      <w:r>
        <w:rPr>
          <w:rFonts w:ascii="Arial" w:cs="Arial" w:eastAsia="Arial" w:hAnsi="Arial"/>
          <w:sz w:val="16"/>
          <w:szCs w:val="16"/>
          <w:color w:val="auto"/>
        </w:rPr>
        <w:t>our nightclubs</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areas of the retail promenade, a portion of the baccarat area to feature a casino bar and improved public baccarat</w:t>
      </w:r>
      <w:r>
        <w:rPr>
          <w:rFonts w:ascii="Arial" w:cs="Arial" w:eastAsia="Arial" w:hAnsi="Arial"/>
          <w:sz w:val="16"/>
          <w:szCs w:val="16"/>
          <w:i w:val="1"/>
          <w:iCs w:val="1"/>
          <w:color w:val="auto"/>
        </w:rPr>
        <w:t xml:space="preserve"> </w:t>
      </w:r>
      <w:r>
        <w:rPr>
          <w:rFonts w:ascii="Arial" w:cs="Arial" w:eastAsia="Arial" w:hAnsi="Arial"/>
          <w:sz w:val="16"/>
          <w:szCs w:val="16"/>
          <w:color w:val="auto"/>
        </w:rPr>
        <w:t>space along with private baccarat salons and converted the Keno lounge to a retail outlet for womens’ accessories. In March 2007, we remodeled the Le Rêve Theater, decreasing the seat count from 2,087 to 1,606 to further enhance the guest experience. We have incurred and will continue to incur capital expenditures related to these types of enhancements and refinements.</w:t>
      </w: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Encore at Wynn Las Vegas</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constructing Encore on approximately 20 acres on the Strip, immediately adjacent to Wynn Las Vegas. Plans for Encore include a 2,034 all-suite hotel tower fully integrated with Wynn Las Vegas, as well as an approximately 72,000 square foot casino, additional convention and meeting space, restaurants, a nightclub, swimming pools, a spa and salon and retail outlets. We commenced construction of Encore in the second quarter of 2006 and expect to open Encore in December 2008.</w:t>
      </w:r>
    </w:p>
    <w:p>
      <w:pPr>
        <w:spacing w:after="0" w:line="143" w:lineRule="exact"/>
        <w:rPr>
          <w:sz w:val="20"/>
          <w:szCs w:val="20"/>
          <w:color w:val="auto"/>
        </w:rPr>
      </w:pPr>
    </w:p>
    <w:p>
      <w:pPr>
        <w:ind w:left="200" w:right="100" w:firstLine="443"/>
        <w:spacing w:after="0" w:line="253" w:lineRule="auto"/>
        <w:rPr>
          <w:sz w:val="20"/>
          <w:szCs w:val="20"/>
          <w:color w:val="auto"/>
        </w:rPr>
      </w:pPr>
      <w:r>
        <w:rPr>
          <w:rFonts w:ascii="Arial" w:cs="Arial" w:eastAsia="Arial" w:hAnsi="Arial"/>
          <w:sz w:val="18"/>
          <w:szCs w:val="18"/>
          <w:color w:val="auto"/>
        </w:rPr>
        <w:t>Encore’s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budget is being funded from our existing credit facilities, operating cash flow from Wynn Las Vegas and the debt raised in the offering of the old notes. To the extent additional funds are required, we will provide these amounts with additional debt and equity contributions by Wynn Resorts or additional indebtedness to be incurred by Wynn Las Vegas. As of December 31, 2007, we had incurred approximately $998.7 million of project costs related to the development and construction of Encore and related capital improvements.</w:t>
      </w:r>
    </w:p>
    <w:p>
      <w:pPr>
        <w:spacing w:after="0" w:line="147"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we executed the First Amendment to the Contract which set the guaranteed maximum price (“GMP”) for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4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243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ind w:left="200" w:firstLine="443"/>
        <w:spacing w:after="0" w:line="314" w:lineRule="auto"/>
        <w:rPr>
          <w:sz w:val="20"/>
          <w:szCs w:val="20"/>
          <w:color w:val="auto"/>
        </w:rPr>
      </w:pPr>
      <w:r>
        <w:rPr>
          <w:rFonts w:ascii="Arial" w:cs="Arial" w:eastAsia="Arial" w:hAnsi="Arial"/>
          <w:sz w:val="15"/>
          <w:szCs w:val="15"/>
          <w:i w:val="1"/>
          <w:iCs w:val="1"/>
          <w:color w:val="auto"/>
        </w:rPr>
        <w:t>Capitalize on the “Wynn” Brand</w:t>
      </w:r>
      <w:r>
        <w:rPr>
          <w:rFonts w:ascii="Arial" w:cs="Arial" w:eastAsia="Arial" w:hAnsi="Arial"/>
          <w:sz w:val="15"/>
          <w:szCs w:val="15"/>
          <w:color w:val="auto"/>
        </w:rPr>
        <w:t>. We believe Steve Wynn is the preeminent designer, developer and operator of destination casino resorts and, as such,</w:t>
      </w:r>
      <w:r>
        <w:rPr>
          <w:rFonts w:ascii="Arial" w:cs="Arial" w:eastAsia="Arial" w:hAnsi="Arial"/>
          <w:sz w:val="15"/>
          <w:szCs w:val="15"/>
          <w:i w:val="1"/>
          <w:iCs w:val="1"/>
          <w:color w:val="auto"/>
        </w:rPr>
        <w:t xml:space="preserve"> </w:t>
      </w:r>
      <w:r>
        <w:rPr>
          <w:rFonts w:ascii="Arial" w:cs="Arial" w:eastAsia="Arial" w:hAnsi="Arial"/>
          <w:sz w:val="15"/>
          <w:szCs w:val="15"/>
          <w:color w:val="auto"/>
        </w:rPr>
        <w:t>has developed a brand name status. We believe Mr. Wynn’s involvement with Wynn Las Vegas provides a distinct advantage over other gaming enterprises. We integrate luxurious surroundings, distinctive entertainment and superior amenities, including fine dining and premium retail offerings, to appeal to a variety of customers, especially high-end customers. We believe that Wynn Las Vegas sets a new standard of luxury and elegance for destination casino resorts. We also believe that Mr. Wynn’s reputation and the new standard of luxury and elegance brought to the industry by Wynn Las Vegas and our affiliate, Wynn Macau, translate to a high level of anticipation for Encore. We intend to extend our “Wynn” brand to other opportunities as they arise.</w:t>
      </w:r>
    </w:p>
    <w:p>
      <w:pPr>
        <w:spacing w:after="0" w:line="105"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 xml:space="preserve">Attract and deliver high-quality service and amenities to high-end gaming customers. </w:t>
      </w:r>
      <w:r>
        <w:rPr>
          <w:rFonts w:ascii="Arial" w:cs="Arial" w:eastAsia="Arial" w:hAnsi="Arial"/>
          <w:sz w:val="16"/>
          <w:szCs w:val="16"/>
          <w:color w:val="auto"/>
        </w:rPr>
        <w:t>Wynn Las Vegas was designed and built to attract premium</w:t>
      </w:r>
      <w:r>
        <w:rPr>
          <w:rFonts w:ascii="Arial" w:cs="Arial" w:eastAsia="Arial" w:hAnsi="Arial"/>
          <w:sz w:val="16"/>
          <w:szCs w:val="16"/>
          <w:i w:val="1"/>
          <w:iCs w:val="1"/>
          <w:color w:val="auto"/>
        </w:rPr>
        <w:t xml:space="preserve"> </w:t>
      </w:r>
      <w:r>
        <w:rPr>
          <w:rFonts w:ascii="Arial" w:cs="Arial" w:eastAsia="Arial" w:hAnsi="Arial"/>
          <w:sz w:val="16"/>
          <w:szCs w:val="16"/>
          <w:color w:val="auto"/>
        </w:rPr>
        <w:t>gaming customers. Wynn Las Vegas offers luxurious rooms and suites, high-limit tables, VIP gaming salons, exquisite fine dining, premium retail shopping, distinctive entertainment and an 18-hole golf course. The Tower Suites at Wynn Las Vegas is the only casino resort in the world that has been awarded both the AAA Five Diamond and Mobil Five Star distinctions and four of Wynn Las Vegas’ restaurants have been recognized by AAA (including our AAA Five Diamond restaurant, Alex).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Overall our resort and country club received five red pavilions, the highest Michelin accommodations rating. Our hotel and gaming offerings are designed to meet the expectations of high-budget, premium customers, including our Asian customers. We expect our Asian customer segment to become even more significant with Wynn Macau now open, and intend to capitalize on cross-marketing opportunities between Wynn Las Vegas and Wynn Macau.</w:t>
      </w:r>
    </w:p>
    <w:p>
      <w:pPr>
        <w:spacing w:after="0" w:line="123"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i w:val="1"/>
          <w:iCs w:val="1"/>
          <w:color w:val="auto"/>
        </w:rPr>
        <w:t>Marketing</w:t>
      </w:r>
      <w:r>
        <w:rPr>
          <w:rFonts w:ascii="Arial" w:cs="Arial" w:eastAsia="Arial" w:hAnsi="Arial"/>
          <w:sz w:val="16"/>
          <w:szCs w:val="16"/>
          <w:color w:val="auto"/>
        </w:rPr>
        <w:t>. We have positioned Wynn Las Vegas as a full-service luxury resort and casino in the leisure, convention and tour and travel markets. We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Wynn Las Vegas directly to gaming customers using database marketing techniques, as well as using traditional incentives, including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20" w:lineRule="exact"/>
        <w:rPr>
          <w:sz w:val="20"/>
          <w:szCs w:val="20"/>
          <w:color w:val="auto"/>
        </w:rPr>
      </w:pPr>
    </w:p>
    <w:p>
      <w:pPr>
        <w:ind w:left="200" w:right="160" w:firstLine="443"/>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high roller and premium customers. Mr. Wynn’s reputation has attracted experienced, high-level international and domestic casino marketing executives to work for us. We have marketing executives located in local offices in Tokyo, Hong Kong, Macau, Singapore, Taiwan, Vancouver and southern California, as well as independent marketing representatives in major U.S. and foreign cities.</w:t>
      </w:r>
    </w:p>
    <w:p>
      <w:pPr>
        <w:spacing w:after="0" w:line="143" w:lineRule="exact"/>
        <w:rPr>
          <w:sz w:val="20"/>
          <w:szCs w:val="20"/>
          <w:color w:val="auto"/>
        </w:rPr>
      </w:pPr>
    </w:p>
    <w:p>
      <w:pPr>
        <w:ind w:left="200" w:right="840" w:firstLine="443"/>
        <w:spacing w:after="0" w:line="268" w:lineRule="auto"/>
        <w:rPr>
          <w:sz w:val="20"/>
          <w:szCs w:val="20"/>
          <w:color w:val="auto"/>
        </w:rPr>
      </w:pPr>
      <w:r>
        <w:rPr>
          <w:rFonts w:ascii="Arial" w:cs="Arial" w:eastAsia="Arial" w:hAnsi="Arial"/>
          <w:sz w:val="18"/>
          <w:szCs w:val="18"/>
          <w:color w:val="auto"/>
        </w:rPr>
        <w:t>We also create general market awareness for Wynn Las Vegas through conventions and various media channels, including television, radio, newspapers, magazines, the internet, direct mail and billboards.</w:t>
      </w:r>
    </w:p>
    <w:p>
      <w:pPr>
        <w:spacing w:after="0" w:line="132"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Las Vegas Real Estate Assets</w:t>
      </w:r>
      <w:r>
        <w:rPr>
          <w:rFonts w:ascii="Arial" w:cs="Arial" w:eastAsia="Arial" w:hAnsi="Arial"/>
          <w:sz w:val="18"/>
          <w:szCs w:val="18"/>
          <w:color w:val="auto"/>
        </w:rPr>
        <w:t>. Wynn Las Vegas is located on approximately 55 acres on the famed Las Vegas Strip. Our property is located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3.2 million square feet of convention space operated by the Las Vegas Convention and Visitors Authority and the Palazzo and Venetian Casino Resort and</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87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20878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its adjoining approximately 1.8 million square foot Sands Expo Center; diagonally across from The Mirage and the Treasure Island Hotel and Casino; directly across from the Fashion Show Mall and Trump Towers; and across from Echelon Place and The Plaza, which are currently under development. Encore is being developed on approximately 20 acres of land adjacent to Wynn Las Vegas. We also have an approximately 142-acre parcel of land behind Wynn Las Vegas, which is currently used as a golf course. In addition, we have approximately 5 acres adjacent to the golf course on which an office building is located and approximately 18 acres of land across Sands Avenue, a portion of which is improved with an employee parking garage.</w:t>
      </w:r>
    </w:p>
    <w:p>
      <w:pPr>
        <w:spacing w:after="0" w:line="11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We are developing a long-range master plan for the 142-acre golf course. It is not expected that any construction on the golf course land would begin before 2009.</w:t>
      </w:r>
    </w:p>
    <w:p>
      <w:pPr>
        <w:spacing w:after="0" w:line="132"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Mr. Wynn and his team bring significant experience in designing, developing and operating casino resorts. Mr. Wynn</w:t>
      </w:r>
      <w:r>
        <w:rPr>
          <w:rFonts w:ascii="Arial" w:cs="Arial" w:eastAsia="Arial" w:hAnsi="Arial"/>
          <w:sz w:val="18"/>
          <w:szCs w:val="18"/>
          <w:i w:val="1"/>
          <w:iCs w:val="1"/>
          <w:color w:val="auto"/>
        </w:rPr>
        <w:t xml:space="preserve"> </w:t>
      </w:r>
      <w:r>
        <w:rPr>
          <w:rFonts w:ascii="Arial" w:cs="Arial" w:eastAsia="Arial" w:hAnsi="Arial"/>
          <w:sz w:val="18"/>
          <w:szCs w:val="18"/>
          <w:color w:val="auto"/>
        </w:rPr>
        <w:t>and many members of our current senior management team were responsible for the design, development and operation of The Mirage, Treasure Island at The Mirage and Bellagio. The senior executive team of Wynn Resorts has an average of approximately 25 years of experience in the hotel and gaming industries. We also have an approximately 120-person design, development and construction subsidiary, the senior management of which has significant experience in all major construction disciplines.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07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40702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Old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Expiration Date; Tenders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583"/>
        <w:spacing w:after="0"/>
        <w:rPr>
          <w:sz w:val="20"/>
          <w:szCs w:val="20"/>
          <w:color w:val="auto"/>
        </w:rPr>
      </w:pPr>
      <w:r>
        <w:rPr>
          <w:rFonts w:ascii="Arial" w:cs="Arial" w:eastAsia="Arial" w:hAnsi="Arial"/>
          <w:sz w:val="18"/>
          <w:szCs w:val="18"/>
          <w:b w:val="1"/>
          <w:bCs w:val="1"/>
          <w:color w:val="auto"/>
        </w:rPr>
        <w:t>The Exchange Offer</w:t>
      </w:r>
    </w:p>
    <w:p>
      <w:pPr>
        <w:spacing w:after="0" w:line="245" w:lineRule="exact"/>
        <w:rPr>
          <w:sz w:val="20"/>
          <w:szCs w:val="20"/>
          <w:color w:val="auto"/>
        </w:rPr>
      </w:pPr>
    </w:p>
    <w:p>
      <w:pPr>
        <w:ind w:left="3"/>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which we issued November 6, 2007.</w:t>
      </w:r>
    </w:p>
    <w:p>
      <w:pPr>
        <w:spacing w:after="0" w:line="166" w:lineRule="exact"/>
        <w:rPr>
          <w:sz w:val="20"/>
          <w:szCs w:val="20"/>
          <w:color w:val="auto"/>
        </w:rPr>
      </w:pPr>
    </w:p>
    <w:p>
      <w:pPr>
        <w:ind w:left="3"/>
        <w:spacing w:after="0" w:line="287" w:lineRule="auto"/>
        <w:rPr>
          <w:sz w:val="20"/>
          <w:szCs w:val="20"/>
          <w:color w:val="auto"/>
        </w:rPr>
      </w:pPr>
      <w:r>
        <w:rPr>
          <w:rFonts w:ascii="Arial" w:cs="Arial" w:eastAsia="Arial" w:hAnsi="Arial"/>
          <w:sz w:val="15"/>
          <w:szCs w:val="15"/>
          <w:color w:val="auto"/>
        </w:rPr>
        <w:t>The old notes were issued as additional notes under the indenture, dated as of December 14, 2004, as supplemented by a first supplemental indenture, dated as of June 29, 2005, and a second supplemental indenture, dated as of July 29, 2005. On December 14, 2004, we issued $1.3 billion aggregate principal amount of original 2004 notes, which we subsequently offered to exchange for exchange notes substantially identical to the original 2004 notes, except that the registered 2004 notes had been registered under the Securities Act. The exchange offer for the original 2004 notes closed on June 29, 2005. The exchange offer described in this prospectus applies only to</w:t>
      </w:r>
    </w:p>
    <w:p>
      <w:pPr>
        <w:spacing w:after="0" w:line="1" w:lineRule="exact"/>
        <w:rPr>
          <w:sz w:val="20"/>
          <w:szCs w:val="20"/>
          <w:color w:val="auto"/>
        </w:rPr>
      </w:pPr>
    </w:p>
    <w:p>
      <w:pPr>
        <w:ind w:left="3" w:right="80"/>
        <w:spacing w:after="0" w:line="228" w:lineRule="auto"/>
        <w:rPr>
          <w:sz w:val="20"/>
          <w:szCs w:val="20"/>
          <w:color w:val="auto"/>
        </w:rPr>
      </w:pPr>
      <w:r>
        <w:rPr>
          <w:rFonts w:ascii="Arial" w:cs="Arial" w:eastAsia="Arial" w:hAnsi="Arial"/>
          <w:sz w:val="18"/>
          <w:szCs w:val="18"/>
          <w:color w:val="auto"/>
        </w:rPr>
        <w:t xml:space="preserve">the $400,000,000 aggregate principal amount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on November 6, 2007.</w:t>
      </w:r>
    </w:p>
    <w:p>
      <w:pPr>
        <w:spacing w:after="0" w:line="184" w:lineRule="exact"/>
        <w:rPr>
          <w:sz w:val="20"/>
          <w:szCs w:val="20"/>
          <w:color w:val="auto"/>
        </w:rPr>
      </w:pPr>
    </w:p>
    <w:p>
      <w:pPr>
        <w:ind w:left="3"/>
        <w:spacing w:after="0" w:line="288" w:lineRule="auto"/>
        <w:rPr>
          <w:sz w:val="20"/>
          <w:szCs w:val="20"/>
          <w:color w:val="auto"/>
        </w:rPr>
      </w:pPr>
      <w:r>
        <w:rPr>
          <w:rFonts w:ascii="Arial" w:cs="Arial" w:eastAsia="Arial" w:hAnsi="Arial"/>
          <w:sz w:val="16"/>
          <w:szCs w:val="16"/>
          <w:color w:val="auto"/>
        </w:rPr>
        <w:t>The old notes are, and, upon consummation of the exchange offer, the new notes will be, pari passu with the original 2004 notes and the registered 2004 notes, and the old notes vote, and upon consummation of the exchange offer the new notes will vote, on any matter submitted to noteholders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w:t>
      </w:r>
    </w:p>
    <w:p>
      <w:pPr>
        <w:spacing w:after="0" w:line="187" w:lineRule="exact"/>
        <w:rPr>
          <w:sz w:val="20"/>
          <w:szCs w:val="20"/>
          <w:color w:val="auto"/>
        </w:rPr>
      </w:pPr>
    </w:p>
    <w:p>
      <w:pPr>
        <w:ind w:left="3" w:right="320"/>
        <w:spacing w:after="0" w:line="264" w:lineRule="auto"/>
        <w:rPr>
          <w:sz w:val="20"/>
          <w:szCs w:val="20"/>
          <w:color w:val="auto"/>
        </w:rPr>
      </w:pPr>
      <w:r>
        <w:rPr>
          <w:rFonts w:ascii="Arial" w:cs="Arial" w:eastAsia="Arial" w:hAnsi="Arial"/>
          <w:sz w:val="16"/>
          <w:szCs w:val="16"/>
          <w:color w:val="auto"/>
        </w:rPr>
        <w:t xml:space="preserve">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issuance of which has been registered under the Securities Act of 1933. The form and the terms of the new notes are substantially identical to those of the old notes, except that the transfer restrictions, registration rights and liquidated damages provisions relating to the old notes do not apply to the new notes.</w:t>
      </w:r>
    </w:p>
    <w:p>
      <w:pPr>
        <w:spacing w:after="0" w:line="166" w:lineRule="exact"/>
        <w:rPr>
          <w:sz w:val="20"/>
          <w:szCs w:val="20"/>
          <w:color w:val="auto"/>
        </w:rPr>
      </w:pPr>
    </w:p>
    <w:p>
      <w:pPr>
        <w:ind w:left="3" w:right="20"/>
        <w:spacing w:after="0" w:line="255" w:lineRule="auto"/>
        <w:rPr>
          <w:sz w:val="20"/>
          <w:szCs w:val="20"/>
          <w:color w:val="auto"/>
        </w:rPr>
      </w:pPr>
      <w:r>
        <w:rPr>
          <w:rFonts w:ascii="Arial" w:cs="Arial" w:eastAsia="Arial" w:hAnsi="Arial"/>
          <w:sz w:val="18"/>
          <w:szCs w:val="18"/>
          <w:color w:val="auto"/>
        </w:rPr>
        <w:t>We are offering to issue up to $400,000,000 aggregate principal amount of new notes in exchange for a like principal amount of old notes to satisfy our obligations under the registration rights agreement that we entered into when the old notes were issued in a transaction consummated in reliance upon the exemption from registration provided by Rule 144A under the Securities Act.</w:t>
      </w:r>
    </w:p>
    <w:p>
      <w:pPr>
        <w:spacing w:after="0" w:line="183" w:lineRule="exact"/>
        <w:rPr>
          <w:sz w:val="20"/>
          <w:szCs w:val="20"/>
          <w:color w:val="auto"/>
        </w:rPr>
      </w:pPr>
    </w:p>
    <w:p>
      <w:pPr>
        <w:ind w:left="3" w:right="140"/>
        <w:spacing w:after="0" w:line="268" w:lineRule="auto"/>
        <w:rPr>
          <w:sz w:val="20"/>
          <w:szCs w:val="20"/>
          <w:color w:val="auto"/>
        </w:rPr>
      </w:pPr>
      <w:r>
        <w:rPr>
          <w:rFonts w:ascii="Arial" w:cs="Arial" w:eastAsia="Arial" w:hAnsi="Arial"/>
          <w:sz w:val="18"/>
          <w:szCs w:val="18"/>
          <w:color w:val="auto"/>
        </w:rPr>
        <w:t>The exchange offer will expire at 5:00 p.m., New York City time, on , 2008, unless we extend the exchange offer. By tendering your old notes, you represent to us that:</w:t>
      </w:r>
    </w:p>
    <w:p>
      <w:pPr>
        <w:spacing w:after="0" w:line="51" w:lineRule="exact"/>
        <w:rPr>
          <w:sz w:val="20"/>
          <w:szCs w:val="20"/>
          <w:color w:val="auto"/>
        </w:rPr>
      </w:pPr>
    </w:p>
    <w:p>
      <w:pPr>
        <w:ind w:left="423" w:hanging="423"/>
        <w:spacing w:after="0"/>
        <w:tabs>
          <w:tab w:leader="none" w:pos="423"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not our “affiliate,” as defined in Rule 405 under the Securities Act;</w:t>
      </w:r>
    </w:p>
    <w:p>
      <w:pPr>
        <w:spacing w:after="0" w:line="200" w:lineRule="exact"/>
        <w:rPr>
          <w:sz w:val="20"/>
          <w:szCs w:val="20"/>
          <w:color w:val="auto"/>
        </w:rPr>
      </w:pPr>
    </w:p>
    <w:p>
      <w:pPr>
        <w:sectPr>
          <w:pgSz w:w="11900" w:h="16838" w:orient="portrait"/>
          <w:cols w:equalWidth="0" w:num="2">
            <w:col w:w="3677" w:space="720"/>
            <w:col w:w="6843"/>
          </w:cols>
          <w:pgMar w:left="240" w:top="459" w:right="419" w:bottom="1440" w:gutter="0" w:footer="0" w:header="0"/>
          <w:type w:val="continuous"/>
        </w:sectPr>
      </w:pP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300" w:hanging="423"/>
        <w:spacing w:after="0" w:line="268" w:lineRule="auto"/>
        <w:tabs>
          <w:tab w:leader="none" w:pos="4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new notes you receive in the exchange offer are being acquired by you in the ordinary course of your business;</w:t>
      </w:r>
    </w:p>
    <w:p>
      <w:pPr>
        <w:spacing w:after="0" w:line="50" w:lineRule="exact"/>
        <w:rPr>
          <w:rFonts w:ascii="Arial" w:cs="Arial" w:eastAsia="Arial" w:hAnsi="Arial"/>
          <w:sz w:val="18"/>
          <w:szCs w:val="18"/>
          <w:color w:val="auto"/>
        </w:rPr>
      </w:pPr>
    </w:p>
    <w:p>
      <w:pPr>
        <w:ind w:left="4820" w:right="360" w:hanging="423"/>
        <w:spacing w:after="0" w:line="256" w:lineRule="auto"/>
        <w:tabs>
          <w:tab w:leader="none" w:pos="4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 neither you nor, to your knowledge, anyone receiving new notes from you, has any arrangement or understanding with any person to participate in the distribution, as defined in the Securities Act, of the new notes in violation of the Securities Act;</w:t>
      </w:r>
    </w:p>
    <w:p>
      <w:pPr>
        <w:spacing w:after="0" w:line="62" w:lineRule="exact"/>
        <w:rPr>
          <w:rFonts w:ascii="Arial" w:cs="Arial" w:eastAsia="Arial" w:hAnsi="Arial"/>
          <w:sz w:val="18"/>
          <w:szCs w:val="18"/>
          <w:color w:val="auto"/>
        </w:rPr>
      </w:pPr>
    </w:p>
    <w:p>
      <w:pPr>
        <w:ind w:left="4820" w:right="260" w:hanging="423"/>
        <w:spacing w:after="0" w:line="254" w:lineRule="auto"/>
        <w:tabs>
          <w:tab w:leader="none" w:pos="4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are a broker-dealer, you will receive the new notes for your own account in exchange for old notes that were acquired by you as a result of your market-making or other trading activities and that you will deliver a prospectus in connection with any resale of the new notes you receive; for further information regarding resales of the new notes by participating broker-dealers, see the discussion under the caption “Plan of Distribution”; and</w:t>
      </w:r>
    </w:p>
    <w:p>
      <w:pPr>
        <w:spacing w:after="0" w:line="63" w:lineRule="exact"/>
        <w:rPr>
          <w:rFonts w:ascii="Arial" w:cs="Arial" w:eastAsia="Arial" w:hAnsi="Arial"/>
          <w:sz w:val="18"/>
          <w:szCs w:val="18"/>
          <w:color w:val="auto"/>
        </w:rPr>
      </w:pPr>
    </w:p>
    <w:p>
      <w:pPr>
        <w:ind w:left="4820" w:right="380" w:hanging="423"/>
        <w:spacing w:after="0" w:line="268" w:lineRule="auto"/>
        <w:tabs>
          <w:tab w:leader="none" w:pos="4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new notes, as defined in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Withdrawal; Non-Acceptance</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4"/>
              </w:rPr>
              <w:t>You may withdraw any old notes tendered in the exchange offer at any time prior to 5:00 p.m.,</w:t>
            </w:r>
          </w:p>
        </w:tc>
      </w:tr>
      <w:tr>
        <w:trPr>
          <w:trHeight w:val="216"/>
        </w:trPr>
        <w:tc>
          <w:tcPr>
            <w:tcW w:w="3480" w:type="dxa"/>
            <w:vAlign w:val="bottom"/>
          </w:tcPr>
          <w:p>
            <w:pPr>
              <w:spacing w:after="0"/>
              <w:rPr>
                <w:sz w:val="18"/>
                <w:szCs w:val="18"/>
                <w:color w:val="auto"/>
              </w:rPr>
            </w:pPr>
          </w:p>
        </w:tc>
        <w:tc>
          <w:tcPr>
            <w:tcW w:w="3340" w:type="dxa"/>
            <w:vAlign w:val="bottom"/>
            <w:gridSpan w:val="2"/>
          </w:tcPr>
          <w:p>
            <w:pPr>
              <w:ind w:left="920"/>
              <w:spacing w:after="0"/>
              <w:rPr>
                <w:sz w:val="20"/>
                <w:szCs w:val="20"/>
                <w:color w:val="auto"/>
              </w:rPr>
            </w:pPr>
            <w:r>
              <w:rPr>
                <w:rFonts w:ascii="Arial" w:cs="Arial" w:eastAsia="Arial" w:hAnsi="Arial"/>
                <w:sz w:val="18"/>
                <w:szCs w:val="18"/>
                <w:color w:val="auto"/>
              </w:rPr>
              <w:t>New York City time, on</w:t>
            </w:r>
          </w:p>
        </w:tc>
        <w:tc>
          <w:tcPr>
            <w:tcW w:w="4640" w:type="dxa"/>
            <w:vAlign w:val="bottom"/>
          </w:tcPr>
          <w:p>
            <w:pPr>
              <w:ind w:left="180"/>
              <w:spacing w:after="0"/>
              <w:rPr>
                <w:sz w:val="20"/>
                <w:szCs w:val="20"/>
                <w:color w:val="auto"/>
              </w:rPr>
            </w:pPr>
            <w:r>
              <w:rPr>
                <w:rFonts w:ascii="Arial" w:cs="Arial" w:eastAsia="Arial" w:hAnsi="Arial"/>
                <w:sz w:val="18"/>
                <w:szCs w:val="18"/>
                <w:color w:val="auto"/>
              </w:rPr>
              <w:t>, 2008, which date we may extend if we extend the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3"/>
              </w:rPr>
              <w:t>exchange offer. If we decide for any reason not to accept any old notes tendered for exchange,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the old notes will be returned to the registered holder at our expense promptly after the expiration</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or termination of the exchange offer. In the case of old notes tendered by book-entry transfer into</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6"/>
              </w:rPr>
              <w:t>the exchange agent’s account at The Depository Trust Company (“DTC”), any withdrawn or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8"/>
              </w:rPr>
              <w:t>unaccepted old notes will be credited to the tendering holder’s account at DTC. For further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information regarding the withdrawal of tendered old notes, see “The Exchange Offer—Terms of</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5"/>
              </w:rPr>
              <w:t>the Exchange Offer; Period for Tendering Old Notes” and “The Exchange Offer—Withdrawal</w:t>
            </w:r>
          </w:p>
        </w:tc>
      </w:tr>
      <w:tr>
        <w:trPr>
          <w:trHeight w:val="222"/>
        </w:trPr>
        <w:tc>
          <w:tcPr>
            <w:tcW w:w="3480" w:type="dxa"/>
            <w:vAlign w:val="bottom"/>
          </w:tcPr>
          <w:p>
            <w:pPr>
              <w:spacing w:after="0"/>
              <w:rPr>
                <w:sz w:val="19"/>
                <w:szCs w:val="19"/>
                <w:color w:val="auto"/>
              </w:rPr>
            </w:pPr>
          </w:p>
        </w:tc>
        <w:tc>
          <w:tcPr>
            <w:tcW w:w="3340" w:type="dxa"/>
            <w:vAlign w:val="bottom"/>
            <w:gridSpan w:val="2"/>
          </w:tcPr>
          <w:p>
            <w:pPr>
              <w:ind w:left="920"/>
              <w:spacing w:after="0"/>
              <w:rPr>
                <w:sz w:val="20"/>
                <w:szCs w:val="20"/>
                <w:color w:val="auto"/>
              </w:rPr>
            </w:pPr>
            <w:r>
              <w:rPr>
                <w:rFonts w:ascii="Arial" w:cs="Arial" w:eastAsia="Arial" w:hAnsi="Arial"/>
                <w:sz w:val="18"/>
                <w:szCs w:val="18"/>
                <w:color w:val="auto"/>
              </w:rPr>
              <w:t>Rights.”</w:t>
            </w:r>
          </w:p>
        </w:tc>
        <w:tc>
          <w:tcPr>
            <w:tcW w:w="4640" w:type="dxa"/>
            <w:vAlign w:val="bottom"/>
          </w:tcPr>
          <w:p>
            <w:pPr>
              <w:spacing w:after="0"/>
              <w:rPr>
                <w:sz w:val="19"/>
                <w:szCs w:val="19"/>
                <w:color w:val="auto"/>
              </w:rPr>
            </w:pP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Conditions to the Exchange Offer</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480" w:type="dxa"/>
            <w:vAlign w:val="bottom"/>
          </w:tcPr>
          <w:p>
            <w:pPr>
              <w:spacing w:after="0"/>
              <w:rPr>
                <w:sz w:val="19"/>
                <w:szCs w:val="19"/>
                <w:color w:val="auto"/>
              </w:rPr>
            </w:pPr>
          </w:p>
        </w:tc>
        <w:tc>
          <w:tcPr>
            <w:tcW w:w="3340" w:type="dxa"/>
            <w:vAlign w:val="bottom"/>
            <w:gridSpan w:val="2"/>
          </w:tcPr>
          <w:p>
            <w:pPr>
              <w:ind w:left="920"/>
              <w:spacing w:after="0"/>
              <w:rPr>
                <w:sz w:val="20"/>
                <w:szCs w:val="20"/>
                <w:color w:val="auto"/>
              </w:rPr>
            </w:pPr>
            <w:r>
              <w:rPr>
                <w:rFonts w:ascii="Arial" w:cs="Arial" w:eastAsia="Arial" w:hAnsi="Arial"/>
                <w:sz w:val="18"/>
                <w:szCs w:val="18"/>
                <w:color w:val="auto"/>
                <w:w w:val="93"/>
              </w:rPr>
              <w:t>our acceptance of the old notes:</w:t>
            </w:r>
          </w:p>
        </w:tc>
        <w:tc>
          <w:tcPr>
            <w:tcW w:w="464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the SEC;</w:t>
            </w:r>
          </w:p>
        </w:tc>
        <w:tc>
          <w:tcPr>
            <w:tcW w:w="464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3"/>
              </w:rPr>
              <w:t>governmental agency that might materially impair our or our guarantors’ ability to proceed</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with the exchange offer;</w:t>
            </w:r>
          </w:p>
        </w:tc>
        <w:tc>
          <w:tcPr>
            <w:tcW w:w="464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0"/>
              </w:rPr>
              <w:t>there has been proposed, adopted, or enacted any law, statute, rule or regulation that, in our</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offer.</w:t>
            </w:r>
          </w:p>
        </w:tc>
        <w:tc>
          <w:tcPr>
            <w:tcW w:w="4640" w:type="dxa"/>
            <w:vAlign w:val="bottom"/>
          </w:tcPr>
          <w:p>
            <w:pPr>
              <w:spacing w:after="0"/>
              <w:rPr>
                <w:sz w:val="19"/>
                <w:szCs w:val="19"/>
                <w:color w:val="auto"/>
              </w:rPr>
            </w:pPr>
          </w:p>
        </w:tc>
      </w:tr>
      <w:tr>
        <w:trPr>
          <w:trHeight w:val="161"/>
        </w:trPr>
        <w:tc>
          <w:tcPr>
            <w:tcW w:w="3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tcPr>
          <w:p>
            <w:pPr>
              <w:ind w:left="1040"/>
              <w:spacing w:after="0"/>
              <w:rPr>
                <w:sz w:val="20"/>
                <w:szCs w:val="20"/>
                <w:color w:val="auto"/>
              </w:rPr>
            </w:pPr>
            <w:r>
              <w:rPr>
                <w:rFonts w:ascii="Arial" w:cs="Arial" w:eastAsia="Arial" w:hAnsi="Arial"/>
                <w:sz w:val="18"/>
                <w:szCs w:val="18"/>
                <w:color w:val="auto"/>
              </w:rPr>
              <w:t>6</w:t>
            </w:r>
          </w:p>
        </w:tc>
        <w:tc>
          <w:tcPr>
            <w:tcW w:w="4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Procedures for Tendering Old Notes</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3"/>
              </w:rPr>
              <w:t>Unless you comply with the procedure described below under the caption “The Exchange Offer</w:t>
            </w:r>
          </w:p>
        </w:tc>
      </w:tr>
      <w:tr>
        <w:trPr>
          <w:trHeight w:val="216"/>
        </w:trPr>
        <w:tc>
          <w:tcPr>
            <w:tcW w:w="3560" w:type="dxa"/>
            <w:vAlign w:val="bottom"/>
          </w:tcPr>
          <w:p>
            <w:pPr>
              <w:spacing w:after="0"/>
              <w:rPr>
                <w:sz w:val="18"/>
                <w:szCs w:val="18"/>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—Guaranteed Delivery Procedures,” you must do one of the following on or prior to the</w:t>
            </w:r>
          </w:p>
        </w:tc>
      </w:tr>
      <w:tr>
        <w:trPr>
          <w:trHeight w:val="222"/>
        </w:trPr>
        <w:tc>
          <w:tcPr>
            <w:tcW w:w="3560" w:type="dxa"/>
            <w:vAlign w:val="bottom"/>
          </w:tcPr>
          <w:p>
            <w:pPr>
              <w:spacing w:after="0"/>
              <w:rPr>
                <w:sz w:val="19"/>
                <w:szCs w:val="19"/>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w w:val="95"/>
              </w:rPr>
              <w:t>tender your old notes by sending (i) the certificates for your old notes (in proper form for</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3"/>
              </w:rPr>
              <w:t>transfer), (ii) a properly completed and duly executed letter of transmittal and (iii) all other</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8"/>
              </w:rPr>
              <w:t>documents required by the letter of transmittal to U.S. Bank National Association, as</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5"/>
              </w:rPr>
              <w:t>exchange agent, at one of the addresses listed below under the caption “The Exchange</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Offer—Exchange Agent”; or</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w w:val="95"/>
              </w:rPr>
              <w:t>tender your old notes by using the book-entry transfer procedures described below and</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6"/>
              </w:rPr>
              <w:t>transmitting a properly completed and duly executed letter of transmittal, or an agent’s</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8"/>
              </w:rPr>
              <w:t>message instead of the letter of transmittal, to the exchange agent. For a book-entry</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7"/>
              </w:rPr>
              <w:t>transfer to constitute a valid tender of your old notes in the exchange offer, U.S. Bank</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9"/>
              </w:rPr>
              <w:t>National Association, as exchange agent, must receive a confirmation of book-entry</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2"/>
              </w:rPr>
              <w:t>transfer of your old notes into the exchange agent’s account at DTC prior to the expiration</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2"/>
              </w:rPr>
              <w:t>or termination of the exchange offer. For more information regarding the use of book-entry</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8"/>
              </w:rPr>
              <w:t>transfer procedures, including a description of the required agent’s message, see the</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7"/>
              </w:rPr>
              <w:t>discussion below under the caption “The Exchange Offer—Book-Entry Transfers.” As</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0"/>
              </w:rPr>
              <w:t>used in this prospectus, the term “agent’s message” means a message, transmitted by DTC</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5"/>
              </w:rPr>
              <w:t>to and received by the exchange agent and forming a part of a book-entry confirmation,</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9"/>
              </w:rPr>
              <w:t>which states that DTC has received an express acknowledgment from the tendering</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0"/>
              </w:rPr>
              <w:t>participant stating that such participant has received and agrees to be bound by the letter of</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7"/>
              </w:rPr>
              <w:t>transmittal and that we may enforce such letter of transmittal against such participant.</w:t>
            </w:r>
          </w:p>
        </w:tc>
      </w:tr>
      <w:tr>
        <w:trPr>
          <w:trHeight w:val="412"/>
        </w:trPr>
        <w:tc>
          <w:tcPr>
            <w:tcW w:w="3560" w:type="dxa"/>
            <w:vAlign w:val="bottom"/>
          </w:tcPr>
          <w:p>
            <w:pPr>
              <w:ind w:left="200"/>
              <w:spacing w:after="0"/>
              <w:rPr>
                <w:sz w:val="20"/>
                <w:szCs w:val="20"/>
                <w:color w:val="auto"/>
              </w:rPr>
            </w:pPr>
            <w:r>
              <w:rPr>
                <w:rFonts w:ascii="Arial" w:cs="Arial" w:eastAsia="Arial" w:hAnsi="Arial"/>
                <w:sz w:val="18"/>
                <w:szCs w:val="18"/>
                <w:color w:val="auto"/>
              </w:rPr>
              <w:t>Guaranteed Delivery Procedures</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0"/>
              </w:rPr>
              <w:t>If you are a registered holder of old notes and wish to tender your old notes in the exchange offer,</w:t>
            </w:r>
          </w:p>
        </w:tc>
      </w:tr>
      <w:tr>
        <w:trPr>
          <w:trHeight w:val="222"/>
        </w:trPr>
        <w:tc>
          <w:tcPr>
            <w:tcW w:w="35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but:</w:t>
            </w:r>
          </w:p>
        </w:tc>
        <w:tc>
          <w:tcPr>
            <w:tcW w:w="6720" w:type="dxa"/>
            <w:vAlign w:val="bottom"/>
          </w:tcPr>
          <w:p>
            <w:pPr>
              <w:spacing w:after="0"/>
              <w:rPr>
                <w:sz w:val="19"/>
                <w:szCs w:val="19"/>
                <w:color w:val="auto"/>
              </w:rPr>
            </w:pPr>
          </w:p>
        </w:tc>
      </w:tr>
      <w:tr>
        <w:trPr>
          <w:trHeight w:val="297"/>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rPr>
              <w:t>the old notes are not immediately available;</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w w:val="97"/>
              </w:rPr>
              <w:t>time will not permit your old notes or other required documents to reach the exchange</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agent before the expiration or termination of the exchange offer; or</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rPr>
              <w:t>the procedure for book-entry transfer cannot be completed prior to the expiration or</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termination of the exchange offer;</w:t>
            </w:r>
          </w:p>
        </w:tc>
      </w:tr>
      <w:tr>
        <w:trPr>
          <w:trHeight w:val="161"/>
        </w:trPr>
        <w:tc>
          <w:tcPr>
            <w:tcW w:w="3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spacing w:after="0"/>
              <w:rPr>
                <w:sz w:val="13"/>
                <w:szCs w:val="13"/>
                <w:color w:val="auto"/>
              </w:rPr>
            </w:pPr>
          </w:p>
        </w:tc>
      </w:tr>
      <w:tr>
        <w:trPr>
          <w:trHeight w:val="359"/>
        </w:trPr>
        <w:tc>
          <w:tcPr>
            <w:tcW w:w="3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720" w:type="dxa"/>
            <w:vAlign w:val="bottom"/>
          </w:tcPr>
          <w:p>
            <w:pPr>
              <w:ind w:left="94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12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0126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18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180"/>
          </w:cols>
          <w:pgMar w:left="240" w:top="459" w:right="479" w:bottom="1440" w:gutter="0" w:footer="0" w:header="0"/>
        </w:sectPr>
      </w:pPr>
    </w:p>
    <w:p>
      <w:pPr>
        <w:spacing w:after="0" w:line="17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59"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440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Exchange Agent</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U.S. Bank National Association is the exchange agent for the exchange offer. You can find the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7"/>
              </w:rPr>
              <w:t>address and telephone number of the exchange agent below under the caption, “The Exchange</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Offer—Exchange Agent.”</w:t>
            </w: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Resales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Based on interpretations by the staff of the SEC, as set forth in no-action letters issued to third</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9"/>
              </w:rPr>
              <w:t>parties, we believe that the new notes issued in the exchange offer may be offered for resale,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resold or otherwise transferred by you without compliance with the registration and prospectus</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91"/>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w w:val="96"/>
              </w:rPr>
              <w:t>you are not participating, do not intend to participate and have no arrangement or</w:t>
            </w:r>
          </w:p>
        </w:tc>
      </w:tr>
      <w:tr>
        <w:trPr>
          <w:trHeight w:val="222"/>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w w:val="94"/>
              </w:rPr>
              <w:t>understanding with any person to participate, in a distribution of the new notes; and</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not an affiliate of ours.</w:t>
            </w:r>
          </w:p>
        </w:tc>
      </w:tr>
    </w:tbl>
    <w:p>
      <w:pPr>
        <w:spacing w:after="0" w:line="196" w:lineRule="exact"/>
        <w:rPr>
          <w:sz w:val="20"/>
          <w:szCs w:val="20"/>
          <w:color w:val="auto"/>
        </w:rPr>
      </w:pPr>
    </w:p>
    <w:p>
      <w:pPr>
        <w:ind w:left="4400" w:right="10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866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486664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you cannot rely on the applicable interpretations of the staff of the SEC;</w:t>
      </w:r>
    </w:p>
    <w:p>
      <w:pPr>
        <w:spacing w:after="0" w:line="11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will not be entitled to tender your old notes in the exchange offer; and</w:t>
      </w:r>
    </w:p>
    <w:p>
      <w:pPr>
        <w:spacing w:after="0" w:line="11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you must comply with the registration requirements of the Securities Act in connection with any resale transaction.</w:t>
      </w:r>
    </w:p>
    <w:p>
      <w:pPr>
        <w:spacing w:after="0" w:line="17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right="12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6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ectPr>
          <w:pgSz w:w="11900" w:h="16838" w:orient="portrait"/>
          <w:cols w:equalWidth="0" w:num="1">
            <w:col w:w="11240"/>
          </w:cols>
          <w:pgMar w:left="240" w:top="459" w:right="419" w:bottom="1440" w:gutter="0" w:footer="0" w:header="0"/>
          <w:type w:val="continuous"/>
        </w:sectPr>
      </w:pPr>
    </w:p>
    <w:p>
      <w:pPr>
        <w:spacing w:after="0" w:line="9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3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370" w:lineRule="auto"/>
        <w:rPr>
          <w:sz w:val="20"/>
          <w:szCs w:val="20"/>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10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ind w:right="200"/>
        <w:spacing w:after="0" w:line="288"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w:t>
      </w:r>
    </w:p>
    <w:p>
      <w:pPr>
        <w:spacing w:after="0" w:line="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120"/>
        <w:spacing w:after="0" w:line="284" w:lineRule="auto"/>
        <w:rPr>
          <w:sz w:val="20"/>
          <w:szCs w:val="20"/>
          <w:color w:val="auto"/>
        </w:rPr>
      </w:pPr>
      <w:r>
        <w:rPr>
          <w:rFonts w:ascii="Arial" w:cs="Arial" w:eastAsia="Arial" w:hAnsi="Arial"/>
          <w:sz w:val="15"/>
          <w:szCs w:val="15"/>
          <w:color w:val="auto"/>
        </w:rPr>
        <w:t>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later of (i) 180 days following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after the registration statement containing</w:t>
      </w:r>
    </w:p>
    <w:p>
      <w:pPr>
        <w:spacing w:after="0" w:line="14" w:lineRule="exact"/>
        <w:rPr>
          <w:sz w:val="20"/>
          <w:szCs w:val="20"/>
          <w:color w:val="auto"/>
        </w:rPr>
      </w:pPr>
    </w:p>
    <w:p>
      <w:pPr>
        <w:ind w:left="4400" w:right="220"/>
        <w:spacing w:after="0" w:line="224" w:lineRule="auto"/>
        <w:rPr>
          <w:sz w:val="20"/>
          <w:szCs w:val="20"/>
          <w:color w:val="auto"/>
        </w:rPr>
      </w:pPr>
      <w:r>
        <w:rPr>
          <w:rFonts w:ascii="Arial" w:cs="Arial" w:eastAsia="Arial" w:hAnsi="Arial"/>
          <w:sz w:val="18"/>
          <w:szCs w:val="18"/>
          <w:color w:val="auto"/>
        </w:rPr>
        <w:t>this prospectus is declared effective, and (ii) 180 days following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after the exchange offer expires, we will make this prospectus available to any broker-dealer for use in connection with any such resale. See “Plan of Distribution” beginning on page 176 for more information.</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038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0380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When we issued the old notes on November 6, 2007,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 the exchange offer registration statement with the SEC on or prior to March 5, 2008;</w:t>
      </w:r>
    </w:p>
    <w:p>
      <w:pPr>
        <w:spacing w:after="0" w:line="11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use all commercially reasonable efforts to cause the exchange offer registration statement to be declared effective no later than July 3, 2008;</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306" w:lineRule="auto"/>
        <w:rPr>
          <w:sz w:val="20"/>
          <w:szCs w:val="20"/>
          <w:color w:val="auto"/>
        </w:rPr>
      </w:pPr>
      <w:r>
        <w:rPr>
          <w:rFonts w:ascii="Arial" w:cs="Arial" w:eastAsia="Arial" w:hAnsi="Arial"/>
          <w:sz w:val="16"/>
          <w:szCs w:val="16"/>
          <w:color w:val="auto"/>
        </w:rPr>
        <w:t>use all commercially reasonable efforts to consummate the exchange offer within 30 business days after the date on which the exchange offer registration statement is declared effective, or, if later, within 10 business days after the exchange offer expires;</w:t>
      </w:r>
    </w:p>
    <w:p>
      <w:pPr>
        <w:spacing w:after="0" w:line="26"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20"/>
        <w:spacing w:after="0" w:line="259" w:lineRule="auto"/>
        <w:rPr>
          <w:sz w:val="20"/>
          <w:szCs w:val="20"/>
          <w:color w:val="auto"/>
        </w:rPr>
      </w:pPr>
      <w:r>
        <w:rPr>
          <w:rFonts w:ascii="Arial" w:cs="Arial" w:eastAsia="Arial" w:hAnsi="Arial"/>
          <w:sz w:val="18"/>
          <w:szCs w:val="18"/>
          <w:color w:val="auto"/>
        </w:rPr>
        <w:t>use all commercially reasonable efforts to file a shelf registration statement for the resale of the old notes if we cannot effect an exchange offer within the time periods listed above and in certain other circumstances; and</w:t>
      </w:r>
    </w:p>
    <w:p>
      <w:pPr>
        <w:spacing w:after="0" w:line="59"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if we fail to meet our registration obligations, we will pay liquidated damages in an amount equal to $0.05 per week per $1,000 of the principal amount of old notes held by a holder</w:t>
      </w:r>
    </w:p>
    <w:p>
      <w:pPr>
        <w:spacing w:after="0" w:line="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820"/>
        <w:spacing w:after="0"/>
        <w:rPr>
          <w:sz w:val="20"/>
          <w:szCs w:val="20"/>
          <w:color w:val="auto"/>
        </w:rPr>
      </w:pPr>
      <w:r>
        <w:rPr>
          <w:rFonts w:ascii="Arial" w:cs="Arial" w:eastAsia="Arial" w:hAnsi="Arial"/>
          <w:sz w:val="16"/>
          <w:szCs w:val="16"/>
          <w:color w:val="auto"/>
        </w:rPr>
        <w:t>for each day that we default on our registration obligations, increasing by an additional</w:t>
      </w:r>
    </w:p>
    <w:p>
      <w:pPr>
        <w:spacing w:after="0" w:line="32" w:lineRule="exact"/>
        <w:rPr>
          <w:sz w:val="20"/>
          <w:szCs w:val="20"/>
          <w:color w:val="auto"/>
        </w:rPr>
      </w:pPr>
    </w:p>
    <w:p>
      <w:pPr>
        <w:ind w:left="4820"/>
        <w:spacing w:after="0" w:line="302" w:lineRule="auto"/>
        <w:rPr>
          <w:sz w:val="20"/>
          <w:szCs w:val="20"/>
          <w:color w:val="auto"/>
        </w:rPr>
      </w:pPr>
      <w:r>
        <w:rPr>
          <w:rFonts w:ascii="Arial" w:cs="Arial" w:eastAsia="Arial" w:hAnsi="Arial"/>
          <w:sz w:val="16"/>
          <w:szCs w:val="16"/>
          <w:color w:val="auto"/>
        </w:rPr>
        <w:t>$0.05 per week per $1,000 of the principal amount of old notes for each subsequent 90-day period our registration obligations are not met, up to a maximum of liquidated damages equal to $0.50 per week per $1,000 of the principal amount of old notes.</w:t>
      </w: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these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77" w:lineRule="exact"/>
        <w:rPr>
          <w:sz w:val="20"/>
          <w:szCs w:val="20"/>
          <w:color w:val="auto"/>
        </w:rPr>
      </w:pPr>
    </w:p>
    <w:p>
      <w:pPr>
        <w:jc w:val="both"/>
        <w:ind w:left="200" w:right="220" w:firstLine="443"/>
        <w:spacing w:after="0" w:line="259" w:lineRule="auto"/>
        <w:rPr>
          <w:sz w:val="20"/>
          <w:szCs w:val="20"/>
          <w:color w:val="auto"/>
        </w:rPr>
      </w:pPr>
      <w:r>
        <w:rPr>
          <w:rFonts w:ascii="Arial" w:cs="Arial" w:eastAsia="Arial" w:hAnsi="Arial"/>
          <w:sz w:val="18"/>
          <w:szCs w:val="18"/>
          <w:color w:val="auto"/>
        </w:rPr>
        <w:t>The terms of the new notes and those of the outstanding old notes are substantially identical, except that the transfer restrictions, registration rights and liquidated damages provisions relating to the old notes do not apply to the new notes. For a more complete understanding of the new notes, see “Description of the New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536"/>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$400,000,000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w:t>
            </w:r>
          </w:p>
        </w:tc>
      </w:tr>
      <w:tr>
        <w:trPr>
          <w:trHeight w:val="34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December 1, 2014.</w:t>
            </w:r>
          </w:p>
        </w:tc>
      </w:tr>
      <w:tr>
        <w:trPr>
          <w:trHeight w:val="304"/>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Upon consummation of the exchange offer, the new notes will be pari passu with, and will vote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with, the old notes, the original 2004 notes and the registered 2004 notes on any matter submitted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2"/>
              </w:rPr>
              <w:t>to noteholders. However, because the old notes were issued with more than de minimis original</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issue discount, upon consummation of the exchange offer, the new notes will be of a separate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2"/>
              </w:rPr>
              <w:t>series from, and will have a different CUSIP number than, the registered 2004 notes and will not</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be fungible with the registered 2004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9"/>
              </w:rPr>
              <w:t>The new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6"/>
              </w:rPr>
              <w:t>Capital, which is a co-issuer of the new notes, and Wynn Completion Guarantor, LLC) on an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8"/>
              </w:rPr>
              <w:t>equal and ratable basis with the guarantees by such guarantors of our credit facilities.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guarantees may be released if the lenders under our credit facilities release the corresponding</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8"/>
              </w:rPr>
              <w:t>guarantees provided by such guarantors in respect of our credit facilities and certain other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conditions set forth in the indenture are satisfied.</w:t>
            </w:r>
          </w:p>
        </w:tc>
      </w:tr>
      <w:tr>
        <w:trPr>
          <w:trHeight w:val="522"/>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34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June 1 and December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The new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w:t>
            </w:r>
          </w:p>
        </w:tc>
      </w:tr>
      <w:tr>
        <w:trPr>
          <w:trHeight w:val="291"/>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guarantees of the new notes will be senior obligations of the guarantors and will rank pari</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9"/>
              </w:rPr>
              <w:t>passu in right of payment with all other senior obligations of the guarantors, including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guarantors’ obligations under our credit facilities.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2"/>
              </w:rPr>
              <w:t>liens, the new notes will be secured on an equal and ratable basis (with certain exceptions) with</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our obligations under our credit facilities,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8"/>
              </w:rPr>
              <w:t>the land on which Wynn Las Vegas is located and the land on which Encore is being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constructed, all improvements constructed in connection with Wynn Las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jc w:val="right"/>
              <w:ind w:right="557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40" w:type="dxa"/>
            <w:vAlign w:val="bottom"/>
            <w:tcBorders>
              <w:top w:val="single" w:sz="8" w:color="auto"/>
              <w:left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3"/>
              </w:rPr>
              <w:t>Vegas and Encore, all other real property held by us, certain personal property, including</w:t>
            </w:r>
          </w:p>
        </w:tc>
      </w:tr>
      <w:tr>
        <w:trPr>
          <w:trHeight w:val="216"/>
        </w:trPr>
        <w:tc>
          <w:tcPr>
            <w:tcW w:w="3040" w:type="dxa"/>
            <w:vAlign w:val="bottom"/>
            <w:tcBorders>
              <w:lef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items of furniture, fixtures and equipment located within Wynn Las Vegas and Encore,</w:t>
            </w:r>
          </w:p>
        </w:tc>
      </w:tr>
      <w:tr>
        <w:trPr>
          <w:trHeight w:val="216"/>
        </w:trPr>
        <w:tc>
          <w:tcPr>
            <w:tcW w:w="3040" w:type="dxa"/>
            <w:vAlign w:val="bottom"/>
            <w:tcBorders>
              <w:lef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water rights for the resort’s water feature, and all material agreements and contractual</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rights;</w:t>
            </w:r>
          </w:p>
        </w:tc>
      </w:tr>
      <w:tr>
        <w:trPr>
          <w:trHeight w:val="304"/>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Capital, Wynn Completion Guarantor, LLC and the guarantors; and</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 perfected first priority lien on all amounts on deposit from time to time in the completion</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guarantee deposit account (currently $31.1 million).</w:t>
            </w:r>
          </w:p>
        </w:tc>
      </w:tr>
      <w:tr>
        <w:trPr>
          <w:trHeight w:val="291"/>
        </w:trPr>
        <w:tc>
          <w:tcPr>
            <w:tcW w:w="3040" w:type="dxa"/>
            <w:vAlign w:val="bottom"/>
            <w:tcBorders>
              <w:left w:val="single" w:sz="8" w:color="auto"/>
            </w:tcBorders>
          </w:tcPr>
          <w:p>
            <w:pPr>
              <w:spacing w:after="0"/>
              <w:rPr>
                <w:sz w:val="24"/>
                <w:szCs w:val="24"/>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0"/>
              </w:rPr>
              <w:t>liens, the subsidiary guarantors’ obligations under the guarantees of the notes will be secured, on</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2"/>
              </w:rPr>
              <w:t>an equal and ratable basis (with certain exceptions) with such guarantors’ obligations under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8"/>
              </w:rPr>
              <w:t>guarantees of our credit facilities, by a perfected first priority lien on substantially all of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7"/>
              </w:rPr>
              <w:t>existing and future assets of the subsidiary guarantors, including the Wynn Las Vegas golf</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7"/>
              </w:rPr>
              <w:t>course, water rights for the golf course, and all material agreements and contractual rights.</w:t>
            </w:r>
          </w:p>
        </w:tc>
      </w:tr>
      <w:tr>
        <w:trPr>
          <w:trHeight w:val="291"/>
        </w:trPr>
        <w:tc>
          <w:tcPr>
            <w:tcW w:w="3040" w:type="dxa"/>
            <w:vAlign w:val="bottom"/>
            <w:tcBorders>
              <w:left w:val="single" w:sz="8" w:color="auto"/>
            </w:tcBorders>
          </w:tcPr>
          <w:p>
            <w:pPr>
              <w:spacing w:after="0"/>
              <w:rPr>
                <w:sz w:val="24"/>
                <w:szCs w:val="24"/>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1"/>
              </w:rPr>
              <w:t>The notes will not be secured by World Travel, LLC’s aircraft. The notes will also not be secured</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by any proceeds on deposit from time to time in our bank proceeds account.</w:t>
            </w:r>
          </w:p>
        </w:tc>
      </w:tr>
      <w:tr>
        <w:trPr>
          <w:trHeight w:val="412"/>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Release of Collateral</w:t>
            </w: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6"/>
              </w:rPr>
              <w:t>The security interests in all of the collateral securing our obligations under the notes and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7"/>
              </w:rPr>
              <w:t>obligations of the subsidiary guarantors under the subsidiary guarantees, including the golf</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course land, may be released if:</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completion date for Encore has occurred;</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lenders under our existing credit facilities release their security interest in such</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collateral (other than in connection with a refinancing);</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default or event of default has occurred and is continuing; and</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the lenders under any other outstanding secured debt (other than capital lease obligations</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and purchase money indebtedness) have released their security interest in such collateral.</w:t>
            </w:r>
          </w:p>
        </w:tc>
      </w:tr>
      <w:tr>
        <w:trPr>
          <w:trHeight w:val="297"/>
        </w:trPr>
        <w:tc>
          <w:tcPr>
            <w:tcW w:w="3040" w:type="dxa"/>
            <w:vAlign w:val="bottom"/>
            <w:tcBorders>
              <w:left w:val="single" w:sz="8" w:color="auto"/>
            </w:tcBorders>
          </w:tcPr>
          <w:p>
            <w:pPr>
              <w:spacing w:after="0"/>
              <w:rPr>
                <w:sz w:val="24"/>
                <w:szCs w:val="24"/>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The security interests in the golf course land may also be released if:</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default or event of default has occurred and is continuing;</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the lenders under our existing credit facilities concurrently release their security interests in</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golf course land (other than in connection with a refinancing);</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Encore is open and operating; and</w:t>
            </w:r>
          </w:p>
        </w:tc>
      </w:tr>
      <w:tr>
        <w:trPr>
          <w:trHeight w:val="161"/>
        </w:trPr>
        <w:tc>
          <w:tcPr>
            <w:tcW w:w="3040" w:type="dxa"/>
            <w:vAlign w:val="bottom"/>
            <w:tcBorders>
              <w:left w:val="single" w:sz="8" w:color="auto"/>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400" w:type="dxa"/>
            <w:vAlign w:val="bottom"/>
            <w:tcBorders>
              <w:top w:val="single" w:sz="8" w:color="auto"/>
              <w:left w:val="single" w:sz="8" w:color="auto"/>
            </w:tcBorders>
          </w:tcPr>
          <w:p>
            <w:pPr>
              <w:spacing w:after="0"/>
              <w:rPr>
                <w:sz w:val="24"/>
                <w:szCs w:val="24"/>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7"/>
              </w:rPr>
              <w:t>our total debt does not exceed 6.5 times our Consolidated EBITDA (as defined in the</w:t>
            </w:r>
          </w:p>
        </w:tc>
      </w:tr>
      <w:tr>
        <w:trPr>
          <w:trHeight w:val="222"/>
        </w:trPr>
        <w:tc>
          <w:tcPr>
            <w:tcW w:w="3400" w:type="dxa"/>
            <w:vAlign w:val="bottom"/>
            <w:tcBorders>
              <w:lef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indenture) for the most recent four full fiscal quarters.</w:t>
            </w:r>
          </w:p>
        </w:tc>
      </w:tr>
      <w:tr>
        <w:trPr>
          <w:trHeight w:val="29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However, if we incur or guarantee debt to finance costs related to the development of the golf</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2"/>
              </w:rPr>
              <w:t>course parcel into a mixed use hotel, casino and residence resort complex pursuant to the debt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incurrence baskets described below under the caption “Description of the New Notes—Certain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Covenants—Incurrence of Indebtedness and Issuance of Disqualified Stock,” then the security</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interest in the golf course land may not be released without obtaining the consent of holders of at</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least 90% of the outstanding principal amount of the notes.</w:t>
            </w:r>
          </w:p>
        </w:tc>
      </w:tr>
      <w:tr>
        <w:trPr>
          <w:trHeight w:val="29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6"/>
              </w:rPr>
              <w:t>The security interest in approximately 20 acres of the golf course land granted by one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subsidiaries may be released if the lenders under our credit facilities concurrently release their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2"/>
              </w:rPr>
              <w:t>lien on such land (other than pursuant to a refinancing) and no default or event of default exists</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or is continuing.</w:t>
            </w:r>
          </w:p>
        </w:tc>
      </w:tr>
      <w:tr>
        <w:trPr>
          <w:trHeight w:val="29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In addition, the indenture provides for releases of the security interests in certain collateral under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specified circumstances and also provides that security interests in the collateral can be released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in connection with asset sales, permitted investments and other permitted dispositions.</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We cannot redeem the notes until December 1, 2009. On or after December 1, 2009, we may</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redeem some or all of the notes at a premium declining ratably to zero, plus accrued and unpaid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interest.</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0"/>
              </w:rPr>
              <w:t>The notes will be subject to redemption requirements imposed by gaming laws and regulations of</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gaming authorities in Nevada or other jurisdictions.</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If a change of control occurs, we must offer to repurchase the notes at 101% of their principal</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amount, plus accrued and unpaid interest.</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6"/>
              </w:rPr>
              <w:t>we must either reinvest the proceeds of such sale in Wynn Las Vegas or Encore, or offer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89"/>
              </w:rPr>
              <w:t>repurchase the notes and repay indebtedness under our credit facilities on a pro rata basis, subject</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to certain exceptions, with any proceeds not reinvested in our business.</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The indenture governing the notes contains covenants restricting our and our restricted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subsidiaries’ ability to:</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161"/>
        </w:trPr>
        <w:tc>
          <w:tcPr>
            <w:tcW w:w="34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68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designate restricted and unrestricted subsidiaries.</w:t>
            </w:r>
          </w:p>
        </w:tc>
      </w:tr>
      <w:tr>
        <w:trPr>
          <w:trHeight w:val="291"/>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7"/>
              </w:rPr>
              <w:t>The trustee under the indenture for the notes and the agent for the lenders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facilities have entered into an intercreditor agreement that will govern the relationship among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holders of the notes, the lenders under our credit facilities and holders of permitted senior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junior indebtedness. Under the intercreditor agreement, the trustee on behalf of the holders of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notes and the agent for the lenders under our credit facilities have appointed a collateral agent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with respect to the collateral granted in favor of the holders of the notes and the lenders under our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credit facilities. The liens on the collateral that secure the notes (which shall not include our bank</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proceeds account, with respect to which the intercreditor agreement provides that the collateral</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agent will have a lien for the sole benefit of the lenders under our credit facilities) will rank pari</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passu with the liens on such collateral that secure our credit facilities and any other permitted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senior debt, and will rank prior to the liens on such collateral that secure any permitted junior</w:t>
            </w:r>
          </w:p>
        </w:tc>
      </w:tr>
      <w:tr>
        <w:trPr>
          <w:trHeight w:val="222"/>
        </w:trPr>
        <w:tc>
          <w:tcPr>
            <w:tcW w:w="3140" w:type="dxa"/>
            <w:vAlign w:val="bottom"/>
            <w:tcBorders>
              <w:left w:val="single" w:sz="8" w:color="auto"/>
            </w:tcBorders>
          </w:tcPr>
          <w:p>
            <w:pPr>
              <w:spacing w:after="0"/>
              <w:rPr>
                <w:sz w:val="19"/>
                <w:szCs w:val="19"/>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w w:val="99"/>
              </w:rPr>
              <w:t>debt.</w:t>
            </w:r>
          </w:p>
        </w:tc>
        <w:tc>
          <w:tcPr>
            <w:tcW w:w="6640" w:type="dxa"/>
            <w:vAlign w:val="bottom"/>
            <w:tcBorders>
              <w:right w:val="single" w:sz="8" w:color="auto"/>
            </w:tcBorders>
          </w:tcPr>
          <w:p>
            <w:pPr>
              <w:spacing w:after="0"/>
              <w:rPr>
                <w:sz w:val="19"/>
                <w:szCs w:val="19"/>
                <w:color w:val="auto"/>
              </w:rPr>
            </w:pPr>
          </w:p>
        </w:tc>
      </w:tr>
      <w:tr>
        <w:trPr>
          <w:trHeight w:val="291"/>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Pursuant to the intercreditor agreement, each of the agent under our credit facilities and, from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after the expiration of 30 days after a payment default or acceleration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governing the notes, lenders under our credit facilities and holders of notes controlling a majority</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6"/>
              </w:rPr>
              <w:t>of the aggregate amount of loans and notes outstanding may instruct the collateral agent to</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commence the exercise of remedies against the collateral. In addition, the agent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facilities will have the right, subject to certain limited exceptions, to direct the collateral agent to</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enter into amendments of, or waive defaults under, or, subject to certain conditions, release all of</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collateral from, the security documents that grant liens on the collateral without obtaining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consent of the trustee or the holders of the notes. The agent under our credit facilities will also</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have the right, at any time when amounts outstanding under our credit facilities equal or exceed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$100.0 million, to amend the intercreditor agreement without the consent of the trustee or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holders of the notes, for the purpose of revising or altering the subordination provisions in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respect of any junior debt provided that such amendment does not affect the provisions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governing the relationship between the lenders under our credit facilities and the holders of the</w:t>
            </w:r>
          </w:p>
        </w:tc>
      </w:tr>
      <w:tr>
        <w:trPr>
          <w:trHeight w:val="222"/>
        </w:trPr>
        <w:tc>
          <w:tcPr>
            <w:tcW w:w="3140" w:type="dxa"/>
            <w:vAlign w:val="bottom"/>
            <w:tcBorders>
              <w:left w:val="single" w:sz="8" w:color="auto"/>
            </w:tcBorders>
          </w:tcPr>
          <w:p>
            <w:pPr>
              <w:spacing w:after="0"/>
              <w:rPr>
                <w:sz w:val="19"/>
                <w:szCs w:val="19"/>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w w:val="81"/>
              </w:rPr>
              <w:t>notes.</w:t>
            </w:r>
          </w:p>
        </w:tc>
        <w:tc>
          <w:tcPr>
            <w:tcW w:w="6640" w:type="dxa"/>
            <w:vAlign w:val="bottom"/>
            <w:tcBorders>
              <w:right w:val="single" w:sz="8" w:color="auto"/>
            </w:tcBorders>
          </w:tcPr>
          <w:p>
            <w:pPr>
              <w:spacing w:after="0"/>
              <w:rPr>
                <w:sz w:val="19"/>
                <w:szCs w:val="19"/>
                <w:color w:val="auto"/>
              </w:rPr>
            </w:pPr>
          </w:p>
        </w:tc>
      </w:tr>
      <w:tr>
        <w:trPr>
          <w:trHeight w:val="291"/>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Completion Guarantee</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One of our wholly owned unrestricted subsidiaries, Wynn Completion Guarantor, LLC,</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sometimes referred to as the completion guarantor, has provided a completion guarantee in favor</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of the trustee under the</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664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40" w:type="dxa"/>
            <w:vAlign w:val="bottom"/>
          </w:tcPr>
          <w:p>
            <w:pPr>
              <w:ind w:left="8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860" w:type="dxa"/>
            <w:vAlign w:val="bottom"/>
            <w:tcBorders>
              <w:top w:val="single" w:sz="8" w:color="auto"/>
              <w:left w:val="single" w:sz="8" w:color="auto"/>
            </w:tcBorders>
          </w:tcPr>
          <w:p>
            <w:pPr>
              <w:spacing w:after="0"/>
              <w:rPr>
                <w:sz w:val="24"/>
                <w:szCs w:val="24"/>
                <w:color w:val="auto"/>
              </w:rPr>
            </w:pPr>
          </w:p>
        </w:tc>
        <w:tc>
          <w:tcPr>
            <w:tcW w:w="860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w w:val="91"/>
              </w:rPr>
              <w:t>indenture for the notes (for the benefit of the holders of the notes) and the agent under our credit</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facilities (as the representative of the lenders under our credit facilities). The completion</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0"/>
              </w:rPr>
              <w:t>guarantee consists of cash collateralized by a security interest in a collateral account holding cash</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1"/>
              </w:rPr>
              <w:t>or short-term highly rated securities and pledged to the lenders under our credit facilities and the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3"/>
              </w:rPr>
              <w:t>holders of the notes as security for the completion guarantee. As of December 31, 2007, there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7"/>
              </w:rPr>
              <w:t>was $31.1 million on deposit in the completion guarantee collateral account. Subject to the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3"/>
              </w:rPr>
              <w:t>intercreditor agreement, upon the occurrence of an event of default under our credit facilities or</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4"/>
              </w:rPr>
              <w:t>the indenture governing the notes, the lenders under our credit facilities and the holders of the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8"/>
              </w:rPr>
              <w:t>notes will be permitted to exercise remedies against deposits in the completion guarantee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collateral account. After the satisfaction of certain conditions relating to the completion of Wynn</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Las Vegas and Encore, any amounts remaining in this account will be released to us.</w:t>
            </w:r>
          </w:p>
        </w:tc>
      </w:tr>
      <w:tr>
        <w:trPr>
          <w:trHeight w:val="311"/>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Securities issued in book-entry form will be issued to Cede &amp; Co. as nominee of DTC.</w:t>
            </w:r>
          </w:p>
        </w:tc>
      </w:tr>
      <w:tr>
        <w:trPr>
          <w:trHeight w:val="311"/>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laws of the State of New York.</w:t>
            </w:r>
          </w:p>
        </w:tc>
      </w:tr>
      <w:tr>
        <w:trPr>
          <w:trHeight w:val="304"/>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You should refer to the section entitled “Risk Factors,” beginning on page 16, for a discussion of</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certain risks involved in investing in the notes.</w:t>
            </w:r>
          </w:p>
        </w:tc>
      </w:tr>
      <w:tr>
        <w:trPr>
          <w:trHeight w:val="161"/>
        </w:trPr>
        <w:tc>
          <w:tcPr>
            <w:tcW w:w="286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right w:val="single" w:sz="8" w:color="auto"/>
            </w:tcBorders>
          </w:tcPr>
          <w:p>
            <w:pPr>
              <w:spacing w:after="0"/>
              <w:rPr>
                <w:sz w:val="13"/>
                <w:szCs w:val="13"/>
                <w:color w:val="auto"/>
              </w:rPr>
            </w:pPr>
          </w:p>
        </w:tc>
      </w:tr>
      <w:tr>
        <w:trPr>
          <w:trHeight w:val="359"/>
        </w:trPr>
        <w:tc>
          <w:tcPr>
            <w:tcW w:w="286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a substantial amount of consolidated debt in relation to our equity. As of December 31, 2007, we had total outstanding debt of approximately $2 billion. Upon the satisfaction of certain conditions, we will be able to incur up to an additional $883.3 million under our credit facilities to fund the construction of Encore. In addition, our credit agreement and the indenture for the notes permit us to incur additional indebtedness in connection with potential expansion plans under certain circumstances in the future. Our substantial indebtedness could have important consequences. For example:</w:t>
      </w:r>
    </w:p>
    <w:p>
      <w:pPr>
        <w:spacing w:after="0" w:line="32" w:lineRule="exact"/>
        <w:rPr>
          <w:sz w:val="20"/>
          <w:szCs w:val="20"/>
          <w:color w:val="auto"/>
        </w:rPr>
      </w:pPr>
    </w:p>
    <w:p>
      <w:pPr>
        <w:ind w:left="900" w:right="20" w:hanging="446"/>
        <w:spacing w:after="0" w:line="357"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Wynn Las Vegas operations to service and amortize our Wynn Las Vegas indebtedness and to pay construction costs of Encore, which will reduce the available cash flow to fund working capital, other capital expenditures and other general corporate purposes;</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construction costs of Encore,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our credit facilities, rates with respect to a portion of the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the notes.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 the terms of the documents governing our debt facilities, we will be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5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and other events beyond our control. As a result, we may not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or customers spending less at our properties, which would adversely affect our revenues.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entirely dependent on one property for all of our cash flow, which subjects us to greater risks than a gaming company with more operating properties.</w:t>
      </w:r>
    </w:p>
    <w:p>
      <w:pPr>
        <w:spacing w:after="0" w:line="1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(opening in December 2008).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cost of utilities for Wynn Las Vegas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with respect to our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opening of Encore may not decrease our exposure to these risks.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casino/hotel industry is highly competitive and additional developments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also competes with a large number of other hotels located in and near Las Vegas, as well as other resort destinations. Some of our competitors have established gaming operations, are subsidiaries or divisions of large public companies, and may have greater financial and other resources than we do.</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in Atlantic City, New Jersey, riverboat gaming facilities in other states, casino facilities on Native American lands and elsewhere in the world, state lotteries, and other forms of gaming. The proliferation of gaming activities in other areas could significantly harm our business as well. The impact on our business from the legalization of gaming activities in other metropolitan areas is unclear at this time. In addition, new or renovated casinos in Macau or elsewhere in Asia could draw Asian gaming customers, including high-rollers, away from Wynn Las Vegas.</w:t>
      </w:r>
    </w:p>
    <w:p>
      <w:pPr>
        <w:spacing w:after="0" w:line="2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significant portion of our table game revenue at Wynn Las Vegas is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operation of Wynn Las Vegas is contingent upon maintaining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and opened Wynn Las Vegas on April 28, 2005; however, we are subject to ongoing regulation to maintain its operation.</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Simultaneous expansion of Wynn Macau and construction of Encore may stretch management time and resources and may impact Wynn Las Vegas.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affiliate, Wynn Resorts (Macau), S.A., has commenced construction of its Wynn Diamond Suites expansion which includes an additional hotel tower and related amenities and is currently expected to open in 2010. Development and construction efforts for Encore continue. Since there is overlap of the development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construction of this project with the construction of Encore, members of Wynn Resorts’ senior management are simultaneously involved in planning and developing both of these projects. Expanding Wynn Macau simultaneously with the development and construction of Encore may divert management resources from the construction and/or completion of Encore. Management’s inability to devote sufficient time and attention to Encore may delay its construction or opening. Any delay caused by such circumstances could have a negative effect on our business and operations.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the construction may disrupt the operations of Wynn Las Vegas and it may not be implemented as planned. Therefore, the construction of Encore may adversely impact the business, operations and revenues of Wynn Las Vegas.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25"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The strength and profitability of our business depends on consumer demand for hotel casino resorts in general and for the type of luxury amenities Wynn Las Vegas offers. Changes in consumer preferences or discretionary consumer spending could harm our business. The terrorist attacks of September 11, 2001, other terrorist activities in the United States and elsewhere, military conflicts in Iraq and in the Middle East, past outbreaks of infectious disease, and tsunamis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jc w:val="both"/>
        <w:ind w:right="300" w:firstLine="456"/>
        <w:spacing w:after="0" w:line="323" w:lineRule="auto"/>
        <w:rPr>
          <w:sz w:val="20"/>
          <w:szCs w:val="20"/>
          <w:color w:val="auto"/>
        </w:rPr>
      </w:pPr>
      <w:r>
        <w:rPr>
          <w:rFonts w:ascii="Arial" w:cs="Arial" w:eastAsia="Arial" w:hAnsi="Arial"/>
          <w:sz w:val="15"/>
          <w:szCs w:val="15"/>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for up to $800 million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“WYNN DIAMOND,” and “ENCORE.” Some of the applications are based upon ongoing use and others are based upon a bona fide intent to use the marks in the future.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“WYNN DIAMOND,” and “ENCORE.” Some of the applications are based upon ongoing use and others are based upon a bona fide intent to use the marks in the future.</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2004, Wynn Resorts extended the term of Mr. Wynn’s employment agreement until October 2017. However, we cannot assure you that Mr. Wynn will remain with Wynn Resorts. If Wynn Resorts loses the services of Mr. Wynn, or if he is unable to devote sufficient attention to our operations for any other reason,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notes and would constitute an event of default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ultimate parent company is Wynn Resorts. Mr. Wynn and Aruze USA, Inc., a company controlled by one of our directors, own approximately 21% and 22%, respectively, of Wynn Resorts’ currently outstanding common stock. As a result, Mr. Wynn and Aruze USA, Inc., to the extent they vote their shares in a similar manner, may be able to control all matters requiring our stockholders’ approval, including the approval of significant corporate transactions.</w:t>
      </w:r>
    </w:p>
    <w:p>
      <w:pPr>
        <w:spacing w:after="0" w:line="10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On November 13,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2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addition, Mr. Wynn and Aruze USA, Inc., together with Baron Asset Fund,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Wynn Resorts’ board of directors. In addition, in November 2006, this agreement was amended to require the written consent of both Mr. Wynn and Aruze USA, Inc. prior to either party selling or transferring any shares of Wynn Resorts that it owns.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Construction and Development of Encore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construction and development costs of Encore are estimates only, and actual construction and development costs may be higher than expected.</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While we believe that the estimated construction and development costs for Encore are reasonable, these construction and development costs are estimates and the actual costs may be higher than expected. Although we will have certain owners’ contingencies to cover cost overruns, these contingencies may not be sufficient to cover the full amount of such overruns. If these contingencies are not sufficient to cover these costs, we may not have the funds required to pay the excess costs and would be dependent upon Wynn Resorts, which is not a guarantor of debt, to contribute additional capital to achieve final completion of the project. Wynn Resorts has no operations except for those of its subsidiaries, which are not obligated to satisfy any obligations or liabilities of Wynn Resorts.</w:t>
      </w:r>
    </w:p>
    <w:p>
      <w:pPr>
        <w:spacing w:after="0" w:line="199"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We intend to fund a substantial portion of the construction and development costs of Encore and our substantial debt service and other obligations with cash flows generated by Wynn Las Vegas, which may not be sufficient to fund such construction and development costs and debt service obligations.</w:t>
      </w:r>
    </w:p>
    <w:p>
      <w:pPr>
        <w:ind w:firstLine="456"/>
        <w:spacing w:after="0" w:line="323" w:lineRule="auto"/>
        <w:rPr>
          <w:sz w:val="20"/>
          <w:szCs w:val="20"/>
          <w:color w:val="auto"/>
        </w:rPr>
      </w:pPr>
      <w:r>
        <w:rPr>
          <w:rFonts w:ascii="Arial" w:cs="Arial" w:eastAsia="Arial" w:hAnsi="Arial"/>
          <w:sz w:val="15"/>
          <w:szCs w:val="15"/>
          <w:color w:val="auto"/>
        </w:rPr>
        <w:t>Our ability to make interest payments under our credit facilities, the notes and any other indebtedness, and to fund a substantial portion of the construction and development costs of Encore, is dependent on our ability to generate sufficient cash flow from our operations at Wynn Las Vegas. We cannot assure you that Wynn Las Vegas will continue to be able to generate sufficient cash flow to make the interest payments under our credit facilities, the notes and any other indebtedness, and fund other costs (including the construction and development of Encore). Our ability to generate cash flow depends on many factors, including:</w:t>
      </w:r>
    </w:p>
    <w:p>
      <w:pPr>
        <w:spacing w:after="0" w:line="1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Some of these factors are beyond our control. Any inability to generate sufficient cash flows to meet our debt service and other obligations (including the construction and development of Encore) would have a material adverse effect on our operating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completion of Encore on schedule and within budget.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8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Encore will post bonds guaranteeing timely completion of a subcontractor’s work and payment for all of that subcontractor’s labor and materials. We cannot assure you that these bonds will be adequate to ensure completion of the work.</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Encore may not commence operations on schedule and construction costs for the project may exceed budgeted amounts. Failure to complete Encore on schedule or within budget could result in a default under our credit facilities and may have a significant negative effect on us and on our ability to make payments on our debt, including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conditions precedent to the funding of the remaining components of the financing for Encore.</w:t>
      </w:r>
    </w:p>
    <w:p>
      <w:pPr>
        <w:spacing w:after="0" w:line="90"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 of December 31, 2007, we had approximately $883.3 million available under our credit facilities, which we intend to use to fund construction of Encore. We expect to use the availability under our credit facilities, the proceeds of the offering of the old notes and cash flow from operations to fund the remaining construction costs of Encore.</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entered into an amended and restated disbursement agreement with the agent under our credit facilities which establishes conditions for the disbursement of funds for Encore.</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our credit facilities and/or their consultants and agent and may therefore be beyond our control. Failure to satisfy the conditions to the drawdowns under our credit facilities could impact our ability to construct Encore. We may not have access to alternative sources of funds necessary to construct Encore on satisfactory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default occurs with respect to the notes, the value of the collateral may not be sufficient to repay the holders of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2007, we had approximately $225 million outstanding under our senior secured term loan credit facility and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$883.7 million of borrowing availability under our revolving credit facility. Under the indenture governing the notes, we may be permitted to incur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that could be secured by first priority liens on the collateral, which liens would have a priority to liens securing the notes and our credit facilities.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notes, the amounts outstanding under the notes and our credit facilities. If these proceeds were not sufficient to repay amounts outstanding under the notes, after paying any higher priority creditors and sharing pari passu with obligations under our credit facilities, then holders of the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intercreditor agreement permits the agent under our credit facilities to amend the terms of, and waive defaults under, the security documents and to amend certain provisions of the intercreditor agreement.</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security documents create the liens on the collateral in favor of a collateral agent for the benefit of the holders of the notes and the lenders under our credit facilities. However, the intercreditor agreement grants the agent under our credit facilities certain rights that may adversely affect the interest of the holders of the notes under the security documents. The intercreditor agreement permits the agent under our credit facilities, without the consent of the holders of the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addition, the agent under our credit facilities is entitled, at any time when the amount outstanding under our credit facilities equals or exceeds $100 million and without the consent of the trustee or the holders of the notes, to amend the subordination provisions that apply to any permitted junior secured debt that we may incur. Any such amendment could increase, perhaps significantly, the rights of any holders of junior debt under the intercreditor agreement to the detriment of the holders of the notes. Any such amendment could also adversely affect the ability of the trustee or the holders of the notes to enforce remedies against the collateral and recover the proceeds thereof.</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intercreditor agreement limits the ability of the holders of the notes to control decisions regarding the collateral and to take enforcement actions.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provides that for the first 30 days following an occurrence of an event of default under our credit facilities or a payment event of default under the indenture governing the notes, only the agent for the lenders under our credit facilities will have the right to instruct the collateral agent to enforce their security interests and initiate the exercise of remedies against the collateral, and the holders of the notes will not have any rights to direct such remedies. From and after the expiration of such 30 day period, either the agent for the lenders under our credit facilities, or the lenders under our credit facilities and the holders of the notes controlling a majority of the aggregate amount of loans and notes outstanding, may instruct the collateral agent to commence the exercise of remedies against the collateral. Given that the amount of loans advanced by the lenders under our credit facilities may, from time to time, be substantially smaller than the outstanding amount of the notes, the lenders’ interests may not be aligned with those of noteholders and the lenders may have different motives or strategies to protect their investment. As such, the lenders under our credit facilities may choose to instruct the collateral agent to enforce their security interest or may initiate the exercise of other remedies against the collateral at any given time even though allowing us additional time to resolve any issues or take any other actions could increase the likelihood of repayment of the notes. In addition, the intercreditor agreement includes certain provisions, such as waivers of certain rights or consents to certain proceedings in bankruptcy, that may not be enforceable in bankruptcy.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an exercise of remedies, the lenders under our credit facilities or the holders of the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notes to additional risks, including, without limitation, additional restrictions on exercising rights against collateral and on otherwise pursuing or obtaining repayment of the notes. See “—Bankruptcy laws may significantly impair your rights to repossess and dispose of collateral securing the notes, and otherwise collect on any amounts due thereunder” below.</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a result of gaming restrictions, in any foreclosure sale of Wynn Las Vegas, the purchaser or the operator of the facility would need to be licensed to operate the resort’s casino under the Nevada gaming laws and regulations. If the note trustee acting on behalf of the holders of the notes or the lenders under our credit facilities purchased Wynn Las Vegas at a foreclosure sale, the note trustee or such lenders would not be permitted to continue gaming operations at Wynn Las Vegas unless they retained an entity licensed under the Nevada gaming laws to conduct gaming operations at the facility. The holders of the notes may have to be licensed or found suitable in any event.</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notes trustee must obtain prior approval from, and may be required to be licensed by, the Nevada gaming authorities before the note trustee can foreclose on the pledged equity interests in our restricted subsidiaries.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notes upon acceleration of the notes, and to otherwise pursue or obtain repayment of the notes, is likely to be significantly impaired or delayed by applicable bankruptcy law if a bankruptcy case is commenced by or against us prior to a taking of possession or disposition of the collateral securing the notes by the note trustee for the benefit of the holders of the notes.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notes and guarantees.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 project relate back to the date on which any contractor first commenced work. Accordingly, contractors, subcontractors and suppliers providing goods and services in connection with the expansion project who after recordation of the deed of trust securing the notes otherwise comply with the applicable requirements of Nevada law may have a lien on the property senior in priority to the lien securing the notes until they are paid in full. In the event of a liquidation, proceeds from the sale of collateral will be used to pay the holders of any mechanics’ liens then in existence before holders of the notes.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notes, and otherwise collect on any amounts due thereunder.</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a bankruptcy case were to be commenced by or against us prior to the repossession and disposition of note collateral, the right of the trustee to repossess and dispose of the note collateral upon the occurrence of an event of default under the indenture is likely to be significantly impaired by applicable bankruptcy law. A bankruptcy case may be commenced by us or by certain unsecured creditors as provided in the United States Bankruptcy Code.</w:t>
      </w:r>
    </w:p>
    <w:p>
      <w:pPr>
        <w:spacing w:after="0" w:line="10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“automatic stay” under applicable bankruptcy law prohibits secured creditors, such as the holders of the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meaning of the term “adequate protection” may vary according to circumstances, but it is generally intended to protect the value of the secured creditor’s interest in the collateral from diminution as a result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noteholders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notes could be delayed following commencement of a bankruptcy case, whether or when the note trustee could repossess or dispose of the collateral or whether or to what extent, through the requirement of “adequate protection,” the holders of the notes would be compensated for any delay in payment or loss of value of the collateral.</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United States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might bear on the recovery by the holders of the notes in these circumstances, among others, would include:</w:t>
      </w:r>
    </w:p>
    <w:p>
      <w:pPr>
        <w:spacing w:after="0" w:line="90" w:lineRule="exact"/>
        <w:rPr>
          <w:sz w:val="20"/>
          <w:szCs w:val="20"/>
          <w:color w:val="auto"/>
        </w:rPr>
      </w:pPr>
    </w:p>
    <w:p>
      <w:pPr>
        <w:ind w:left="900" w:right="3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Encore;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original issue discount may be disallowed in a bankruptcy proceeding as unmatured interest.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notes. For example, under certain circumstances, a bankruptcy court could approve our or third parties’ motions for sales of collateral on terms favorable to us, require you to accept subordinated or other securities in exchange for the notes, or order substantive consolidation of us with Wynn Resorts in a bankruptcy in which Wynn Resorts was debtor.</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notes would be made; whether or when the trustee could foreclose upon or sell the collateral; whether the terms and conditions of the notes or any rights of the noteholders could be altered in a bankruptcy case without the trustee’s or your consent; whether the trustee or you would be able to enforce your rights against the subsidiary guarantors under their guarantees; and whether and to what extent noteholders would be compensated for any delay in payment or decline in the collateral’s value.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rights under agreements serving as collateral for the notes may be rejected in bankruptcy.</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Among other things, contract rights under certain of our agreements serve as collateral for the notes, including rights that stem from the agreements to which we are a party, such as our Design Build Architectural, Engineering and Construction Services Agreement, dated as of February 27, 2007, with Tutor-Saliba Corporation for the design and construction of Encore. If a bankruptcy case were to be commenced by or against Tutor, it is possible that Tutor or a trustee appointed in its bankruptcy case might reject the Tutor construction contract pursuant to section 365 or section 1123 of the United States Bankruptcy Code, which rejection would render the contract unenforceable against Tutor. Additionally, to the extent any rejected agreement constitutes a lease of real property, the resulting claim of the lessor for damages resulting from termination may be capped pursuant to section 502(b)(6) of the United States Bankruptcy Code.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notes have no liens on certain assets.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holders of the notes do not have a lien on our gaming or liquor licenses, because under the Nevada gaming laws they may not be pledged as collateral. In addition, the notes and our credit facilities are not secured by any assets related to Wynn Macau, and the holders of the notes have no claim against those assets. The notes also are not secured by, among other things, World Travel, LLC’s aircraft. Accordingly, such assets are not available to the holders upon an exercise of remedies under the collateral documents.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noteholders’ liens on all or part of the collateral will be released if certain conditions are met.</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liens on all of the collateral will be released if the lenders under our credit facilities release their liens on such collateral (other than in connection with a refinancing) and (i) no default or event of default has occurred, (ii) the completion date for Encore has occurred and (iii) the lenders under any other outstanding secured debt (other than capital lease obligations and purchase money indebtedness) have released their security interest in such collateral.</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so long as Encore is open and operating and (i) no default or event of default has occurred and is continuing immediately prior to or after giving effect to such release, (ii) the lenders under our credit facilities concurrently release their first priority liens on the golf course land (other than in connection with a refinancing) and (iii) both immediately prior to the release of the lien and after giving pro forma effect to such release our and our restricted subsidiaries’ total debt does not exceed 6.5 times Consolidated EBITDA (as defined in the indenture for the notes) for the last four full fiscal quarters.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Once the security interests in the golf course land and the related water rights are released, the noteholders will have only a first priority lien on the assets comprising the hotel and casino, the equity interest of Wynn Holdings or Wynn Las Vegas and the equity interest in our restricted subsidiaries. In the event that the security interests on all of the collateral are released, the notes will become our unsecured obligations. As our senior unsecured obligations, the notes would be effectively subordinated to any secured indebtedness of the issuers and the guarantors up to the value of the collateral securing such indebtedness, would rank senior in right of payment to any subordinated indebtedness of the issuers and guarantors, and would rank equal in right of payment to any existing and future unsecured senior indebtedness of the issuers and guarantors.</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the indenture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additional liens on collateral provided after the notes are issued could also be avoided as preferential transfers.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indenture provides that certain future restricted subsidiaries will guarantee the notes and secure their guarantees with liens on their assets. The indenture also requires us to grant liens on certain assets that we and the existing guarantors acquire after the notes are issued. If the entity granting an additional lien were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notes, guarantees, and liens, and to require noteholders to return payments received from us or the guarantors.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creditors or the creditors of our guarantors could challenge the issuance of the notes or the guarantors’ issuance of their guarantees, and the liens on the assets that secure the notes and guarantees, respectively, as fraudulent conveyances or on other grounds. Under the federal bankruptcy law and similar provisions of state fraudulent transfer laws, the issuance of notes, the delivery of the guarantees, and the granting of liens could be avoided (that is, cancelled) as fraudulent transfers if a court determined that the issuer, at the time it issued the notes or granted the liens, or the guarantor, at the time it issued the guarantee or granted the liens (or, in some jurisdictions, when payment became due under the guarantee):</w:t>
      </w:r>
    </w:p>
    <w:p>
      <w:pPr>
        <w:spacing w:after="0" w:line="35"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issued the notes or guarantees, as the case may be, or granted the liens with the intent to hinder, delay or defraud its existing or future creditors; or</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issued the notes, issued the guarantee, or granted the liens;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 court likely would find that a guarantor did not receive reasonably equivalent value or fair consideration for its guaranty or pledge of assets unless it benefited directly or indirectly from the notes issuance. If the guarantees were avoided or limited under fraudulent transfer or other laws, any claim you may make against the guarantors for amounts payable on the notes would be unenforceable to the extent of such avoidance or limitation.</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collateral securing the notes includes real property and, as a result, holders of the notes may be subject to certain environmental risks.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notes at 101% of their principal amount, plus accrued and unpaid interest to the date of repurchase. We cannot assure you that we will have available funds sufficient to pay the change of control purchase price for any or all of the notes that might be delivered by holders of the notes seeking to accept the change of control offer.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 —Change of Control.”</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notes under certain circumstances. If these change of control events or similar events occur at a time when we are prohibited from repurchasing the notes, we may seek the consent of our lenders to purchase the notes or could attempt to refinance the obligations that contain these prohibitions or restrictions. If we do not obtain our lenders’ consent or refinance these obligations, we will not be able to repurchase the notes. Accordingly, the holders of the notes may not receive the change of control purchase price for their notes in the event of a sale or other change of control, which will give the trustee and the holders of the notes the right to declare an event of default and accelerate the repayment of the notes. See “Description of the New Notes—Events of Default and Remedies.”</w:t>
      </w:r>
    </w:p>
    <w:p>
      <w:pPr>
        <w:spacing w:after="0" w:line="20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noteholders should expect payments on the notes to be delayed and/or reduced.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guarantors of the notes likely will not be able to contribute to any payments with respect to the notes.</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notes.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1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Unrestricted subsidiaries will generally not be subject to the covenants under the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indenture grants us the power to redeem the notes that you own or control if any gaming authority requires you, or a beneficial owner of the notes, to be licensed, qualified or found suitable under any applicable gaming law and:</w:t>
      </w:r>
    </w:p>
    <w:p>
      <w:pPr>
        <w:spacing w:after="0" w:line="51" w:lineRule="exact"/>
        <w:rPr>
          <w:sz w:val="20"/>
          <w:szCs w:val="20"/>
          <w:color w:val="auto"/>
        </w:rPr>
      </w:pPr>
    </w:p>
    <w:p>
      <w:pPr>
        <w:ind w:left="900" w:right="1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Under the foregoing circumstances, under the indenture, we may redeem, and if required by the applicable gaming authority, we must redeem, your notes to the extent required by the gaming authority or deemed necessary or advisable by us. The redemption price will be equal to:</w:t>
      </w:r>
    </w:p>
    <w:p>
      <w:pPr>
        <w:spacing w:after="0" w:line="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other requirements under applicable gaming laws. If you purchase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39" w:lineRule="exact"/>
        <w:rPr>
          <w:sz w:val="20"/>
          <w:szCs w:val="20"/>
          <w:color w:val="auto"/>
        </w:rPr>
      </w:pPr>
    </w:p>
    <w:p>
      <w:pPr>
        <w:ind w:left="900" w:right="3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80" w:hanging="547"/>
        <w:spacing w:after="0" w:line="268"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also provides that as soon as you are required to sell your notes as a result of a gaming authority action, you will, to the extent required by applicable gaming laws, have no further right:</w:t>
      </w:r>
    </w:p>
    <w:p>
      <w:pPr>
        <w:spacing w:after="0" w:line="6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Because the old notes were issued with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 An active market may not develop for the new notes,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 price you paid for the old notes. Future trading prices of the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notes will not be subject to such volatility, either of which could have an adverse effect on the price and liquidity of the notes. We do not intend to apply for listing of the notes on any securities exchange or for quotation of the notes in any automated dealer quotation system, although the old notes currently trade in The PORTAL Market.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85"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20" w:hanging="446"/>
        <w:spacing w:after="0" w:line="357"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 See “The Exchange Offer—Procedures for Tendering Old Notes” and “The Exchange Offer—Consequences of Exchanging or Failing to Exchange Old Notes.”</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purposes of computing the ratio of earnings to fixed charges, “earnings” are defined as earnings before income taxes plus fixed charges, amortization of capitalized interest and distributed income of equity investments minus capitalized interest. “Fixed charges” consist of interest cost whether expensed or capitalized, amortization of debt issuance costs and a portion of operating lease rental expense deemed to be representative of the interest factor.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earnings were inadequate to cover our fixed charges by $94.5 million, $275.5 million and $73.4 million for the years ended December 31, 2003, 2004 and 2005, respectively. Our ratio of earnings to fixed charges was 1.12x and 1.87x for the years ended December 31, 2006 and 2007,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table below sets forth our capitalization, on a consolidated basis, as of December 31, 2007. The data in the table should be read in conjunction with “Management’s Discussion and Analysis of Financial Condition and Results of Operations” and our consolidated financial statements and notes thereto.</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As of 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net of $10.8 million of original issue discount</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1,689,184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Credit facilities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Aircraft financing</w:t>
            </w: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members’ equity</w:t>
            </w: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jc w:val="right"/>
              <w:ind w:right="2132"/>
              <w:spacing w:after="0"/>
              <w:rPr>
                <w:sz w:val="20"/>
                <w:szCs w:val="20"/>
                <w:color w:val="auto"/>
              </w:rPr>
            </w:pPr>
            <w:r>
              <w:rPr>
                <w:rFonts w:ascii="Arial" w:cs="Arial" w:eastAsia="Arial" w:hAnsi="Arial"/>
                <w:sz w:val="18"/>
                <w:szCs w:val="18"/>
                <w:color w:val="auto"/>
              </w:rPr>
              <w:t>35</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2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selected data presented below as of and for the years ended December 31, 2007, 2006, 2005, 2004 and 2003 is derived from our audited consolidated financial statements.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left="286"/>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revenues(1)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722,292</w:t>
            </w:r>
          </w:p>
        </w:tc>
        <w:tc>
          <w:tcPr>
            <w:tcW w:w="4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1,139,348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1,295,851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income/(loss)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(18,981)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116,456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200,621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(160,502)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Ratio of earnings to fixed charges(2)</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1.12X</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1.87X</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Deficiency of earnings to cover fixed charges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(275,502)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(73,381)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4"/>
              </w:rPr>
              <w:t>As of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left="286"/>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18,234</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87,777</w:t>
            </w:r>
          </w:p>
        </w:tc>
        <w:tc>
          <w:tcPr>
            <w:tcW w:w="4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93,820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146,521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investments(3)</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565,230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1,448,529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30,996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214,574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865,130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2,788,302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3,195,828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3,119,888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3,647,256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long-term obligations(4)</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927,327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1,356,593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1,763,995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1,683,906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2,035,653</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1,276,868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1,224,829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1,242,770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Wynn Las Vegas opened on April 28, 2005.</w:t>
      </w:r>
    </w:p>
    <w:p>
      <w:pPr>
        <w:spacing w:after="0" w:line="15"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purposes of computing the ratio of earnings to fixed charges, “earnings” are defined as earnings before income taxes plus fixed charges, amortization of capitalized interest and distributed income of equity invested minus capitalized interest. “Fixed charges” consist of interest cost whether expensed or capitalized, amortization of debt issuance costs and a portion of operating lease rental expense deemed to be representative of the interest factor. Our earnings were inadequate to cover our fixed charges by $94.5 million, $275.5 million, and $73.4 million for the years ended December 31, 2003, 2004 and 2005, respectively. Our ratio of earnings to fixed charges was 1.12x and 1.87x for the years ended December 31, 2006 and 2007, respectively.</w:t>
      </w:r>
    </w:p>
    <w:p>
      <w:pPr>
        <w:spacing w:after="0" w:line="3"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cash and investments primarily reflects the proceeds of our debt and equity financings that are restricted for the construction of Encore and prior to December 31, 2005 for Wynn Las Vegas.</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current portion of long-term debt and long-term portion of due to affiliates.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 hotel casino resort which when completed will be fully integrated with Wynn Las Vegas. Until the opening of Wynn Las Vegas in 2005, we were solely a development stage company.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utilizes approximately 18 additional acres across Sands Avenue, a portion of which is improved with an employee parking garage, and approximately 5 acres adjacent to our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Mobil Five Star and Michelin award-winning restaurant, Alex;</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Two showrooms, two nightclubs and a lounge.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Tower Suites at Wynn Las Vegas is the only casino resort in the world that holds both the Mobil five star and AAA five diamond distinctions. In addition, Wynn Las Vegas was recognized in November 2007 by Michelin, the esteemed European restaurant rating system. Two Michelin stars were awarded to Alex and one Michelin star was awarded to each of Wing Lei and Daniel Boulud Brasserie. Additionally, Wynn Las Vegas received five red pavilions, the highest for Michelin rated accommodations.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2007.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 During the year ended December 31, 2007, projects included remodeling the Le Rêve Theater to enhance the customer experience, two retail outlet conversions and the conversion of Lure to the nightclub Blush.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December 2008.</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which opened in March 2007. The project budget will be funded from our existing credit facilities, remaining proceeds from the issuance of the old notes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February 27, 2007, we entered into the Contract with Tutor for the design and construction of Encore. The Contract sets forth all of the terms and conditions pursuant to which Tutor will design and construct Encore. In June 2007, we executed the First Amendment to the Contract which set the GMP for work covered by the Contract at $1.3 billion. In connection with the execution and delivery of the Contract, Tutor and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 We opened Wynn Las Vegas on April 28, 2005. Accordingly, our results of operations for the years ended December 31, 2007 and 2006 include full periods for Wynn Las Vegas, however, the year ended December 31, 2005 contains only 248 days of operations.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recorded net income for the year ended December 31, 2007 of $124.2 million, which represents a $114.4 million increase from the $9.8 million recorded during the year ended December 31, 2006. This increase is due to significant increases in revenues and operating income primarily related to our casino operations as identified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discussions of our operational performance for the periods in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2007 compared to financial results for the year ended December 31, 2006.</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Net revenues for the year ended December 31, 2007 were comprised of $642.3 million in net casino revenues (49.6% of total net revenues) and $653.5 million of net non-casino revenues (50.4% of total net revenues). Net revenues for the year ended December 31, 2006 were comprised of $535.6 million in net casino revenues (47.0% of total net revenues) and $603.8 million of net non-casino revenues (53.0% of total net revenues). We believe the quality of our resorts’ non-casino amenities, combined with providing guests an unparalleled total resort experience, has driven a premium in our ADR and other non-gaming revenues as well as increased the length of casino play.</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2007 of approximately $642.3 million represents an increase of approximately $106.8 million (or 19.9%) from casino revenues of $535.6 million for the year ended December 31, 2006. The increase in casino revenues is primarily driven by Wynn Las Vegas’ success in the high-end gaming market. For the year ended December 31, 2007, we experienced a 14.6% increase in drop and our average table games win percentage (before discounts) of 25.3% was above the expected range of 21.0% to 24.0%. During the year ended December 31, 2006, our average table game win percentage (before discounts) was 22.1%. Slot handle at Wynn Las Vegas increased slightly during the year ended December 31, 2007 as compared to 2006, and our slot win percentage for the years ended December 31, 2007 and 2006 was within the expected range of 4.5% and 5.5%.</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For the year ended December 31, 2007, room revenues were approximately $285.7 million, which represents a $17.5 million (or 6.5%) increase over the $268.2 million generated for the year ended December 31, 2006. The increase is primarily driven by increased occupancy and rates as noted in the table of key operating measures noted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2007</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300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1300" w:type="dxa"/>
            <w:vAlign w:val="bottom"/>
            <w:gridSpan w:val="2"/>
          </w:tcPr>
          <w:p>
            <w:pPr>
              <w:jc w:val="right"/>
              <w:ind w:right="652"/>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94.4%</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288</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During the year ended December 31, 2007, departmental expenses included casino expenses of $276.5 million, rooms expenses of $75.8 million, food and beverage expenses of $192.5 million, and entertainment, retail and other expenses of $145.5 million. Also included are general and administrative expenses of</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approximately $199.8 million and approximately $21.1 million charged as a provision for doubtful accounts receivable. During the year ended December 31, 2006, departmental expenses included casino expenses of $250.4 million, room expenses of $71.2 million, food and beverage expenses of $185.4 million, and entertainment, retail and other expenses of $129.9 million. Also included are general and administrative expenses of approximately $180.7 million and approximately $20.7 million charged as a provision for doubtful accounts receivable. The increase of Wynn Las Vegas expenses is commensurate with the increase in revenues.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$19.5 million for the year ended December 31, 2007 compared to $17.1 million for the prior year as a result of increased revenues.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Pre-opening costs for the year ended December 31, 2007 of $6.5 million increased by $4.4 million compared to the $2 million incurred during the year ended December 31, 2006. Pre-opening costs for the year ended December 31, 2007 were incurred with the opening of “Monty Python’s Spamalot” and the development of Encore. As the development and construction of Encore progresses in 2008, we expect associated pre-opening costs to increase as opening approaches in December 2008, but not to the same level as we experienced with the opening of Wynn Las Vegas on April 28, 2005.</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2007 of $152.8 million increased by $5.2 million compared to the $147.6 million incurred in the year ended December 31, 2006, primarily due to the addition of a new employee parking garage and the amortization of additional show production costs.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construction of Wynn Las Vegas and Encore,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When Encore opens and these assets are placed into service in December 2008, we will begin recognizing the associated depreciation expense thereon.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 We have remodeled the Broadway Theater and adjacent areas to accommodate performances of “Monty Python’s Spamalot” which opened in the first quarter of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2007 of $6 million decreased by $8.4 million compared to the $14.4 million incurred for the year ended December 31,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continue to make enhancements and refinements to Wynn Las Vegas. Costs relating to assets retired as a result of these enhancement and remodel efforts have been expensed as property charges. During the year ended December 31, 2007, asset abandonments were recorded related to the remodel and enhancements made to the Le Rêve Theater, the abandonment of a marquee sign, two retail outlet conversions and the conversion of Lure to the nightclub Blush.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Interest income was $14.2 million for the year ended December 31, 2007, a decrease of $8.6 million compared to $22.8 million for the year ended December 31, 2006. This decrease is primarily due to reduced interest income earned on restricted cash balances during the year ended December 31, 2007 compared to 2006 as our restricted cash was used to fund costs related to the development and construction of Encore.</w:t>
      </w:r>
    </w:p>
    <w:p>
      <w:pPr>
        <w:spacing w:after="0" w:line="107"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Interest expense, net of capitalized interest of $33.6 million, was $86.1 million for the year ended December 31, 2007 compared to $117.8 million, net of capitalized interest of $7.7 million, for the year ended December 31, 2006. This decrease is due to lower average debt balances under the credit facilities during the year, lower interest rates as a result of the August 2006 bank refinancing and increased capitalized interest of $25.9 million due to the continued construction of Encore, offset by approximately $4 million of additional interest expense related to the $400 million of debt issued in November 2007. Interest capitalization will increase in future periods as Encore construction progresses.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interest rate swap is accounted for in accordance with SFAS No. 133, “Accounting for Derivative Instruments and Hedging Activity,” as amended. The fair value of our interest rate swap is recorded as either an asset or liability with changes in the fair value of the interest rate swap recorded as an increase (decrease) in swap fair value. We recorded a decrease in swap fair value of approximately $4.4 million for the year ended December 31, 2007 and an increase in swap fair value of approximately $871,000 for the year ended December 31, 2006 resulting from a decrease in the fair value of our interest rate swap from December 31, 2006 to December 31, 2007 and an increase in the fair value of our interest rate swap from December 31, 2005 to December 31, 2006 (December 31, 2005 to August 15, 2006 in the case of the terminated swap), respectively. We began 2006 with two $200 million notional amount interest rate swaps. On August 15, 2006, concurrent with the refinancing of our Credit Facilities (see “Liquidity and Capital Resources—Financing Activities”), we terminated one of our two previously existing interest rate swaps. For further information on our interest rate swaps, see “Quantitative and Qualitative Disclosures about Market Risk.”</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Loss from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 Loss from extinguishment of debt totaled $12.5 million for the year ended December 31, 2006. On August 15, 2006 we refinanced our credit facilities as discussed in further detail below (see “Liquidity and Capital Resources—Financing Activities”).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12% Second Mortgage Notes due 2010 (the “Second Mortgage Notes”) and incurred a $1.7 million redemption premium which is also included as loss from extinguishment of debt.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2006 compared to financial results for the year ended December 31, 2005.</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results of operations for the year ended December 31, 2006 include a full period of operations for Wynn Las Vegas and only 248 days of Wynn Las Vegas operations for the year ended December 31, 2005.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revenues for the year ended December 31, 2006 were comprised of $535.6 million in casino revenues (47% of total net revenues) and $603.8 million of net non-casino revenues (53% of total net revenues). Net revenues for the 248 days of operations for the year ended December 31, 2005 were comprised of $353.7 million in net casino revenues (49% of total net revenues) and $368.6 million of net non-casino revenues (51% of total net revenues). We believe the quality of our resorts’ non-casino amenities, combined with providing guests an unparalleled total resort experience, has driven a premium in our ADR and other non-gaming revenues.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Casino revenues for the year ended December 31, 2006 of approximately $535.6 million represents an approximately $181.9 million (or 51.4%) increase from the casino revenues of $353.7 million for the 248 days of operations for the year ended December 30, 2005. The increase in casino revenues was primarily driven by Wynn Las Vegas being open for all of 2006 as opposed to only 248 days in 2005. For the year ended December 31, 2006, our average table games win percentage (before discounts) of 22.1% was within the expected range of 21% to 24%. During the year ended December 31, 2005, our average table game win percentage (before discounts) was 21.5%. Our slot win percentage for the years ended December 31, 2006 and 2005 was within the expected range of 4.5% and 5.5%.</w:t>
      </w:r>
    </w:p>
    <w:p>
      <w:pPr>
        <w:spacing w:after="0" w:line="144"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For the year ended December 31, 2006, room revenues were approximately $268.2 million, which represents a $97.9 million (or 57.5%) increase over the $170.3 million generated in the 248 days of operations for the year ended December 31, 2005. The increase is primarily driven by Wynn Las Vegas being open for the full year as opposed to 248 days of operations in 2005, as well as increased occupancy and rates as noted in the table of key operating measures below.</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2006</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Occupancy</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 million. Other non-casino revenues for the 248 days of operations for the year ended December 31, 2005 included food and beverage revenues of approximately $173.7 million, retail revenues of approximately $51.2 million, entertainment revenues of approximately $41.8 million, and other revenues from outlets, including the spa and salon, of approximately $ 32.5 million. Food and beverage revenues in 2006 benefited significantly from increased revenues from the nightclub located in Wynn Las Vegas as compared to the 2005 food and beverage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During the year ended December 31, 2006, departmental expenses included casino expenses of $250.4 million, rooms expenses of $71.2 million, food and beverage expenses of $185.4 million, and entertainment, retail and other expenses of $129.9 million. Also included are general and administrative expenses of</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approximately $180.7 million and approximately $20.7 million charged as a provision for doubtful accounts receivable. During the year ended December 31, 2005, departmental expenses included casino expenses of $155.1 million, room expenses of $44.2 million, food and beverage expenses of $118.7 million, and entertainment, retail and other expenses of $79.6 million. Also included are general and administrative expenses of approximately $109.2 million and approximately $16.3 million charged as a provision for doubtful accounts receivable. The increase in expenses is due primarily to a full period of Wynn Las Vegas operations in 2006 compared to 248 days of operations in 2005. Furthermore, the increase of Wynn Las Vegas expenses was commensurate with the increase in revenues.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on January 1, 2006, we adopted Statement of Accounting Standard (“SFAS”) No. 123R, Share Based Payments, using the modified prospective method. For the year ended December 31, 2006, we recorded $8.1 million of stock-based compensation expense which is included in the departmental expense of the employee recipient of the stock based award. Prior to January 1, 2006, we did not recognize expense for employee stock options that were granted at the market price. See Note 11 to our annual Consolidated Financial Statements included in this prospectus for more information.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were $17.1 million for the year ended December 31, 2006 compared to $10.8 million for the prior year. This increase is primarily due to a full year of operations in 2006 compared to 248 days in 2005.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Pre-opening costs for the year ended December 31, 2006 of $2 million decreased by $65.4 million compared to the $67.5 million incurred during the year ended December 31, 2005. Wynn Las Vegas no longer incurred pre-opening costs once the property opened on April 28, 2005; consequently, only the relatively small amount of pre-opening costs relating to Encore were incurred during the year ended December 31, 2006. There was a substantial increase in staffing immediately preceding the opening of Wynn Las Vegas, which is reflected in the pre-opening costs in 2005. As the development and construction of Encore progresses, we expect associated pre-opening costs to increase, but not to the same level as we experienced with Wynn Las Vegas.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2006 of $147.6 million increased by $53.3 million compared to the $94.3 million incurred in the year ended December 31, 2005, primarily as a result of the longer operating period for the year ended December 31, 2006 compared to December 31, 2005.</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 We have remodeled the Broadway Theater and adjacent areas to accommodate performances of “Monty Python’s Spamalot,” which opened in the first quarter of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2006 of $14.4 million increased by $0.2 million compared to the $14.2 million incurred for the year ended December 31, 2005.</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2006. The $14.4 million of costs relating to assets retired as a result of these enhancement and remodel efforts for the year ended December 31, 2006 have been expensed as property charges.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Interest income was $22.8 million for the year ended December 31, 2006, an increase of $4.3 million compared to $18.5 million for the year ended December 31, 2005. In the third quarter of 2005, we loaned Wynn Resorts $80 million with interest at 7.5% per year, payable semi-annually. The loan was outstanding for the entire year of 2006 and three months in 2005. Accordingly, we earned approximately $3.7 million more interest income during 2006 on this receivable as compared to 2005. In addition, the decrease in our average cash balances during the year was offset by higher interest rates earned in 2006 compared to 2005.</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Interest expense, net of capitalized interest of $7.7 million, was $117.8 million for the year ended December 31, 2006 compared to $86.7 million, net of capitalized interest of $36.8 million, for the year ended December 31, 2005. While interest expense, including capitalized interest, was relatively flat, capitalized interest decreased significantly once Wynn Las Vegas opened on April 28, 2005. For the first four months of the year ended December 31, 2005, virtually all interest incurred was capitalized. Interest capitalization will increase in future periods as Encore construction progresses.</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began 2006 with two $200 million notional amount interest rate swaps. On August 15, 2006, concurrent with the refinancing of our credit facilities (see “Liquidity and Capital Resources—Financing Activities”), we terminated one of our two previously existing interest rate swaps. The fair values of our interest rate swaps are recorded as either assets or liabilities. Changes in the fair value of these interest rate swaps are recorded as an increase (decrease) in swap fair value. We recorded an increase in swap fair value of approximately $871,000 for the year ended December 31, 2006 and an increase in swap fair value of approximately $9.9 million for the year ended December 31, 2005 resulting from the increases in the fair value of our interest rate swaps from December 31,</w:t>
      </w:r>
    </w:p>
    <w:p>
      <w:pPr>
        <w:spacing w:after="0" w:line="2"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2005 to December 31, 2006 (December 31, 2005 to August 15, 2006 in the case of the terminated swap) and from December 31, 2004 to December 31, 2005, respectively. For further information on our interest rate swaps, see “Quantitative and Qualitative Disclosures about Market Risk.”</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Loss from extinguishment of debt totaled $12.5 million for the year ended December 31, 2006. On August 15, 2006 we refinanced our credit facilities as discussed in further detail below (see “Liquidity and Capital Resources—Financing Activities”).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Second Mortgage Notes and incurred a $1.7 million redemption premium which is also included as loss from extinguishment of debt.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operating cash flows are primarily affected by the operating income generated by Wynn Las Vegas, interest paid, and non-cash charges included in operating income. Net cash provided by operations for the year ended December 31, 2007 was $315.7 million compared to $205.6 million provided by operations for the year ended December 31, 2006. This increase is due to the increase in operating income as a result of improved operational results especially in the casino department.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At December 31, 2007, we had approximately $146.5 million of cash and cash equivalents available for use without restriction, including for operations, new development activities, enhancements to Wynn Las Vegas, or to support the construction of Encore. We require a certain amount of cash on hand for operations. Excess funds are swept from accounts into overnight investments, to repay borrowings under our credit facilities or fund development of Encore. In addition, we have $883.3 million available under our credit facilities as described under “Financing Activities” below.</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At December 31, 2007, we had approximately $31.1 million of restricted cash and investments in the Encore completion guarantee account. Restricted investments are kept in money market funds or relatively short-term, government-backed, marketable debt securities as required by agreements governing our debt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third quarter of 2005, we began to make certain enhancements and refinements to Wynn Las Vegas. As a result, we have incurred and will continue to incur capital expenditures relating to these enhancements and refinements. Under the terms of our credit facilities, we were permitted to make up to $172.2 million of capital expenditures in 2007 (including $47.2 million carried forward from 2006), of which we have expended approximately $60.1 million. For 2008, the limit under our credit facilities is $272.1 million, including $112.1 million carried forward from 2007. The spending limit will be increased to the extent funds are contributed to Wynn Las Vegas by Wynn Resorts.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28, 2006, we commenced construction on Encore. Design and construction is progressing as expected at Encore. We expect to open Encore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2008. Current construction activities in the various project sections include the following:</w:t>
      </w:r>
    </w:p>
    <w:p>
      <w:pPr>
        <w:spacing w:after="0" w:line="8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concrete floor slabs and structural steel are complete for the hotel tower.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Exterior glass installation is 95%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furniture and equipment installation is complete up to the 6th floor.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low-rise casino concrete pours and the structural steel is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Drywall is 80% complete in the convention area and 20% complete at the casino level, spa level, and back of house.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Taxi and valet tunnels are 60% complete and exterior enclosure of the entire low rise is 80% complete.</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project budget for Encore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of “Monty Python’s Spamalot” at Wynn Las Vegas. The project budget is being funded from our existing credit facilities and remaining proceeds from the offering of the old notes,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February 27, 2007, we entered into the Contract with Tutor for the design and construction of Encore. The Contract sets forth all of the terms and conditions pursuant to which Tutor will design and construct Encore. In June 2007, we executed the First Amendment to the Contract which set the GMP for work covered by the Contract at $1.3 billion. In connection with the execution and delivery of the Contract, Tutor and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2007, we had incurred approximately $998.7 million of project costs related to the development and construction of Encore and related capital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900" w:right="3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the remaining proceeds of the offering of the old notes;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Second, by using the proceeds of borrowings under our credit facilities;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 Rêve Production Rights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Rêve,” which were previously only licensed to us. We paid $15.9 million to acquire substantially all of the rights in and to “Le Rêve,” and to repay approximately $1.4 million of production costs, which were reimbursable to the executive producer of “Le Rêve.” The rights acquired enable us to produce, present, enhance, or alter the performance of “Le Rêve” after May 31,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August 15, 2006, we entered into an Amended and Restated Credit Agreement (the “Amended and Restated Credit Agreement”) which, among other things, (i) increased our borrowing capacity from $1 billion to $1.125 billion by increasing the revolving credit facility from $600 million to $900 million (the “Revolver”) and reducing the delayed draw term loan facility from $400 million to $225 million (the “Term Loan”) (together, the “Credit Facilities”); (ii) reduced the borrowing margins on London Interbank Offered Rate (“LIBOR”)-based Revolver and Term Loans to 1.625% and 1.875%, respectively; (iii) extended the maturity dates for the Revolver and the Term Loan to 2011 and 2013, respectively; and (iv) reduced the consolidated interest coverage ratio requirement for quarterly periods on or prior to December 31, 2007 to 2:1. The Amended and Restated Credit Agreement also: (i) reduced the range of the Revolver’s annual LIBOR borrowing margin after the opening of Encore from a range of 1.25% to 2.50% to a range of 1.0% to 1.75%, depending on our leverage ratio; and</w:t>
      </w:r>
    </w:p>
    <w:p>
      <w:pPr>
        <w:ind w:right="120" w:firstLine="8"/>
        <w:spacing w:after="0" w:line="255" w:lineRule="auto"/>
        <w:tabs>
          <w:tab w:leader="none" w:pos="2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simplified the procedures for and conditions to obtaining advances and reduced the reporting obligations under the Amended and Restated Credit Agreement upon the satisfaction of certain conditions, including fully utilizing all remaining proceeds from previously funded amounts under the notes for payment of Encore project costs.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2007, there were no amounts outstanding under the Revolver. We do have $16.7 million of outstanding letters of credit that reduce our availability under the Revolver. Consequently, $883.3 million remains available under the Revolver for future borrowings for the construction of Encore or for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uses as necessary. For borrowings under the Revolver, we have elected, and expect to continue to elect, Eurodollar loans, which bear interest at the 1-month LIBOR rate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$225 million Term Loan matures in 2 installments: $112.5 million will be payable on September 30, 2012 and the remaining $112.5 million will be payable on August 15, 2013.</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Credit Facilities are obligations of Wynn Las Vegas, LLC and are guaranteed by and secured by substantially all of the assets (except our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notes and senior in right of payment to all of their existing and future subordinated indebtedness.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April 2007, we amended our Credit Facilities to: (a) have the Final Completion as defined, be deemed satisfied for Wynn Las Vegas with the resulting release of (i) all amounts in excess of $30 million from the Completion Guaranty Deposit; ($24.6 million), and (ii) the balance of funds in the Project Liquidity Reserve Account ($32.8 million), (b) increase the permitted expenditures for Encore from $300 million to $500 million prior to the execution of a guaranteed maximum price contract, and (c) permit the issuance of up to $500 million of unsecured debt as and when permitted under the indenture governing the notes.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October 2007, we amended the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 Also in October 2007, pursuant to the Credit Facilities, Wynn Las Vegas entered into a pre-agreed upon form of Amended and Restated Master Disbursement Agreement with Deutsche Bank Trust Company Americas as Bank Agent and Disbursement Agent.</w:t>
      </w:r>
    </w:p>
    <w:p>
      <w:pPr>
        <w:spacing w:after="0" w:line="170" w:lineRule="exact"/>
        <w:rPr>
          <w:sz w:val="20"/>
          <w:szCs w:val="20"/>
          <w:color w:val="auto"/>
        </w:rPr>
      </w:pPr>
    </w:p>
    <w:p>
      <w:pPr>
        <w:ind w:right="20" w:firstLine="456"/>
        <w:spacing w:after="0" w:line="233" w:lineRule="auto"/>
        <w:rPr>
          <w:sz w:val="20"/>
          <w:szCs w:val="20"/>
          <w:color w:val="auto"/>
        </w:rPr>
      </w:pPr>
      <w:r>
        <w:rPr>
          <w:rFonts w:ascii="Arial" w:cs="Arial" w:eastAsia="Arial" w:hAnsi="Arial"/>
          <w:sz w:val="18"/>
          <w:szCs w:val="18"/>
          <w:color w:val="auto"/>
        </w:rPr>
        <w:t xml:space="preserve">On November 6, 2007, we completed a private offering of $400 million aggregate principal amount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at a price of 97.25% of the principal amount (the offering of the old notes). The old notes were issued under the same indenture as the original 2004 notes and the registered 2004 notes that we had previously issued. The old notes are pari passu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The old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old notes have not been registered under the Securities Act of 1933 or under any state securities laws. Therefore, we may not offer or sell the old notes within the United States to, or for the account or benefit of, any United States person unless the offer or sale would qualify for a registration exemption from the Securities Act and applicable state securities laws. We have agreed to make an offer to exchange the old notes for registered, publicly traded notes (the new notes) that have substantially identical terms as the old notes. We have filed the registration statement of which this prospectus forms a part to register such new notes and facilitate the exchange offer.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Airplane Note</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was to terminate and be payable in full on March 31, 2010. The term loans were guaranteed by Wynn Las Vegas, LLC and secured by a first priority security interest in our aircraft. Principal and interest was payable quarterly, and interest was calculated at LIBOR plus a margin of 2.375%. In addition to scheduled amortization payments, the borrower was required to prepay the loans if certain events of loss with respect to the aircraft occur.</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our aircraft. Principal and interest are due quarterly with a balloon payment of $28 million due at maturity. Interest is calculated at 90-day LIBOR plus 125 basis points. In connection with this transaction, we incurred a loss from extinguishment of debt of $157,000 related to the write-off of unamortized debt issue costs associated with the original loan during the year ended December 31,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December 31, 2007, we had outstanding letters of credit totaling $16.7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2007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Payments Due By Period</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50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rPr>
              <w:t>4 to 5</w:t>
            </w:r>
          </w:p>
        </w:tc>
        <w:tc>
          <w:tcPr>
            <w:tcW w:w="340" w:type="dxa"/>
            <w:vAlign w:val="bottom"/>
          </w:tcPr>
          <w:p>
            <w:pPr>
              <w:spacing w:after="0"/>
              <w:rPr>
                <w:sz w:val="11"/>
                <w:szCs w:val="11"/>
                <w:color w:val="auto"/>
              </w:rPr>
            </w:pPr>
          </w:p>
        </w:tc>
        <w:tc>
          <w:tcPr>
            <w:tcW w:w="62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$1,966.0</w:t>
            </w:r>
          </w:p>
        </w:tc>
        <w:tc>
          <w:tcPr>
            <w:tcW w:w="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779.1</w:t>
            </w:r>
          </w:p>
        </w:tc>
        <w:tc>
          <w:tcPr>
            <w:tcW w:w="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r>
      <w:tr>
        <w:trPr>
          <w:trHeight w:val="222"/>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740.0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515.7</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377.5</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2,079.0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3,712.2</w:t>
            </w: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2007.</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restricted under the indenture governing the notes from making certain “restricted payments” as defined in the indenture. These restricted payments include the payment of dividends or distributions to any direct or indirect holders of equity interests of Wynn Las Vegas, LLC. The restricted payments may not be made until Encore has been completed and certain other financial and non-financial criteria have been satisfied. In addition, the Credit Facilities contain similar restrictions.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completion of Encore is delayed, then our debt service obligations accruing prior to the actual opening will increase correspondingly. Wynn Las Vegas will fund its operations and capital requirements from operating cash flow and remaining availability under our Credit Facilities. We cannot be sure, however, that Wynn Las Vegas will generate sufficient cash flow from operations or that future borrowings available to us under the Credit Facilities will be sufficient to enable us to service and repay Wynn Las Vegas, LLC’s indebtedness and to fund its other liquidity needs. We cannot be sure that we will be able to refinance any of the indebtedness on acceptable terms or at all.</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Wynn Las Vegas, significant start-up costs were incurred and charged to pre-opening expenses through the second quarter of 2005. Once Wynn Las Vegas opened, expenses associated with the opening of the resort were no longer charged as pre-opening expenses. However, start-up costs relating to Encore will continue to be charged to pre-opening expenses.</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of the project, including design and construction and applicable portions of interest, are capitalized. Accordingly, the recorded amounts of property and equipment increase significantly during construction periods. Depreciation expense related to capitalized construction costs is recognized when the related assets are put in service. Upon opening of Wynn Las Vegas, we began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SFAS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2007 and 2006, approximately 53% and 55%, respectively,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161,913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133,985</w:t>
            </w:r>
          </w:p>
        </w:tc>
        <w:tc>
          <w:tcPr>
            <w:tcW w:w="14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50,142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34,683</w:t>
            </w:r>
          </w:p>
        </w:tc>
        <w:tc>
          <w:tcPr>
            <w:tcW w:w="1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6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15.4%</w:t>
            </w: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increase in the allowance for doubtful accounts as a percentage of casino accounts receivable is due to a normal increase in casino accounts receivable over 180 days. While collection efforts remain active, it is our current policy to fully reserve all accounts over one year old.</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 We currently have one interest rate swap with changes in fair value being recorded in our Consolidated Statements of Operations.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us. In applying the modified prospective method, financial statements of prior periods presented do not reflect any adjusted amounts (i.e. prior periods do not include compensation cost calculated under the fair value method).</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Our adoption of SFAS No. 157 on January 1, 2008 will not have a material impact on the Company’s financial position, results of operations or cash flows.</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considered necessary. We cannot be sure that these risk management strategies will have the desired effect, and interest rate fluctuations could have a negative impact on our results of operations.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2007 on our expected long-term indebtedness. However, we cannot predict the LIBOR rate that will be in effect in the future. Accordingly, the one-month LIBOR rate at December 31, 2007 of 4.6% is used for all variable rate calculations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5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4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vMerge w:val="continue"/>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Fixed rate</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1,700.0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1,700.0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Variable rate</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$ 1.1</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$ 1.4</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320" w:type="dxa"/>
            <w:vAlign w:val="bottom"/>
          </w:tcPr>
          <w:p>
            <w:pPr>
              <w:spacing w:after="0"/>
              <w:rPr>
                <w:sz w:val="18"/>
                <w:szCs w:val="18"/>
                <w:color w:val="auto"/>
              </w:rPr>
            </w:pPr>
          </w:p>
        </w:tc>
        <w:tc>
          <w:tcPr>
            <w:tcW w:w="1120" w:type="dxa"/>
            <w:vAlign w:val="bottom"/>
            <w:gridSpan w:val="3"/>
          </w:tcPr>
          <w:p>
            <w:pPr>
              <w:jc w:val="right"/>
              <w:ind w:right="472"/>
              <w:spacing w:after="0"/>
              <w:rPr>
                <w:sz w:val="20"/>
                <w:szCs w:val="20"/>
                <w:color w:val="auto"/>
              </w:rPr>
            </w:pPr>
            <w:r>
              <w:rPr>
                <w:rFonts w:ascii="Arial" w:cs="Arial" w:eastAsia="Arial" w:hAnsi="Arial"/>
                <w:sz w:val="18"/>
                <w:szCs w:val="18"/>
                <w:color w:val="auto"/>
              </w:rPr>
              <w:t>$ 1.4</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$113.9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146.8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1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5.9%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2007, we have one interest rate swap arrangement to hedge the underlying interest rate risk on a total of $200 million of borrowings under the current Wynn Las Vegas, LLC Term Loan, which bears interest at LIBOR plus 1.875%. Under this interest rate swap arrangement, we receive payments at a variable rate of LIBOR and pay a fixed rate of 3.793% on $200 million notional amount expiring December 31, 2008. Although this interest rate swap is highly effective economically in fixing the interest rate on this borrowing under the new Term Loan at approximately 5.7%, changes in fair value of this interest rate swap for each reporting period are, and will continue to be, recorded as an increase (decrease) in swap fair value in our Consolidated Statements of Operations as the swap does not qualify for hedge accounting.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Swap Fair Values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2007 and 2006, the Wynn Las Vegas, LLC interest rate swaps had an approximate asset fair value of $0.4 million and $4.8 million, respectively. 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our interest rate swap, by contractual maturity date, as of December 31, 2007 and using estimated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LIBOR rates based upon implied forward rates in the yield curve: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left="52"/>
              <w:spacing w:after="0"/>
              <w:rPr>
                <w:sz w:val="20"/>
                <w:szCs w:val="20"/>
                <w:color w:val="auto"/>
              </w:rPr>
            </w:pPr>
            <w:r>
              <w:rPr>
                <w:rFonts w:ascii="Arial" w:cs="Arial" w:eastAsia="Arial" w:hAnsi="Arial"/>
                <w:sz w:val="14"/>
                <w:szCs w:val="14"/>
                <w:b w:val="1"/>
                <w:bCs w:val="1"/>
                <w:color w:val="auto"/>
                <w:w w:val="84"/>
              </w:rPr>
              <w:t>Expected Averages as of December 31,</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center"/>
              <w:ind w:left="5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$ 200</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w:t>
            </w: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pay rate</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3.79%</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2007, approximately 97% of our long-term debt was based on fixed rates, including $200 million of the Term Loan subject to the interest rate swap. Based on our borrowings as of December 31, 2007, an assumed 1% change in variable rates would cause our annual interest cost to change by $0.7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is constructing an expansion of Wynn Las Vegas named Encore at Wynn Las Vegas. Wynn Las Vegas, LLC was formed on April 17, 2001 as a Nevada limited liability company. The sole member of Wynn Las Vegas is Wynn Holdings, and the sole member of Wynn Holdings is Wynn Resorts.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December 31, 2007, the Company owned the one share that was issued and outstanding. Wynn Capital has neither any significant net assets nor any operating activity. Its sole function is to serve as the co-issuer of the notes.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The construction of Encore commenced on April 28, 2006.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Las Vegas opened on April 28, 2005. Wynn Las Vegas’ accommodations, amenities and exceptional service have allowed us to attract and retain high quality customers. Wynn Las Vegas offers 2,716 rooms and suites, including 36 fairway villas and 6 private-entry villas for our premium guests. The Tower Suites at Wynn Las Vegas is the only casino resort in the world that has been awarded both the Mobil five star and AAA five diamond distinctions.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Additionally, our resort and country club received five red pavilions, the highest honor for Michelin rated accommodations. The approximately 111,000 square foot casino features approximately 140 table games, a baccarat salon, private VIP gaming rooms, a poker room, approximately 1,970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two showrooms. The “Le Rêve” Theater features “Le Rêve,” a water-based production. The Broadway Theater hosts “Monty Python’s Spamalot,” winner of the 2005 Tony Award for best musical. Performances of Spamalot commenced in the first quarter of 2007. We believe that the unique experience of Wynn Las Vegas drives the significant visitation experienced since opening. During the year ended December 31, 2007, our average hotel occupancy was 96.0% and our average daily room rate was $300, which compares favorably to the overall 90.4% average occupancy and $132 average daily room rate of Las Vegas.</w:t>
      </w:r>
    </w:p>
    <w:p>
      <w:pPr>
        <w:spacing w:after="0" w:line="12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approximately 18 acres across Sands Avenue, a portion of which is improved with an employee parking garage, and approximately 5 acres adjacent to our golf course on which an office building is located.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Since opening on April 28, 2005, we have remodeled our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Tryst</w:t>
      </w:r>
      <w:r>
        <w:rPr>
          <w:rFonts w:ascii="Arial" w:cs="Arial" w:eastAsia="Arial" w:hAnsi="Arial"/>
          <w:sz w:val="16"/>
          <w:szCs w:val="16"/>
          <w:color w:val="auto"/>
        </w:rPr>
        <w:t xml:space="preserve"> and </w:t>
      </w:r>
      <w:r>
        <w:rPr>
          <w:rFonts w:ascii="Arial" w:cs="Arial" w:eastAsia="Arial" w:hAnsi="Arial"/>
          <w:sz w:val="16"/>
          <w:szCs w:val="16"/>
          <w:i w:val="1"/>
          <w:iCs w:val="1"/>
          <w:color w:val="auto"/>
        </w:rPr>
        <w:t>Blush,</w:t>
      </w:r>
      <w:r>
        <w:rPr>
          <w:rFonts w:ascii="Arial" w:cs="Arial" w:eastAsia="Arial" w:hAnsi="Arial"/>
          <w:sz w:val="16"/>
          <w:szCs w:val="16"/>
          <w:color w:val="auto"/>
        </w:rPr>
        <w:t xml:space="preserve"> our nightclubs</w:t>
      </w:r>
      <w:r>
        <w:rPr>
          <w:rFonts w:ascii="Arial" w:cs="Arial" w:eastAsia="Arial" w:hAnsi="Arial"/>
          <w:sz w:val="16"/>
          <w:szCs w:val="16"/>
          <w:i w:val="1"/>
          <w:iCs w:val="1"/>
          <w:color w:val="auto"/>
        </w:rPr>
        <w:t>,</w:t>
      </w:r>
      <w:r>
        <w:rPr>
          <w:rFonts w:ascii="Arial" w:cs="Arial" w:eastAsia="Arial" w:hAnsi="Arial"/>
          <w:sz w:val="16"/>
          <w:szCs w:val="16"/>
          <w:color w:val="auto"/>
        </w:rPr>
        <w:t xml:space="preserve"> several areas of the retail promenade, a portion of the baccarat area to feature a casino bar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improved public baccarat space along with private baccarat salons and converted the Keno lounge to a retail outlet for womens’ accessories. In March 2007, we remodeled the Le Rêve Theater, decreasing the seat count from 2,087 to 1,606 to further enhance the guest experience. We have incurred and will continue to incur capital expenditures related to these types of enhancements and refinements.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Strip, immediately adjacent to Wynn Las Vegas. Plans for Encore include a 2,034 all-suite hotel tower fully integrated with Wynn Las Vegas, as well as an approximately 72,000 square foot casino, additional convention and meeting space, restaurants, a nightclub, swimming pools, a spa and salon and retail outlets. We commenced construction of Encore in the second quarter of 2006 and expect to open Encore in December 2008.</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Encore’s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budget is being funded from our existing credit facilities, operating cash flow from Wynn Las Vegas and the debt raised in the offering of the old notes. To the extent additional funds are required, we will provide these amounts with additional debt and equity contributions by Wynn Resorts or additional indebtedness to be incurred by Wynn Las Vegas. As of December 31, 2007, we had incurred approximately $998.7 million of project costs related to the development and construction of Encore and related capital improvements.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February 27, 2007, we entered into the Contract with Tutor for the design and construction of Encore. The Contract sets forth all of the terms and conditions pursuant to which Tutor will design and construct Encore. In June 2007, we executed the First Amendment to the Contract which set the GMP for work covered by the Contract at $1.3 billion. In connection with the execution and delivery of the Contract, Tutor and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Capitalize on the “Wynn” Brand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Steve Wynn is the preeminent designer, developer and operator of destination casino resorts and, as such,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brand name status. We believe Mr. Wynn’s involvement with Wynn Las Vegas provides a distinct advantage over other gaming enterprises. We integrate luxurious surroundings, distinctive entertainment and superior amenities, including fine dining and premium retail offerings, to appeal to a variety of customers, especially high-end customers. We believe that Wynn Las Vegas sets a new standard of luxury and elegance for destination casino resorts. We also believe that Mr. Wynn’s reputation and the new standard of luxury and elegance brought to the industry by Wynn Las Vegas and our affiliate, Wynn Macau, translate to a high level of anticipation for Encore. We intend to extend our “Wynn” brand to other opportunities as they arise.</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Attract and deliver high-quality service and amenities to high-end gaming customers. </w:t>
      </w:r>
      <w:r>
        <w:rPr>
          <w:rFonts w:ascii="Arial" w:cs="Arial" w:eastAsia="Arial" w:hAnsi="Arial"/>
          <w:sz w:val="16"/>
          <w:szCs w:val="16"/>
          <w:color w:val="auto"/>
        </w:rPr>
        <w:t>Wynn Las Vegas was designed and built to attract premium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Wynn Las Vegas offers luxurious rooms and suites, high-limit tables, VIP gaming salons, exquisite fine dining, premium retail shopping, distinctive entertainment and an 18-hole golf course. The Tower Suites at Wynn Las Vegas is the only casino resort in the world that has been awarded both the AAA Five Diamond and Mobil Five Star distinctions and four of Wynn Las Vegas’ restaurants have been recognized by AAA (including our AAA Five Diamond restaurant, Alex).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Overall our resort and country club received five red pavilions, the highest Michelin accommodations rating. Our hotel and gaming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offerings are designed to meet the expectations of high-budget, premium customers, including our Asian customers. We expect our Asian customer segment to become even more significant with Wynn Macau now open, and intend to capitalize on cross-marketing opportunities between Wynn Las Vegas and Wynn Macau.</w:t>
      </w:r>
    </w:p>
    <w:p>
      <w:pPr>
        <w:spacing w:after="0" w:line="134"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Marketing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positioned Wynn Las Vegas as a full-service luxury resort and casino in the leisure, convention and tour and travel markets.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Wynn Las Vegas directly to gaming customers using database marketing techniques, as well as traditional incentives, including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1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premium customers. Mr. Wynn’s reputation has attracted experienced, high-level international and domestic casino marketing executives to work for us. We have marketing executives located in local offices in Tokyo, Hong Kong, Macau, Singapore, Taiwan, Vancouver and southern California, as well as independent marketing representatives in major U.S. and foreign cities.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also create general market awareness for Wynn Las Vegas through various media channels, including television, radio, newspapers, magazines, the internet, direct mail and billboards.</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Las Vegas Real Estate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Las Vegas is located on approximately 55 acres on the famed Las Vegas Strip. Our property is located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3.2 million square feet of convention space operated by the Las Vegas Convention and Visitors Authority and the Palazzo and Venetian Casino Resort and its approximately 1.8 million square foot Sands Expo Center; diagonally across from the Mirage and the Treasure Island Hotel and Casino; directly across from the Fashion Show Mall and Trump Towers; and across from Echelon and The Plaza, which are currently under development. Encore is being developed on 20 acres of land adjacent to Wynn Las Vegas. We also have an approximately 142-acre parcel of land behind Wynn Las Vegas, which is currently used as a golf course. In addition, we have approximately 5 acres adjacent to the golf course on which an office building is located and approximately 18 acres of land across Sands Avenue, a portion of which is improved with an employee parking garage.</w:t>
      </w:r>
    </w:p>
    <w:p>
      <w:pPr>
        <w:spacing w:after="0" w:line="11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are developing a long-range master plan for the 142-acre golf course. It is not expected that any construction on the golf course land would begin before 2009.</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and his team bring significant experience in designing, developing and operating casino resorts. Mr. Wynn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members of the current Wynn Resorts’ senior management team were responsible for the design, development and operation of The Mirage, Treasure Island at The Mirage, and Bellagio. The senior executive team of Wynn Resorts has an average of approximately 25 years of experience in the hotel and gaming industries. We also have an approximately 120-person design, development and construction subsidiary, the senior management of which has significant experience in all major construction disciplines.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Las Vegas is the largest gaming market in the United States and is also one of the fastest growing leisure, lodging and entertainment markets in the United States. During the year ended December 31, 2007, the Las Vegas gaming and hotel markets continued their upward trends with, among other things, a 0.7% increase in visitation to 39.2 million visitors, a 2.3% increase in Las Vegas Strip gaming revenue and a 10.3% increase in average daily room rates, all as compared to the year ended December 31,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Many properties on the Las Vegas Strip have opened over the past ten years, including the Bellagio, Mandalay Bay Resort &amp; Casino, Paris Las Vegas, Planet Hollywood Resort &amp; Casino (formerly known as the Aladdin), The Venetian and The Palazzo. In addition, a number of existing properties on the Las Vegas Strip embarked on expansions during this period, including Bellagio, Luxor Hotel and Casino, Mandalay Bay Resort &amp; Casino and Caesars Palace. As a result, the casino/hotel industry in Las Vegas is highly competitive. Wynn Las Vegas is located on the Las Vegas Strip and competes with these and other high-quality resorts and hotel casinos, those in downtown Las Vegas, as well as a large number of hotels in and near Las Vegas.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Many competing properties, such as the Bellagio, Caesars Palace, Luxor Hotel and Casino, Mandalay Bay Resort &amp; Casino, The Mirage, New York-New York Hotel and Casino, Paris Las Vegas, Treasure Island at The Mirage, The Venetian, The Palazzo and others, have themes and attractions which draw a significant number of visitors and directly compete with our operations. We seek to differentiate Wynn Las Vegas from other major Las Vegas resorts by concentrating on our fundamental elements of design, atmosphere, personal service and luxury.</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Atlantic City, riverboat gaming facilities in other states, casino facilities on Native American lands and elsewhere in the world, state lotteries, and other forms of gaming. The continued proliferation of Native American gaming in California could have a negative impact on our operations. In particular, the legalization of casino gaming in or near metropolitan areas from which we attract customers, could have a negative effect on our business. In addition, new or renovated casinos in Macau or elsewhere in Asia could draw Asian gaming customers, including high-rollers, away from Las Vegas.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addition to the existing casinos with which Wynn Las Vegas currently competes, several new multi-billion dollar resorts are expected to open on or near the Las Vegas Strip before 2011. The major projects, which have either been announced or are currently under construction include but are not limited to:</w:t>
      </w:r>
    </w:p>
    <w:p>
      <w:pPr>
        <w:spacing w:after="0" w:line="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Echelon Place</w:t>
      </w:r>
      <w:r>
        <w:rPr>
          <w:rFonts w:ascii="Arial" w:cs="Arial" w:eastAsia="Arial" w:hAnsi="Arial"/>
          <w:sz w:val="18"/>
          <w:szCs w:val="18"/>
          <w:color w:val="auto"/>
        </w:rPr>
        <w:t>—A development by Boyd Gaming located north of Wynn Las Vegas on the Strip.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City Center</w:t>
      </w:r>
      <w:r>
        <w:rPr>
          <w:rFonts w:ascii="Arial" w:cs="Arial" w:eastAsia="Arial" w:hAnsi="Arial"/>
          <w:sz w:val="18"/>
          <w:szCs w:val="18"/>
          <w:color w:val="auto"/>
        </w:rPr>
        <w:t>—A development by the MGM Mirage Dubai World 50/50 joint venture located south of Wynn Las Vegas on the Strip.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Fontainebleau Las Vegas—</w:t>
      </w:r>
      <w:r>
        <w:rPr>
          <w:rFonts w:ascii="Arial" w:cs="Arial" w:eastAsia="Arial" w:hAnsi="Arial"/>
          <w:sz w:val="18"/>
          <w:szCs w:val="18"/>
          <w:color w:val="auto"/>
        </w:rPr>
        <w:t>A development by Fontainebleau Resorts located north of Wynn Las Vegas on the Strip.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The Plaza, Las Vegas</w:t>
      </w:r>
      <w:r>
        <w:rPr>
          <w:rFonts w:ascii="Arial" w:cs="Arial" w:eastAsia="Arial" w:hAnsi="Arial"/>
          <w:sz w:val="18"/>
          <w:szCs w:val="18"/>
          <w:color w:val="auto"/>
        </w:rPr>
        <w:t>—A development by the Elad Group located across the street from Wynn Las Vegas on the Strip.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Wynn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 We cannot assure you that Wynn Las Vegas, LLC will be able to maintain all approvals and licenses from the Nevada Gaming Authorities.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Company Registration Requirements. </w:t>
      </w:r>
      <w:r>
        <w:rPr>
          <w:rFonts w:ascii="Arial" w:cs="Arial" w:eastAsia="Arial" w:hAnsi="Arial"/>
          <w:sz w:val="18"/>
          <w:szCs w:val="18"/>
          <w:color w:val="auto"/>
        </w:rPr>
        <w:t>Wynn Resorts was found suitable by the Nevada Gaming Commission to own the equity interests of Wynn Holdings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the notes, also qualified as a registered company. Wynn Capital, a co-issuer of the notes, was not required to be registered or licensed, but may be required to be found suitable as a lender or financing source.</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Securities Holders. </w:t>
      </w:r>
      <w:r>
        <w:rPr>
          <w:rFonts w:ascii="Arial" w:cs="Arial" w:eastAsia="Arial" w:hAnsi="Arial"/>
          <w:sz w:val="16"/>
          <w:szCs w:val="16"/>
          <w:color w:val="auto"/>
        </w:rPr>
        <w:t>Regardless of the number of shares held, any beneficial owner of a registered company’s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file an application, be investigated and have that person’s suitability as a beneficial owner of voting securities determined if the Nevada Gaming Commission has reason to believe that the ownership would otherwise be inconsistent with the declared policies of the State of Nevada. If the beneficial owner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5.0% of the voting securities of a registered company to report the acquisition to the Nevada Gaming Commission. The Nevada Gaming Control Act requires beneficial owners of more than 10.0%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10.0%, but not more than 15.0%,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19.0% of a registered company’s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3"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22, 2007, the Nevada Gaming Commission granted us prior approval to make public offerings for a period of two years, subject to certain conditions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prior approval of the Nevada Gaming Commission with respect to a 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3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446"/>
        <w:spacing w:after="0" w:line="370"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to approving Wynn Las Vegas,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Wynn Las Vegas had a total of approximately 9,300 employees.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4,500 of our employees. In May 2007, the dealers at Wynn Las Vegas elected the Transportation Workers Union to represent them. We are currently negotiating a contract. Certain other unions may seek to organize the workers at Wynn Las Vegas. Unionization, pressure to unionize or other forms of collective bargaining could increase our labor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most important marks are our trademarks and service marks that use the name “WYNN.” Wynn Holdings has filed applications with the U.S. Patent and Trademark Office (“PTO”) and various foreign patent and trademark registries, to register a variety of the WYNN-related trademarks and service marks in connection with a variety of goods and services. These marks include “WYNN LAS VEGAS,” “ENCORE” and “WYNN DIAMOND.” Some of the applications are based upon ongoing use and others are based upon a bona fide intent to use the marks in the future.</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 common element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“ENCORE” and “WYNN DIAMOND.” Some of the applications are based upon ongoing use and others are based upon a bona fide intent to use the marks in the future.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own approximately 240 acres of land on or near the Las Vegas Strip. This consists of approximately 55 acres at the northeast corner of the intersection of Las Vegas Boulevard and Sands Avenue, an additional parcel of approximately 20 acres fronting Las Vegas Boulevard next to the Wynn Las Vegas site on which we are constructing Encore,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own approximately 934 acre-feet of permitted domestic and recreation water rights, which we currently use to irrigate the golf course. We also own approximately 52 acre-feet of permitted (and some certificated) quasi-municipal water rights, which are used to supply the water for the Wynn Las Vegas lake/mountain feature. There are significant cost savings and conservation benefits associated with using water supplied pursuant to our water rights. We anticipate using our water rights to support future development of the golf course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March 31, 2008.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92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7"/>
                <w:szCs w:val="17"/>
                <w:color w:val="auto"/>
              </w:rPr>
            </w:pPr>
          </w:p>
        </w:tc>
        <w:tc>
          <w:tcPr>
            <w:tcW w:w="542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(until March 31, 2008)</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Wynn Macau</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4"/>
              </w:rPr>
              <w:t>Vice President and Chief Financial Officer, Wynn Resorts (Macau), S.A.</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89"/>
              </w:rPr>
              <w:t>Executive Vice President and Chief Financial Officer, Wynn Las Vegas, LLC</w:t>
            </w:r>
          </w:p>
        </w:tc>
      </w:tr>
    </w:tbl>
    <w:p>
      <w:pPr>
        <w:spacing w:after="0" w:line="15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2009 Annual Meeting of Wynn Resorts Stockholders)</w:t>
      </w:r>
    </w:p>
    <w:p>
      <w:pPr>
        <w:spacing w:after="0" w:line="8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was elected to the Board in October 2007. Ms. Chen serves as the President of Wynn International Marketing Ltd., a wholly owned</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 subsidiary of Wynn Resorts, a position she has held since January 2005. Ms. Chen is responsible for managing Wynn Resorts’ global marketing efforts. In addition, Ms. Chen is Chief Operating Officer of Wynn Resorts (Macau), S.A., a position she has held since June 2002. From May 1997 through May 2002, Ms. Chen was Executive Vice President—International Marketing at MGM MIRAGE, a gaming company.</w:t>
      </w:r>
    </w:p>
    <w:p>
      <w:pPr>
        <w:spacing w:after="0" w:line="103"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since October 2002. Mr. Moran is the retired Chairman of The Dyson-Kissner-Moran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investment entity.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Mrs. Wynn has served as a director for Wynn Resorts since October 2002, and is an active collaborator in the operation of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In addition to her corporate responsibilities, Mrs. Wynn has also served as Co-Chairperson of the Greater Las Vegas After-School All-Stars since 1996 and is the Founding Chairperson of Communities-in-Schools in Nevada. In addition, in October, 2007, she was named National Chairperson for Communities-in-Schools. She is currently on the State Council to Establish Academic Standards in Nevada. Mrs. Wynn served as a director for Mirage Resorts, Incorporated from 1976 until 2000. Mrs. Wynn is married to Stephen A. Wynn.</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2010 Annual Meeting of Wynn Resorts Stockholders)</w:t>
      </w:r>
    </w:p>
    <w:p>
      <w:pPr>
        <w:spacing w:after="0" w:line="84"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and Chief Executive Officer of Wynn Resorts since June 2002. From April 2000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Wynn was the managing member of Valvino Lamore LLC (“Valvino”), Wynn Resorts’ predecessor and its wholly owned subsidiary.</w:t>
      </w:r>
    </w:p>
    <w:p>
      <w:pPr>
        <w:spacing w:after="0" w:line="1" w:lineRule="exact"/>
        <w:rPr>
          <w:sz w:val="20"/>
          <w:szCs w:val="20"/>
          <w:color w:val="auto"/>
        </w:rPr>
      </w:pPr>
    </w:p>
    <w:p>
      <w:pPr>
        <w:jc w:val="both"/>
        <w:ind w:right="140"/>
        <w:spacing w:after="0" w:line="361" w:lineRule="auto"/>
        <w:rPr>
          <w:sz w:val="20"/>
          <w:szCs w:val="20"/>
          <w:color w:val="auto"/>
        </w:rPr>
      </w:pPr>
      <w:r>
        <w:rPr>
          <w:rFonts w:ascii="Arial" w:cs="Arial" w:eastAsia="Arial" w:hAnsi="Arial"/>
          <w:sz w:val="15"/>
          <w:szCs w:val="15"/>
          <w:color w:val="auto"/>
        </w:rPr>
        <w:t>Mr. Wynn also serves as an officer and/or director of several of Wynn Resorts’ subsidiaries. From 1973 until 2000, Mr. Wynn served as Chairman of the Board, President and Chief Executive Officer of Mirage Resorts, Incorporated, and its predecessor. Mr. Wynn is married to Elaine P. Wynn, a director of Wynn Resorts.</w:t>
      </w:r>
    </w:p>
    <w:p>
      <w:pPr>
        <w:spacing w:after="0" w:line="6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Ray R. Irani. </w:t>
      </w:r>
      <w:r>
        <w:rPr>
          <w:rFonts w:ascii="Arial" w:cs="Arial" w:eastAsia="Arial" w:hAnsi="Arial"/>
          <w:sz w:val="16"/>
          <w:szCs w:val="16"/>
          <w:color w:val="auto"/>
        </w:rPr>
        <w:t>Dr. Irani has served as a director since October 2007. Dr. Irani is Chairman and Chief Executive Officer of Occidental Petroleum</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He joined Occidental in 1983 as Chairman and Chief Executive Officer of Occidental Chemical Corporation, an Occidental subsidiary, and as Executive Vice President of Occidental. In 1984, he was elected to the Board of Directors of Occidental and was named President and Chief Operating Officer. He assumed the responsibilities of Chairman and Chief Executive Officer in 1990, and the additional position of President in 2005. Dr. Irani was Chairman of the Board of Directors of Canadian Occidental Petroleum Ltd., an Occidental affiliate, from 1987 to 1999. Dr. Irani is a director of the American Petroleum Institute and the TCW Group, Inc. Dr. Irani was first identified to the Nominating and Corporate Governance Committee of Wynn Resorts as a potential director by the chief executive officer of Wynn Resorts.</w:t>
      </w:r>
    </w:p>
    <w:p>
      <w:pPr>
        <w:spacing w:after="0" w:line="113"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has served as a director since December 2002. Mr. Shoemaker is currently retired and was the Chairman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First Boston Inc. and First Boston Corp. from April 1983 until his retirement in January 1989, at the time of its sale to Credit Suisse Bank. Mr. Shoemaker is a member of the board of directors of Frontier Bank and Huntsman Chemical Co.</w:t>
      </w:r>
    </w:p>
    <w:p>
      <w:pPr>
        <w:spacing w:after="0" w:line="132"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has served as a director since August 2003. Mr. Wayson has been a principal of Wayson’s Properties, Incorporated, a real</w:t>
      </w:r>
      <w:r>
        <w:rPr>
          <w:rFonts w:ascii="Arial" w:cs="Arial" w:eastAsia="Arial" w:hAnsi="Arial"/>
          <w:sz w:val="16"/>
          <w:szCs w:val="16"/>
          <w:b w:val="1"/>
          <w:bCs w:val="1"/>
          <w:color w:val="auto"/>
        </w:rPr>
        <w:t xml:space="preserve"> </w:t>
      </w:r>
      <w:r>
        <w:rPr>
          <w:rFonts w:ascii="Arial" w:cs="Arial" w:eastAsia="Arial" w:hAnsi="Arial"/>
          <w:sz w:val="16"/>
          <w:szCs w:val="16"/>
          <w:color w:val="auto"/>
        </w:rPr>
        <w:t>estate development and holding company, since 1970. He also serves as an officer and/or director of other real estate and business ventures. From 2000 through May 2003, Mr. Wayson served as a member of the board of directors of MGM MIRAGE, a gaming company.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2008 Annual Meeting of Wynn Resorts Stockholders)</w:t>
      </w:r>
    </w:p>
    <w:p>
      <w:pPr>
        <w:spacing w:after="0" w:line="8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Kazuo Okada. </w:t>
      </w:r>
      <w:r>
        <w:rPr>
          <w:rFonts w:ascii="Arial" w:cs="Arial" w:eastAsia="Arial" w:hAnsi="Arial"/>
          <w:sz w:val="18"/>
          <w:szCs w:val="18"/>
          <w:color w:val="auto"/>
        </w:rPr>
        <w:t>Mr. Okada has served as Vice Chairman of the Board since October 2002. In 1969, Mr. Okada founded Universal Co. Ltd., which became</w:t>
      </w:r>
      <w:r>
        <w:rPr>
          <w:rFonts w:ascii="Arial" w:cs="Arial" w:eastAsia="Arial" w:hAnsi="Arial"/>
          <w:sz w:val="18"/>
          <w:szCs w:val="18"/>
          <w:b w:val="1"/>
          <w:bCs w:val="1"/>
          <w:color w:val="auto"/>
        </w:rPr>
        <w:t xml:space="preserve"> </w:t>
      </w:r>
      <w:r>
        <w:rPr>
          <w:rFonts w:ascii="Arial" w:cs="Arial" w:eastAsia="Arial" w:hAnsi="Arial"/>
          <w:sz w:val="18"/>
          <w:szCs w:val="18"/>
          <w:color w:val="auto"/>
        </w:rPr>
        <w:t>Aruze Corp. in 1998. Aruze Corp is a Japanese manufacturer of gaming machines, as well as pachislot and pachinko machines, amusement machines, and video games. Aruze Corp. has been issued a manufacturer license by the Nevada Gaming Commission. The Nevada Gaming Commission has also approved Aruze Corp’s suitability as the 100% stockholder for its two subsidiaries, Aruze Gaming America, Inc., and Aruze USA, Inc. Aruze Gaming America holds manufacture, distributor, and operator licenses from the Nevada Gaming Commission, while Aruze USA has been found suitable by the Nevada Gaming Commission as a major stockholder of Wynn Resorts. Since 1998, Mr. Okada has served as Director and Chairman of the Board of Aruze Corp., since 1999, he has also served as Chairman of the Board and Treasurer of Aruze USA, and, since July 2007, has served as Director and Chairman of the Board of Aruze Gaming America,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since October 2002. Since July 2005, he has been principal of Dutko Worldwide, a multidisciplinary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affairs, strategy and management firm. From January 1999 until he joined Dutko Worldwide, Mr. Miller was a partner of the Nevada law firm of Jones Vargas. He was also a partner in Miller &amp; Behar Strategies, a partnership designed to assist American businesses in Bulgaria, from January 2003 to August 2007, and has been a partner in Nevada Rose LLC, parent to a group of companies engaged in the business of importing and selling rose nectar and related products,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w:t>
      </w:r>
    </w:p>
    <w:p>
      <w:pPr>
        <w:spacing w:after="0" w:line="11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has been chairman of Lan Kwai Fong Holdings Limited,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engaged in property investment and development since July 1996. Mr. Zeman is also chairman of Ocean Park, a major theme park in Hong Kong. In 2001, he was appointed a Justice of the Peace in Hong Kong and, in 2004, he was awarded the Gold Bauhinia Star by the Chief Executive of Hong Kong.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Ian Michael Coughlan is the President of Wynn Macau. Mr. Coughlan joined Wynn Macau in January 2007 from the Peninsula</w:t>
      </w:r>
      <w:r>
        <w:rPr>
          <w:rFonts w:ascii="Arial" w:cs="Arial" w:eastAsia="Arial" w:hAnsi="Arial"/>
          <w:sz w:val="18"/>
          <w:szCs w:val="18"/>
          <w:b w:val="1"/>
          <w:bCs w:val="1"/>
          <w:color w:val="auto"/>
        </w:rPr>
        <w:t xml:space="preserve"> </w:t>
      </w:r>
      <w:r>
        <w:rPr>
          <w:rFonts w:ascii="Arial" w:cs="Arial" w:eastAsia="Arial" w:hAnsi="Arial"/>
          <w:sz w:val="18"/>
          <w:szCs w:val="18"/>
          <w:color w:val="auto"/>
        </w:rPr>
        <w:t>Group where he served as General Manager of the Peninsula Hong Kong. Mr. Coughlan first joined the Peninsula Group in 1997 as Resident Manager, eventually serving as Hotel Manager, directing hotel and commercial leasing operations as well as his hotel responsibilities. Mr. Coughlan remained with Peninsula Group until he joined Wynn Macau.</w:t>
      </w:r>
    </w:p>
    <w:p>
      <w:pPr>
        <w:spacing w:after="0" w:line="13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Wynn Resorts’ Treasurer, a position he has held since March 2006, and Chief Financial Officer, a position he has</w:t>
      </w:r>
      <w:r>
        <w:rPr>
          <w:rFonts w:ascii="Arial" w:cs="Arial" w:eastAsia="Arial" w:hAnsi="Arial"/>
          <w:sz w:val="16"/>
          <w:szCs w:val="16"/>
          <w:b w:val="1"/>
          <w:bCs w:val="1"/>
          <w:color w:val="auto"/>
        </w:rPr>
        <w:t xml:space="preserve"> </w:t>
      </w:r>
      <w:r>
        <w:rPr>
          <w:rFonts w:ascii="Arial" w:cs="Arial" w:eastAsia="Arial" w:hAnsi="Arial"/>
          <w:sz w:val="16"/>
          <w:szCs w:val="16"/>
          <w:color w:val="auto"/>
        </w:rPr>
        <w:t>held since March 2008. From June 2005 to December 31, 2006, Mr. Maddox served as the Senior Vice President of Business Development for Wynn Las Vegas, LLC. From March 2003 to June 2005, Mr. Maddox was the Chief Financial Officer of Wynn Resorts (Macau), S.A. From May 2002 through March 2003,</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Maddox was Wynn Resorts’ Treasurer and Vice President—Investor Relations. From February 2000 to May 2002, Mr. Maddox was Vice President—Finance with Caesars Entertainment, Inc., a gaming company.</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Andrew Pascal. </w:t>
      </w:r>
      <w:r>
        <w:rPr>
          <w:rFonts w:ascii="Arial" w:cs="Arial" w:eastAsia="Arial" w:hAnsi="Arial"/>
          <w:sz w:val="16"/>
          <w:szCs w:val="16"/>
          <w:color w:val="auto"/>
        </w:rPr>
        <w:t>Mr. Pascal is the President of Wynn Las Vegas, LLC. From July 2005 through October 2005, Mr. Pascal was the Executive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Operating Officer of Wynn Las Vegas, LLC. Mr. Pascal served as the Senior Vice President—Product Marketing and Development for Wynn Resorts from August 2003 to July 2005. Mr. Pascal was Chief Executive Officer of WagerWorks, Inc. a developer and supplier of remote gaming applications from March 2001 to September 2003. From October 1998 to March 2001, Mr. Pascal was Chief Executive Officer of Silicon Gaming, a designer and developer of interactive slot machines. Mr. Pascal is the nephew of Mr. and Mrs. Wynn.</w:t>
      </w:r>
    </w:p>
    <w:p>
      <w:pPr>
        <w:spacing w:after="0" w:line="108"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Vice President and Chief Financial Officer of Wynn Resorts (Macau), S.A., a position he has held since June 2005.</w:t>
      </w:r>
      <w:r>
        <w:rPr>
          <w:rFonts w:ascii="Arial" w:cs="Arial" w:eastAsia="Arial" w:hAnsi="Arial"/>
          <w:sz w:val="16"/>
          <w:szCs w:val="16"/>
          <w:b w:val="1"/>
          <w:bCs w:val="1"/>
          <w:color w:val="auto"/>
        </w:rPr>
        <w:t xml:space="preserve"> </w:t>
      </w:r>
      <w:r>
        <w:rPr>
          <w:rFonts w:ascii="Arial" w:cs="Arial" w:eastAsia="Arial" w:hAnsi="Arial"/>
          <w:sz w:val="16"/>
          <w:szCs w:val="16"/>
          <w:color w:val="auto"/>
        </w:rPr>
        <w:t>From September 2002 to June 2005, Mr. Peterson was the Vice President—Finance of Wynn Las Vegas, LLC. From April 2001 to September 2002, Mr. Peterson was Assistant Vice President—Finance of Wynn Holdings, a wholly owned indirect subsidiary of Wynn Resorts.</w:t>
      </w:r>
    </w:p>
    <w:p>
      <w:pPr>
        <w:spacing w:after="0" w:line="9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serves as Chief Operating Officer of Wynn Resorts, a position he has held since June 2002. Mr. Schorr also serves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several of Wynn Resorts’ other subsidiaries. From June 2000 through April 2001, Mr. Schorr served as Chief Operating Officer of Valvino, Wynn Resorts’ predecessor, and from June 2002, through October 2005 he served as the Chief Executive Officer and President of Wynn Las Vegas, LLC, a subsidiary of Wynn Resorts. From January 1997 through May 2000, Mr. Schorr served as President of The Mirage Casino-Hotel, a gaming company and then a wholly owned subsidiary of Mirage Resorts, Incorporated.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20" w:lineRule="auto"/>
        <w:rPr>
          <w:sz w:val="20"/>
          <w:szCs w:val="20"/>
          <w:color w:val="auto"/>
        </w:rPr>
      </w:pPr>
      <w:r>
        <w:rPr>
          <w:rFonts w:ascii="Arial" w:cs="Arial" w:eastAsia="Arial" w:hAnsi="Arial"/>
          <w:sz w:val="15"/>
          <w:szCs w:val="15"/>
          <w:b w:val="1"/>
          <w:bCs w:val="1"/>
          <w:color w:val="auto"/>
        </w:rPr>
        <w:t xml:space="preserve">Kim Sinatra. </w:t>
      </w:r>
      <w:r>
        <w:rPr>
          <w:rFonts w:ascii="Arial" w:cs="Arial" w:eastAsia="Arial" w:hAnsi="Arial"/>
          <w:sz w:val="15"/>
          <w:szCs w:val="15"/>
          <w:color w:val="auto"/>
        </w:rPr>
        <w:t>Ms. Sinatra is the Senior Vice President—General Counsel and Secretary of Wynn Resorts, a position she has held since March 2006.</w:t>
      </w:r>
      <w:r>
        <w:rPr>
          <w:rFonts w:ascii="Arial" w:cs="Arial" w:eastAsia="Arial" w:hAnsi="Arial"/>
          <w:sz w:val="15"/>
          <w:szCs w:val="15"/>
          <w:b w:val="1"/>
          <w:bCs w:val="1"/>
          <w:color w:val="auto"/>
        </w:rPr>
        <w:t xml:space="preserve"> </w:t>
      </w:r>
      <w:r>
        <w:rPr>
          <w:rFonts w:ascii="Arial" w:cs="Arial" w:eastAsia="Arial" w:hAnsi="Arial"/>
          <w:sz w:val="15"/>
          <w:szCs w:val="15"/>
          <w:color w:val="auto"/>
        </w:rPr>
        <w:t>Ms. Sinatra is also the Senior Vice President and General Counsel of Worldwide Wynn, LLC, Wynn Resorts’ wholly owned development subsidiary, a position she has held since January 2004. She also serves as an officer of several of Wynn Resorts’ subsidiaries. From January 2003 to January 2004, Ms. Sinatra acted as an independent consultant. From January 2002 to January 2003, Ms. Sinatra was Executive Vice President and Chief Legal Officer of Caesars Entertainment, Inc. and from January 2001 to January 2002, Ms. Sinatra was Senior Vice President, Deputy General Counsel of Caesars Entertainment, Inc., a gaming company.</w:t>
      </w:r>
    </w:p>
    <w:p>
      <w:pPr>
        <w:spacing w:after="0" w:line="9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Executive Vice President and Chief Financial Officer of Wynn Las Vegas, LLC, a wholly owned indirect subsidiary of Wynn</w:t>
      </w:r>
      <w:r>
        <w:rPr>
          <w:rFonts w:ascii="Arial" w:cs="Arial" w:eastAsia="Arial" w:hAnsi="Arial"/>
          <w:sz w:val="18"/>
          <w:szCs w:val="18"/>
          <w:b w:val="1"/>
          <w:bCs w:val="1"/>
          <w:color w:val="auto"/>
        </w:rPr>
        <w:t xml:space="preserve"> </w:t>
      </w:r>
      <w:r>
        <w:rPr>
          <w:rFonts w:ascii="Arial" w:cs="Arial" w:eastAsia="Arial" w:hAnsi="Arial"/>
          <w:sz w:val="18"/>
          <w:szCs w:val="18"/>
          <w:color w:val="auto"/>
        </w:rPr>
        <w:t>Resorts, a position he has held since October 2003. From October 1999 to October 2003, Mr. Sisk was Senior Vice President, Treasurer and Chief Financial Officer of Caesars Palace, a subsidiary of Caesars Entertainment, Inc., a gaming company.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President-Chief Administrative Officer of Wynn Resorts, a position he has held since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Wynn Resorts’ Executive Vice President-Chief Financial Officer from September 2002 to March 2008. Mr. Strzemp served as Wynn Resorts’ Treasurer from March 2003 to March 2006, and serves as an officer of several of Wynn Resorts’ subsidiaries. Mr. Strzemp was Executive Vice President and Chief Financial Officer of Bellagio, LLC, a gaming company and then a wholly owned subsidiary of Mirage Resorts, Incorporated, from April 1998 to October 2000.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 of Directors has a majority of directors who are independent under the listing standards of The NASDAQ Stock Market LLC (“NASDAQ”). In addition, Wynn Resorts’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Board of Directors has determined that the following directors are independent: Messrs. Irani, Miller, Moran, Shoemaker, Wayson and Zeman. During his service on the Board, Stanley R. Zax (who retired from the Board at the 2007 Annual Meeting of Wynn Resorts’ stockholders) was also an independent director.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None of the independent directors has any economic relationship with Wynn Resorts other than receipt of his director’s compensation. Additionally, all related party transactions are considered under Wynn Resorts’ policy (described in additional detail below). None of the independent directors is engaged in any related party transaction with Wynn Resorts. Mr. Wynn, Mr. Okada, Mrs. Wynn and Ms. Chen have been determined not to be independent.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Nominating and Corporate</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Arial" w:cs="Arial" w:eastAsia="Arial" w:hAnsi="Arial"/>
                <w:sz w:val="14"/>
                <w:szCs w:val="14"/>
                <w:b w:val="1"/>
                <w:bCs w:val="1"/>
                <w:color w:val="auto"/>
                <w:w w:val="94"/>
              </w:rPr>
              <w:t>Audit Committee</w:t>
            </w:r>
          </w:p>
        </w:tc>
        <w:tc>
          <w:tcPr>
            <w:tcW w:w="1880" w:type="dxa"/>
            <w:vAlign w:val="bottom"/>
          </w:tcPr>
          <w:p>
            <w:pPr>
              <w:spacing w:after="0"/>
              <w:rPr>
                <w:sz w:val="15"/>
                <w:szCs w:val="15"/>
                <w:color w:val="auto"/>
              </w:rPr>
            </w:pPr>
          </w:p>
        </w:tc>
        <w:tc>
          <w:tcPr>
            <w:tcW w:w="4700" w:type="dxa"/>
            <w:vAlign w:val="bottom"/>
            <w:gridSpan w:val="2"/>
          </w:tcPr>
          <w:p>
            <w:pPr>
              <w:ind w:left="1060"/>
              <w:spacing w:after="0"/>
              <w:rPr>
                <w:sz w:val="20"/>
                <w:szCs w:val="20"/>
                <w:color w:val="auto"/>
              </w:rPr>
            </w:pPr>
            <w:r>
              <w:rPr>
                <w:rFonts w:ascii="Arial" w:cs="Arial" w:eastAsia="Arial" w:hAnsi="Arial"/>
                <w:sz w:val="14"/>
                <w:szCs w:val="14"/>
                <w:b w:val="1"/>
                <w:bCs w:val="1"/>
                <w:color w:val="auto"/>
              </w:rPr>
              <w:t>Compensation Committee</w:t>
            </w:r>
          </w:p>
        </w:tc>
        <w:tc>
          <w:tcPr>
            <w:tcW w:w="1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Governance Committee</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Alvin V. Shoemaker, Chair</w:t>
            </w:r>
          </w:p>
        </w:tc>
        <w:tc>
          <w:tcPr>
            <w:tcW w:w="106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John A. Moran, Chair</w:t>
            </w:r>
          </w:p>
        </w:tc>
        <w:tc>
          <w:tcPr>
            <w:tcW w:w="1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Robert J. Miller, Chair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4700" w:type="dxa"/>
            <w:vAlign w:val="bottom"/>
            <w:gridSpan w:val="2"/>
          </w:tcPr>
          <w:p>
            <w:pPr>
              <w:ind w:left="1060"/>
              <w:spacing w:after="0"/>
              <w:rPr>
                <w:sz w:val="20"/>
                <w:szCs w:val="20"/>
                <w:color w:val="auto"/>
              </w:rPr>
            </w:pPr>
            <w:r>
              <w:rPr>
                <w:rFonts w:ascii="Arial" w:cs="Arial" w:eastAsia="Arial" w:hAnsi="Arial"/>
                <w:sz w:val="18"/>
                <w:szCs w:val="18"/>
                <w:color w:val="auto"/>
              </w:rPr>
              <w:t>Alvin V. Shoemaker</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Ray R. Irani</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4700" w:type="dxa"/>
            <w:vAlign w:val="bottom"/>
            <w:gridSpan w:val="2"/>
          </w:tcPr>
          <w:p>
            <w:pPr>
              <w:ind w:left="1060"/>
              <w:spacing w:after="0"/>
              <w:rPr>
                <w:sz w:val="20"/>
                <w:szCs w:val="20"/>
                <w:color w:val="auto"/>
              </w:rPr>
            </w:pPr>
            <w:r>
              <w:rPr>
                <w:rFonts w:ascii="Arial" w:cs="Arial" w:eastAsia="Arial" w:hAnsi="Arial"/>
                <w:sz w:val="18"/>
                <w:szCs w:val="18"/>
                <w:color w:val="auto"/>
              </w:rPr>
              <w:t>D. Boone Wayson</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 Boone Wayson</w:t>
            </w:r>
          </w:p>
        </w:tc>
        <w:tc>
          <w:tcPr>
            <w:tcW w:w="0" w:type="dxa"/>
            <w:vAlign w:val="bottom"/>
          </w:tcPr>
          <w:p>
            <w:pPr>
              <w:spacing w:after="0"/>
              <w:rPr>
                <w:sz w:val="1"/>
                <w:szCs w:val="1"/>
                <w:color w:val="auto"/>
              </w:rPr>
            </w:pPr>
          </w:p>
        </w:tc>
      </w:tr>
      <w:tr>
        <w:trPr>
          <w:trHeight w:val="222"/>
        </w:trPr>
        <w:tc>
          <w:tcPr>
            <w:tcW w:w="296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10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Allan Zeman</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members of the Compensation Committee are appointed by the Board of Directors each year. The members of the Compensation Committee serving in 2007, Messrs. Moran, Shoemaker and Wayson, were appointed on May 8, 2007. Messrs. Moran and Wayson, along with Robert J. Miller, were appointed in May 2006.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Arial" w:cs="Arial" w:eastAsia="Arial" w:hAnsi="Arial"/>
                <w:sz w:val="14"/>
                <w:szCs w:val="14"/>
                <w:b w:val="1"/>
                <w:bCs w:val="1"/>
                <w:color w:val="auto"/>
                <w:w w:val="81"/>
              </w:rPr>
              <w:t>Fees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Earned 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Paid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Cash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 (1)(4)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 (6)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Ray R. Irani(2)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524,000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Robert J. Miller(3)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161,667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357,638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Stanley R. Zax(5)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215,543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398,119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644,662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140" w:hanging="452"/>
        <w:spacing w:after="0" w:line="284"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the compensation cost as determined under Statement of Financial Accounting Standards No. 123R, “Share-Based Payment”, for the year ended December 31, 2007, before reflecting estimated forfeitures. See Wynn Resorts’ Annual Report on Form 10-K for the year ended December 31, 2007 Note 15 to its Consolidated Financial Statements for assumptions used in computing fair value.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 Irani was appointed to the Board, effective October 29, 2007.</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The Gaming Compliance Committee is a committee comprised of Mr. Miller, Mr. Schorr and Mr. Strzemp, and its purpose is to assist Wynn Resorts in maintaining the highest level of regulatory compliance.</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aggregate number of outstanding awards for each director, excluding Mr. Okada and Mrs. Wynn, at December 31, 2007 is as follows: (i) for directors other than Dr. Irani, restricted stock awards 5,000 each; Dr. Irani received a grant of 2,500 shares of restricted stock upon his election to the Board; (ii) for directors other than Dr. Irani, stock option awards 30,000 each of which 7,500 are unvested and 22,500 are vested as of December 31, 2007. Dr. Irani received a stock option grant of 10,000 shares that vested immediately upon his election to the Board. The restricted stock awards were granted on May 3, 2006 and May 7, 2007. The restricted stock awards will vest on May 3, 2011 and May 7, 2012. The total fair value on the grant date of such awards as determined under Statement of Financial Accounting Standard No. 123R, “Share-Based Payment” was $182,625 for the grant made in May 2006 and $254,625 for the grant made in May 2007.</w:t>
      </w:r>
    </w:p>
    <w:p>
      <w:pPr>
        <w:spacing w:after="0" w:line="4"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Zax’s term as a member of the Board of Directors expired at the 2007 Annual Meeting of Wynn Resorts Stockholders and Mr. Zax did not stand for reelection to the Board of Directors at such time.</w:t>
      </w: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Other Compensation consists of cash distributions accrued on unvested restricted stock, which is paid if and when the restricted stock vests.</w:t>
      </w:r>
    </w:p>
    <w:p>
      <w:pPr>
        <w:spacing w:after="0" w:line="1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Directors who are not employees of Wynn Resorts receive a monthly fee of $4,000 for services as a director. Directors who serve on the Audit Committee, the Compensation Committee or the Nominating/Governance Committee receive an additional monthly fee of $1,000 per committee ($2,000 for committee chairmen). Each non-employee director also receives a $1,500 meeting fee for each board or committee meeting he or she attends. All directors are provided complementary room, food and beverage privileges at Wynn Resorts’ properties in connection with their attendance at Board or Committee meetings or other Wynn Resorts’ events and are reimbursed for any other out of pocket expenses related to attendance at meetings.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Wynn Resorts’ issued and outstanding common stock, received an immediately exercisable option grant for 10,000 shares of Wynn Resorts’ common stock upon their initial appointment to the Board of Directors. In addition, on May 3, 2006 and May 7, 2007, each member of the Board of Directors then in office, other than Messrs. Wynn, Okada and Kramer, Ms. Chen and Mrs. Wynn, were granted 2,500 shares of restricted stock. This grant vests upon the fifth anniversary of the grant date unless the director leaves the Board of Directors prior to vesting, in which case the grant vests pro rata, 20% per year, based upon the number of years served since the grant. Wynn Resorts does not provide non-equity incentive plan awards or deferred compensation or retirement plans for non-employee directors.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29, 2007, Wynn Resorts appointed Dr. Ray Irani and Ms. Linda Chen as members of Wynn Resorts’ Board of Directors. In connection with his appointment to the Board, Dr. Irani received an immediately exercisable option grant for 10,000 shares of Wynn Resorts common stock and a grant of 2,500 shares of restricted stock, which grant vests on November 7, 2012, unless Dr. Irani leaves the Board of Directors prior to vesting, in which case the grant vests pro rata, 20% per year, based upon the number of years served since the date of grant. Dr. Irani is the sixth independent member of the Board of Directors. In addition, on November 8, 2007, Dr. Irani was appointed as a member of Wynn Resorts’ Nominating and Corporate Governance Committee.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the responsibility for setting and implementing compensation for named executive officers. The Committee strives to provide total compensation that is fair and competitive.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both performance and compensation to enable Wynn Resorts to attract and retain superior employees in key positions. To achieve these objectives, Wynn Resorts’ compensation includes both cash and equity based incentives.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sets all elements of compensation for the Chief Executive Officer based upon a review of comparative data and consideration of his contribution to the development and operating performance of Wynn Resorts. The Committee considers the recommendations of the Chief Executive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making compensation decisions, the Compensation Committee compares each element of compensation against a peer group of publicly traded companies. This list of peer companies includes those with which the Committee believes Wynn Resorts competes for talent and stockholder investment. In 2007, Wynn Resorts expanded its peer group from pure gaming companies (MGM Mirage, Las Vegas Sands, Harrah’s Entertainment and Stations Casinos) to include those in the hospitality (Hilton, Marriott and Starwood) and entertainment (Disney) businesses as well as growth companies (Starbucks, Yahoo, EBay). This expanded peer group allowed Wynn Resorts to more comprehensively include in evaluation of executive performance the non-gaming products which it offers. These non-gaming amenities of lodging, food and beverage, retail and entertainment generate over one half of the revenue and cash flow in Wynn Resorts’ US operations and have received unprecedented recognition. Wynn Las Vegas is the only casino resort hotel to have been awarded Mobil’s five stars, an honor which it has received for two consecutive years. Additionally, in 2007, Wynn Las Vegas received five red pavilions, the highest honor for Michelin rated accommodations. These third-party confirmations of brand performance, combined with financial performance that significantly exceeded pre-established targets for adjusted EBITDA, support the compensation levels paid by Wynn Resorts. In addition to peer group review, the Compensation Committee evaluates relative internal pay levels, relative levels of responsibility and correlates overall compensation levels to reward the drivers of financial and brand performance.</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Also in 2007, the Compensation Committee engaged Strategic Apex Group, an independent, nationally recognized executive compensation consulting firm, to assist it in evaluating Wynn Resorts’ executive compensation plans, and Wynn Resorts’ position relative to its peer group. In connection with its engagement, Strategic Apex provided the Compensation Committee with comparative data and, at the direction of the Compensation Committee, worked with senior management in evaluating previous compensation decisions by the Compensation Committee and in designing a long term equity incentive program that is currently being evaluated.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Wynn Resorts’ total compensation for named executive officers includes (a) base salary, (b) annual cash incentive compensation, and (c) long term equity incentives. Annually, the Compensation Committee reviews each element, along with value created from past incentives, to assess whether Wynn Resorts’ compensation program achieves its objectives of attracting and retaining superior management while rewarding achievement of property development and operating performance. Wynn Resorts’ policy for allocating between currently paid compensation and long term compensation does not include specific formula or weighting, but is designed to offer what the Compensation Committee views as adequate base compensation to attract and retain personnel while providing incentives to maximize long term value for Wynn Resorts and its stockholders.</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Base Salaries are established by employment contracts and reviewed and adjusted periodically if necessary due to competitive reasons or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reflect changes in responsibility or other extraordinary circumstances. As part of its strategy to attract and retain high quality executive employees, Wynn Resorts’ policy is to pay executives base salaries which it deems necessary to attract and retain desired management expertise. These goals require that Wynn Resorts pay base salary levels for its named executive officers that may exceed the peer group mean. Companies in the gaming and hospitality business typically pay at higher levels than their non-gaming counterparts due to certain regulatory and other extraordinary demands. Wynn Resorts’ rapid expansion in the last five years has required that named executive officers provide extraordinary levels of development, opening and operating expertise. These efforts have rewarded stockholders with industry leading product and financial results. Periodic merit increases are made after annual review. During its annual review of overall compensation, the Compensation Committee evaluates Wynn Resorts’ payment of its senior management against its competitors in each element of compensation and on an overall basis. In February, 2007, Mr. Wynn’s base salary was increased from $2,750,000 per annum to $3,250,000 per annum after review by the Committee. Mr. Wynn’s increase was made in recognition of his contributions to design and operation of Wynn Resorts’ assets as well as his overall leadership. Additionally, the Committee considered that Mr. Wynn, at his request, has not been awarded equity in Wynn Resorts for his employment services. Consequently, Mr. Wynn’s overall compensation is significantly less than that paid to Chairmen and Chief Executive Officers of Wynn Resorts’ competitors.</w:t>
      </w:r>
    </w:p>
    <w:p>
      <w:pPr>
        <w:spacing w:after="0" w:line="11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Annual Incentives. </w:t>
      </w:r>
      <w:r>
        <w:rPr>
          <w:rFonts w:ascii="Arial" w:cs="Arial" w:eastAsia="Arial" w:hAnsi="Arial"/>
          <w:sz w:val="15"/>
          <w:szCs w:val="15"/>
          <w:color w:val="auto"/>
        </w:rPr>
        <w:t>In 2004, the Compensation Committee and the Board of Directors recommended and the stockholders approved the Wynn Resorts,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Limited Annual Performance-Based Incentive Plan for Executive Officers (the “Incentive Plan”) discussed below under “Tax and Accounting Implications.”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Wynn Resorts’ named executive officers is eligible to participate in the Incentive Plan. Each year, within 90 days after the commencement of that year, the Compensation Committee identifies the executive officers who will participate in the Incentive Plan for that year, establishes the performance criteria for the Incentive Plan, as well as the maximum percentage of base salary that can be paid to each participant. For each of 2006, 2007 and 2008, the Committee selected property adjusted EBITDA (adjusted EBITDA for Wynn Las Vegas and Wynn Macau), which is a non-GAAP measure calculated at the segment level and reported in the footnotes to Wynn Resorts’ audited financial statements, as the appropriate criteria and, in the course of such determination, concluded that the achievement of the performance criterion was substantially uncertain. These criteria are a reflection of the operating performance of Wynn Resorts’ assets and directly influences return to stockholders. In addition, management and stockholders use adjusted EBITDA to value Wynn Resorts as a whole and its assets.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provided under the Incentive Plan as amended and approved by stockholders in 2007, named executive officer participants (other than Mr. Wynn) had a maximum payable under the Plan of 200% of Base Salary, and Mr. Wynn’s maximum is 250% of his Base Salary. The Compensation Committee elected to establish only one target, with the Committee having the discretion for downward adjustment of the maximum payable under the plan dependent on individual performance. In 2007, the Adjusted EBITDA target for Wynn Macau and Wynn Las Vegas operations combined was $522 million. Actual performance of $781 million significantly exceeded the target and all participants were awarded the maximum payable. Bonuses under the Incentive Plan are made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after determination of whether the criteria have been met. While the Compensation Committee has the discretion to reduce amounts paid below the amount determined under this formula based on company and individual performance and other considerations it may determine appropriate, it did not exercise that discretion with respect to 2007 due to strong performance by Wynn Resorts.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 Term Incentives. </w:t>
      </w:r>
      <w:r>
        <w:rPr>
          <w:rFonts w:ascii="Arial" w:cs="Arial" w:eastAsia="Arial" w:hAnsi="Arial"/>
          <w:sz w:val="16"/>
          <w:szCs w:val="16"/>
          <w:color w:val="auto"/>
        </w:rPr>
        <w:t>Wynn Resorts’ 2002 Stock Plan is designed to provide stock-based incentives to its officers and employees.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specifically approves all awards of stock options and restricted stock granted by Wynn Resorts. The Compensation Committee does not provide annual equity grants to executives but instead uses grants under the 2002 Stock Plan to attract qualified individuals to work for Wynn Resorts, and to make periodic grants to existing officers as determined appropriate in the Compensation Committee’s judgment, to retain superior officers and to reward extraordinary performance. The number of options or shares of restricted stock to be granted to each executive officer is based on the individual executive’s job accomplishments, tenure and future potential as well as the Compensation Committee’s assessment of competitive compensation levels. Grants to named executive officers are typically made periodically with long term vesting dates. The underlying philosophy is to retain senior management for the long term, building a talent base for Wynn Resorts’ future growth and achievement of desired goals.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Schorr and Mr. Strzemp received grants of restricted stock upon the initial public offering of Wynn Resorts’ common stock. Mr. Kramer received such a grant upon his commencement of employment with Wynn Resorts. Mr. Wynn, the founder, Chairman and Chief Executive Officer of Wynn Resorts, does not participate in Wynn Resorts’ equity incentive plans at his election. This election differs from most of the companies included in the peer group. The Compensation Committee is currently working with its consultant to consider a long term equity incentive plan program to provide a more systematic approach to equity grants and to bring Wynn Resorts’ executives to above the mean in its peer group.</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each of December 2006 and 2007, Wynn Resorts paid a $6 per share cash distribution to holders of Wynn Resorts’ common stock. Wynn Resorts accrued a payable to certain of the named executive officers in the amount of the cash distribution on unvested restricted stock owned by such officers. These amounts are included in “All Other Compensation” in the “2007 Summary Compensation Table.”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executive officers in excess of $1,000,000 in any taxable year. Other than (a) base salary of $2,152,577, $284,500 and $729,500 respectively paid to Messrs. Wynn, Kramer and Schorr, (b) cash distributions on restricted stock of $360,000 and $300,000 paid to Messrs. Kramer and Schorr; and (c) $113,007 and $27,687 of other compensation paid to Mr. Wynn and Ms. Chen, respectively, the Compensation Committee does not believe that there will be any non-deductible compensation in 2007 based upon allowances under Section 162(m) or otherwise. Wynn Resorts’ policy with respect to qualifying compensation paid to its executive officers for tax deductibility purposes is that executive compensation plans will generally be designed and implemented to maximize tax deductibility. However, non-deductible compensation may still be paid to executive officers in extraordinary circumstances, when necessary for competitive reasons or to attract or retain a key executive, or where achieving maximum tax deductibility would be considered disadvantageous to the best interests of Wynn Resorts.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2007 fiscal year, all named executive officers were bound by employment agreements, except that Mr. Schorr’s Employment Agreement expired on October 31, 2007. On March 4, 2008, Wynn Resorts and Mr. Schorr entered into a new five (5) year employment contract, which expires in October 2012. Certain employment agreements were negotiated and executed prior to the formation of the Compensation Committee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October 2002 and in 2006, those of Mr. Schorr and Ms. Chen’s were amended to increase base salaries, in each case to reflect extraordinary effort and achievement in the operations of Wynn Las Vegas and Wynn Macau. These amendments (along with any other employment agreements in which base salary exceeds $500,000 per year) were approved by the Compensation Committee. The employment agreements set minimum levels of base salary and detail other benefits of employment. As for term, Mr. Wynn’s employment agreement with Wynn Resorts expires in 2017, Mr. Strzemp’s in March 2009, Mr. Schorr’s in 2012 and Ms. Chen’s in 2011. Mr. Kramer’s agreement expires on March 31, 2008, at which time he will leave the employ of Wynn Resorts.</w:t>
      </w:r>
    </w:p>
    <w:p>
      <w:pPr>
        <w:spacing w:after="0" w:line="11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employment agreements for certain key employees, including the named executive officers, include change of control provisions. These provisions are intended to protect senior management in the event that certain events occur after a defined Change in Control of Wynn Resorts. If, after a Change in Control, a named executive officer experiences any of the following adverse employment actions: (a) a reduction in base salary, (b) discontinuance of Wynn Resorts’ bonus plan as in effect immediately before the Change in Control without substitution of a comparable plan (c) material reduction in aggregate benefits and perquisites,</w:t>
      </w:r>
    </w:p>
    <w:p>
      <w:pPr>
        <w:spacing w:after="0" w:line="3" w:lineRule="exact"/>
        <w:rPr>
          <w:sz w:val="20"/>
          <w:szCs w:val="20"/>
          <w:color w:val="auto"/>
        </w:rPr>
      </w:pPr>
    </w:p>
    <w:p>
      <w:pPr>
        <w:ind w:firstLine="8"/>
        <w:spacing w:after="0" w:line="287" w:lineRule="auto"/>
        <w:tabs>
          <w:tab w:leader="none" w:pos="2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Wynn Resorts requires that such officer change the location of his or her job or office by a distance of more than 25 miles, (e) a reduction in responsibilities or change in reporting, or (f) failure of a successor to expressly assume the obligations of such officer’s employment agreement, the officer may terminate his or her employment and receive a payment equal to base salary, bonus, accrued vacation pay and gross up payments for the greater of one year or the remainder of the contract term. Mr. Wynn’s payment is a maximum of four years. The severance payment is not a specified multiple of annual compensation, but dependent upon the remaining length of each particular officer’s contract term. The formula is the same for all named executive officers (other than Mr. Wynn’s whose payment is limited to four years). The Compensation Committee has determined that such agreements are fair compensation to Wynn Resorts’ senior management, especially in light of the double trigger required (i.e. in addition to a Change in Control, the officer must experience an identified adverse employment action prior to terminating his or her employment and receiving the severance payment).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Wynn Resorts also provides its named executive officers with a number of executive benefits. The primary executive benefits include certain life insurance premiums, matching contributions as defined in Wynn Resorts’ 401(k) program and complementary privileges with respect to Wynn Resorts’ properties which are described in the footnotes to the “2007 Summary Compensation Table.” In addition, Messrs. Wynn and Schorr have access to Wynn Resorts’ aircraft pursuant to time sharing agreements described in “Certain Relationships and Related Transactions—Aircraft Arrangements.” For security purposes, the Board of Directors requires Mr. Wynn to travel on Wynn Resorts’ aircraft for both personal and business travel, and Wynn Resorts provides a car and driver (and security when necessary) for his personal use. Ms. Chen receives a car and driver, certain housing and living expenses in Macau, as well as assistance with tax preparation.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and February 1, 2007, which has a term expiring in 2017. Mr. Wynn, a holder of approximately 21% of Wynn Resorts’ common stock, has not received any equity awards as part of this compensation as Chief Executive Officer of Wynn Resorts. Mr. Wynn receives a base salary, $3,250,000 per year as of February 1, 2007, and participates in the Annual Performance Based Incentive Plan, with a maximum bonus potential for 2007 and 2008 of 250% of his base salary. Based upon achievement of the applicable performance criteria in each year, Mr. Wynn was paid the maximum bonus under the Incentive Plan. Mr. Wynn is provided with a Wynn Resorts’ paid life insurance and disability policies, as well as participation in Wynn Resorts’ 401(k) plan. He also receives certain executive benefits described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 ended December 31, 2007 and December 31,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Salary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78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CEO</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$ 7,500,000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11,246,505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2,825,000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$ 6,875,000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9,962,915</w:t>
            </w:r>
          </w:p>
        </w:tc>
        <w:tc>
          <w:tcPr>
            <w:tcW w:w="0" w:type="dxa"/>
            <w:vAlign w:val="bottom"/>
          </w:tcPr>
          <w:p>
            <w:pPr>
              <w:spacing w:after="0"/>
              <w:rPr>
                <w:sz w:val="1"/>
                <w:szCs w:val="1"/>
                <w:color w:val="auto"/>
              </w:rPr>
            </w:pPr>
          </w:p>
        </w:tc>
      </w:tr>
      <w:tr>
        <w:trPr>
          <w:trHeight w:val="316"/>
        </w:trPr>
        <w:tc>
          <w:tcPr>
            <w:tcW w:w="3700" w:type="dxa"/>
            <w:vAlign w:val="bottom"/>
            <w:gridSpan w:val="3"/>
          </w:tcPr>
          <w:p>
            <w:pPr>
              <w:spacing w:after="0"/>
              <w:rPr>
                <w:sz w:val="20"/>
                <w:szCs w:val="20"/>
                <w:color w:val="auto"/>
              </w:rPr>
            </w:pPr>
            <w:r>
              <w:rPr>
                <w:rFonts w:ascii="Arial" w:cs="Arial" w:eastAsia="Arial" w:hAnsi="Arial"/>
                <w:sz w:val="18"/>
                <w:szCs w:val="18"/>
                <w:color w:val="auto"/>
              </w:rPr>
              <w:t>John Strzemp</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Exec VP/CFO</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$453,354</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$ 1,200,000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38,052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2,291,406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$580,274</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  600,000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1,789,712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1,300,000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2,022,000</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$ 81,328</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$ 2,600,000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6,552,328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1,300,000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2,022,000</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$321,737</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$ 2,600,000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734,262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8,477,999</w:t>
            </w:r>
          </w:p>
        </w:tc>
        <w:tc>
          <w:tcPr>
            <w:tcW w:w="0" w:type="dxa"/>
            <w:vAlign w:val="bottom"/>
          </w:tcPr>
          <w:p>
            <w:pPr>
              <w:spacing w:after="0"/>
              <w:rPr>
                <w:sz w:val="1"/>
                <w:szCs w:val="1"/>
                <w:color w:val="auto"/>
              </w:rPr>
            </w:pPr>
          </w:p>
        </w:tc>
      </w:tr>
      <w:tr>
        <w:trPr>
          <w:trHeight w:val="316"/>
        </w:trPr>
        <w:tc>
          <w:tcPr>
            <w:tcW w:w="3700" w:type="dxa"/>
            <w:vAlign w:val="bottom"/>
            <w:gridSpan w:val="3"/>
          </w:tcPr>
          <w:p>
            <w:pPr>
              <w:spacing w:after="0"/>
              <w:rPr>
                <w:sz w:val="20"/>
                <w:szCs w:val="20"/>
                <w:color w:val="auto"/>
              </w:rPr>
            </w:pPr>
            <w:r>
              <w:rPr>
                <w:rFonts w:ascii="Arial" w:cs="Arial" w:eastAsia="Arial" w:hAnsi="Arial"/>
                <w:sz w:val="18"/>
                <w:szCs w:val="18"/>
                <w:color w:val="auto"/>
              </w:rPr>
              <w:t>Marc D. Schorr</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COO</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1,685,000</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$ 78,460</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$ 3,500,000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646,933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7,660,393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1,072,115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1,685,000</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$332,301</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$ 2,000,000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722,021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7,311,437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of Wynn Int’l Marketing</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1,066,833</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$516,797</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$ 2,000,000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651,079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5,234,709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444,514</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$614,086</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$ 1,296,164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3,956,581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40" w:hanging="332"/>
        <w:spacing w:after="0" w:line="25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compensation cost as determined under Statement of Financial Accounting Standards No. 123R, “Share-Based Payment” for the year ended December 31, 2007, before reflecting estimated forfeitures. See Wynn Resorts’ Annual Report on Form 10-K for the year ended December 31, 2007 Note 15 to its Consolidated Financial Statements for assumptions used in computing fair value.</w:t>
      </w:r>
    </w:p>
    <w:p>
      <w:pPr>
        <w:spacing w:after="0" w:line="180" w:lineRule="exact"/>
        <w:rPr>
          <w:rFonts w:ascii="Arial" w:cs="Arial" w:eastAsia="Arial" w:hAnsi="Arial"/>
          <w:sz w:val="18"/>
          <w:szCs w:val="18"/>
          <w:color w:val="auto"/>
        </w:rPr>
      </w:pPr>
    </w:p>
    <w:p>
      <w:pPr>
        <w:ind w:left="340" w:right="200" w:hanging="332"/>
        <w:spacing w:after="0" w:line="34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Compensation includes cash distributions accrued on unvested restricted stock reported in the year such amounts accrue instead of the year paid, based on an SEC Staff interpretation issued after the 2007 proxy statement was filed. These amounts are paid only if and when the restricted stock vests. The following amounts for 2007 are included in “All Other Compensation” for Mr. Wynn:</w:t>
      </w:r>
    </w:p>
    <w:p>
      <w:pPr>
        <w:spacing w:after="0" w:line="1" w:lineRule="exact"/>
        <w:rPr>
          <w:rFonts w:ascii="Arial" w:cs="Arial" w:eastAsia="Arial" w:hAnsi="Arial"/>
          <w:sz w:val="18"/>
          <w:szCs w:val="18"/>
          <w:color w:val="auto"/>
        </w:rPr>
      </w:pP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personal use of Wynn Resorts’ aircraft of $424,548;</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executive life insurance premiums of $29,123;</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$109,416;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$3,591;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401k employer matching contributions of $6,750.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Mr. Strzemp:</w:t>
      </w:r>
    </w:p>
    <w:p>
      <w:pPr>
        <w:spacing w:after="0" w:line="90" w:lineRule="exact"/>
        <w:rPr>
          <w:sz w:val="20"/>
          <w:szCs w:val="20"/>
          <w:color w:val="auto"/>
        </w:rPr>
      </w:pPr>
    </w:p>
    <w:p>
      <w:pPr>
        <w:ind w:left="800" w:hanging="45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$9,588; and</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$28,464 for executive’s participation in an employee incentive trip.</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Mr. Kramer:</w:t>
      </w:r>
    </w:p>
    <w:p>
      <w:pPr>
        <w:spacing w:after="0" w:line="90" w:lineRule="exact"/>
        <w:rPr>
          <w:sz w:val="20"/>
          <w:szCs w:val="20"/>
          <w:color w:val="auto"/>
        </w:rPr>
      </w:pPr>
    </w:p>
    <w:p>
      <w:pPr>
        <w:ind w:left="800" w:hanging="45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$540,000 of accrued cash distributions related to unvested restricted stock; and</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$9,000.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Mr. Schorr:</w:t>
      </w:r>
    </w:p>
    <w:p>
      <w:pPr>
        <w:spacing w:after="0" w:line="90" w:lineRule="exact"/>
        <w:rPr>
          <w:sz w:val="20"/>
          <w:szCs w:val="20"/>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$450,000 of accrued cash distributions related to unvested restricted stock;</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personal use of Wynn Resorts’ aircraft of $176,914;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$20,019.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$43,189 attributable to housing and other in Macau;</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$7,890;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$600,000 of accrued cash distributions related to unvested restricted stock.</w:t>
      </w:r>
    </w:p>
    <w:p>
      <w:pPr>
        <w:spacing w:after="0" w:line="16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2007 total direct (variable) flight expenses by the total hours the aircraft was operated during the year. The executives’ hourly usage was multiplied by this annual hourly rate.</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2007, each of the named executive officers received base salary in accordance with the terms of his or her employment agreement, as well as an annual bonus under the terms of the Incentive Plan.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2008, as shown in “2007 Grants of Plan-Based Awards Table,” the named executive officers also received bonuses under the Incentive Plan related to 2007 performance. Since the operating criterion was satisfied (Adjusted EBITDA for Wynn Las Vegas and Wynn Macau), all participants were entitled to, and did receive the maximum bonuses payable under the Incentive Plan.</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2007 GRANTS OF PLAN-BASED AWARDS TABLE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5"/>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79"/>
              </w:rPr>
              <w:t>Possible</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4"/>
              </w:rPr>
              <w:t>Payouts</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Under</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Non-Equity</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Plan Awards</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3"/>
              </w:rPr>
              <w:t>($)</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6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2"/>
              </w:rPr>
              <w:t>Maximum</w:t>
            </w: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1,200,000</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3,500,000</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363"/>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20" w:type="dxa"/>
            <w:vAlign w:val="bottom"/>
          </w:tcPr>
          <w:p>
            <w:pPr>
              <w:jc w:val="right"/>
              <w:ind w:right="36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Wynn Resorts’ Incentive Plan rewards management for creation of superior return to stockholders, measured by operating performance of its properties. The amounts shown on the table above reflect achievement of the 2007 performance criteria of Adjusted EBITDA at Wynn Resorts’ Wynn Las Vegas and Wynn Macau properties and the payment of maximum bonuses under the Incentive Plan to all named executive officers.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1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3"/>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Options</w:t>
            </w:r>
          </w:p>
        </w:tc>
        <w:tc>
          <w:tcPr>
            <w:tcW w:w="18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9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Exercisable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Unexercisable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John Strzemp(1)</w:t>
            </w: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04/01/13</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Marc D. Schorr(3)</w:t>
            </w: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5,606,500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Chen(4)</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08/01/15</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Strzemp’s outstanding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stock options—50,000 shares will vest on August 1, 2008.</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Mr. Kramer’s departure from Wynn Resorts on March 31, 2008, his restricted stock will be forfeited and will not vest.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Schorr’s outstanding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restricted stock will vest 25,000 shares on each of December 15, 2008 and 2009.</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Chen’s outstanding awards will vest as follows:</w:t>
      </w:r>
    </w:p>
    <w:p>
      <w:pPr>
        <w:spacing w:after="0" w:line="15" w:lineRule="exact"/>
        <w:rPr>
          <w:rFonts w:ascii="Arial" w:cs="Arial" w:eastAsia="Arial" w:hAnsi="Arial"/>
          <w:sz w:val="18"/>
          <w:szCs w:val="18"/>
          <w:color w:val="auto"/>
        </w:rPr>
      </w:pPr>
    </w:p>
    <w:p>
      <w:pPr>
        <w:ind w:left="900" w:right="280" w:hanging="446"/>
        <w:spacing w:after="0" w:line="261"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stock options—33,333 shares will vest on each of August 1, 2008 and 2009 and 33,334 shares vest on August 1, 2010; and b. restricted stock will vest in its entirety on July 31, 2012.</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closing price of Wynn Resorts’ stock at year-end was $112.13 per share.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vesting is conditioned upon such named executive officer being an employee of Wynn Resorts on the vesting date.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00" w:type="dxa"/>
            <w:vAlign w:val="bottom"/>
            <w:gridSpan w:val="6"/>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160" w:type="dxa"/>
            <w:vAlign w:val="bottom"/>
            <w:gridSpan w:val="2"/>
          </w:tcPr>
          <w:p>
            <w:pPr>
              <w:jc w:val="center"/>
              <w:ind w:left="3317"/>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08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4380" w:type="dxa"/>
            <w:vAlign w:val="bottom"/>
            <w:gridSpan w:val="3"/>
          </w:tcPr>
          <w:p>
            <w:pPr>
              <w:jc w:val="right"/>
              <w:ind w:right="220"/>
              <w:spacing w:after="0"/>
              <w:rPr>
                <w:sz w:val="20"/>
                <w:szCs w:val="20"/>
                <w:color w:val="auto"/>
              </w:rPr>
            </w:pPr>
            <w:r>
              <w:rPr>
                <w:rFonts w:ascii="Arial" w:cs="Arial" w:eastAsia="Arial" w:hAnsi="Arial"/>
                <w:sz w:val="18"/>
                <w:szCs w:val="18"/>
                <w:color w:val="auto"/>
              </w:rPr>
              <w:t>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581,800</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3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$ 3,536,100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34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w w:val="90"/>
              </w:rPr>
              <w:t>$ 2,946,750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4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2,195,188</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0" w:type="dxa"/>
            <w:vAlign w:val="bottom"/>
          </w:tcPr>
          <w:p>
            <w:pPr>
              <w:jc w:val="right"/>
              <w:ind w:right="957"/>
              <w:spacing w:after="0"/>
              <w:rPr>
                <w:sz w:val="20"/>
                <w:szCs w:val="20"/>
                <w:color w:val="auto"/>
              </w:rPr>
            </w:pPr>
            <w:r>
              <w:rPr>
                <w:rFonts w:ascii="Arial" w:cs="Arial" w:eastAsia="Arial" w:hAnsi="Arial"/>
                <w:sz w:val="18"/>
                <w:szCs w:val="18"/>
                <w:color w:val="auto"/>
              </w:rPr>
              <w:t>77</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56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Wynn Resorts’ employment agreements with its named executive officers provide that such agreements are terminable by Wynn Resorts without cause upon notice to the employee, so long as a “separation payment” is paid within 10 days of such notice. The “separation payment” includes (a) base salary through the end of the term of the agreement, but not less than 12 months (and in Mr. Wynn’s case, not more than 4 years); (b) bonus for all bonus periods based upon last bonus paid through the end of the term (and in Mr. Wynn’s case, not more than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the stock option agreements and restricted stock agreements for all named executive officers other than Mr. Wynn provide that all unvested options and shares will vest.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or his or her job or office by a distance of more than 25 miles; (v) reduction of responsibilities or required reporting to a person of lower rank or responsibilities; or (vi) failure to expressly assume in writing the employment agreement. Upon termination by the employee pursuant to this provision, the employee is entitled to the same amounts described under “Payments Made Upon Termination Without Cause at Employer’s Election During the Term” above. Pursuant to the terms of the applicable stock option agreements and restricted stock grant agreements, all outstanding options and unvested shares of restricted stock held by each of Mr. Schorr, Mr. Strzemp and Ms. Chen immediately vest upon termination by Wynn Resorts without cause or upon termination by the employee for good reason after a change in control.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During the Term</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tables below reflect the amount of compensation that would become payable to each of the named executive officers under existing agreements and arrangements if the named executive’s employment had terminated on December 31, 2007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to salaried employees, such as distributions under Wynn Resorts’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Wynn Resorts’ stock price and the executive’s age.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A. Wynn</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the case of Mr. Wynn, the payments to be made upon “Termination Without Cause at Employer’s Election During the Term” and “Termination by Employee for Good Reason After Change in Control for Good Reason” are limited to four years (rather than the remainder of the term).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Election</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Disability</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Term(1)(3)</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Control(1)(3)</w:t>
            </w:r>
          </w:p>
        </w:tc>
        <w:tc>
          <w:tcPr>
            <w:tcW w:w="20" w:type="dxa"/>
            <w:vAlign w:val="bottom"/>
          </w:tcPr>
          <w:p>
            <w:pPr>
              <w:spacing w:after="0"/>
              <w:rPr>
                <w:sz w:val="14"/>
                <w:szCs w:val="14"/>
                <w:color w:val="auto"/>
              </w:rPr>
            </w:pPr>
          </w:p>
        </w:tc>
      </w:tr>
      <w:tr>
        <w:trPr>
          <w:trHeight w:val="201"/>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 and</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13,000,000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13,000,000</w:t>
            </w:r>
          </w:p>
        </w:tc>
        <w:tc>
          <w:tcPr>
            <w:tcW w:w="20" w:type="dxa"/>
            <w:vAlign w:val="bottom"/>
          </w:tcPr>
          <w:p>
            <w:pPr>
              <w:spacing w:after="0"/>
              <w:rPr>
                <w:sz w:val="17"/>
                <w:szCs w:val="17"/>
                <w:color w:val="auto"/>
              </w:rPr>
            </w:pPr>
          </w:p>
        </w:tc>
      </w:tr>
      <w:tr>
        <w:trPr>
          <w:trHeight w:val="216"/>
        </w:trPr>
        <w:tc>
          <w:tcPr>
            <w:tcW w:w="45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unpaid through the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5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Bonus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7,500,000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37,500,000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37,500,000</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Tax Gross Up</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17,453,535</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323,214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471,647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Bonus amounts include bonuses for 2007 performance year paid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Strzemp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Election</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During the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0"/>
              </w:rPr>
              <w:t>Term (3)</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Amount earned and</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w:t>
            </w:r>
          </w:p>
        </w:tc>
        <w:tc>
          <w:tcPr>
            <w:tcW w:w="2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through the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7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Bonus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2,400,000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Tax Gross Up</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unvested 50,000 stock option grant would vest immediately upon death or complete disability. Using the closing price on December 31, 2007, the value of such options upon exercise would have been $2,773,000.</w:t>
      </w:r>
    </w:p>
    <w:p>
      <w:pPr>
        <w:ind w:left="460" w:right="14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bonus for 2007 performance year paid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Ronald J. Kramer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Termination</w:t>
            </w:r>
          </w:p>
        </w:tc>
        <w:tc>
          <w:tcPr>
            <w:tcW w:w="6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Termination Upon</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Voluntary</w:t>
            </w:r>
          </w:p>
        </w:tc>
        <w:tc>
          <w:tcPr>
            <w:tcW w:w="8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Termination Upon</w:t>
            </w:r>
          </w:p>
        </w:tc>
        <w:tc>
          <w:tcPr>
            <w:tcW w:w="6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6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2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Death or Complete</w:t>
            </w:r>
          </w:p>
        </w:tc>
        <w:tc>
          <w:tcPr>
            <w:tcW w:w="6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Election During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6"/>
              </w:rPr>
              <w:t>by the Employee</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Disability</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the Term(4)</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 earned</w:t>
            </w:r>
          </w:p>
        </w:tc>
        <w:tc>
          <w:tcPr>
            <w:tcW w:w="70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1,300,000</w:t>
            </w:r>
          </w:p>
        </w:tc>
        <w:tc>
          <w:tcPr>
            <w:tcW w:w="70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1,300,000</w:t>
            </w:r>
          </w:p>
        </w:tc>
        <w:tc>
          <w:tcPr>
            <w:tcW w:w="20" w:type="dxa"/>
            <w:vAlign w:val="bottom"/>
          </w:tcPr>
          <w:p>
            <w:pPr>
              <w:spacing w:after="0"/>
              <w:rPr>
                <w:sz w:val="17"/>
                <w:szCs w:val="17"/>
                <w:color w:val="auto"/>
              </w:rPr>
            </w:pPr>
          </w:p>
        </w:tc>
      </w:tr>
      <w:tr>
        <w:trPr>
          <w:trHeight w:val="216"/>
        </w:trPr>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unpaid</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and unpaid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through the date</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86"/>
              </w:rPr>
              <w:t>through the date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5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termination.</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9"/>
              </w:rPr>
              <w:t>of termination.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Bonus</w:t>
            </w:r>
          </w:p>
        </w:tc>
        <w:tc>
          <w:tcPr>
            <w:tcW w:w="10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2,600,000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5,200,000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5,200,000</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6,727,800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6,727,800</w:t>
            </w:r>
          </w:p>
        </w:tc>
        <w:tc>
          <w:tcPr>
            <w:tcW w:w="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Tax Gross Up</w:t>
            </w:r>
          </w:p>
        </w:tc>
        <w:tc>
          <w:tcPr>
            <w:tcW w:w="10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60,000 restricted stock grants would vest. Using the closing price on December 31, 2007, the value of such grants upon vesting would have been $6,727,800.</w:t>
      </w:r>
    </w:p>
    <w:p>
      <w:pPr>
        <w:ind w:left="460" w:right="14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Bonus amount includes bonus for 2007 performance year paid in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Mr. Kramer’s employment agreement expires on March 31, 2008, at which time he will leave the employ of Wynn Resorts.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Election</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During the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Term(4)</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Amount earned and</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through the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7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Bonus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3,500,000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3,500,000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5,606,500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5,606,500</w:t>
            </w: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Tax Gross Up</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50,000 restricted stock grants would vest. Using the closing price on December 31, 2007, the value of such grant upon vesting would have been $5,606,500.</w:t>
      </w:r>
    </w:p>
    <w:p>
      <w:pPr>
        <w:ind w:left="460" w:right="22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Schorr’s employment agreement had expired on October 31, 2007. On March 4, 2008, Wynn Resorts and Mr. Schorr entered into a new five (5) year employment agreement, effective October 31, 2007, which expires on October 31, 2012.</w:t>
      </w: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Bonus amount includes bonus for 2007 performance year paid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Termination 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Election</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Term(4)</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Control(4)</w:t>
            </w:r>
          </w:p>
        </w:tc>
        <w:tc>
          <w:tcPr>
            <w:tcW w:w="20" w:type="dxa"/>
            <w:vAlign w:val="bottom"/>
          </w:tcPr>
          <w:p>
            <w:pPr>
              <w:spacing w:after="0"/>
              <w:rPr>
                <w:sz w:val="14"/>
                <w:szCs w:val="14"/>
                <w:color w:val="auto"/>
              </w:rPr>
            </w:pPr>
          </w:p>
        </w:tc>
      </w:tr>
      <w:tr>
        <w:trPr>
          <w:trHeight w:val="201"/>
        </w:trPr>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Amount earned and</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3,583,333</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3,583,333</w:t>
            </w:r>
          </w:p>
        </w:tc>
        <w:tc>
          <w:tcPr>
            <w:tcW w:w="20" w:type="dxa"/>
            <w:vAlign w:val="bottom"/>
          </w:tcPr>
          <w:p>
            <w:pPr>
              <w:spacing w:after="0"/>
              <w:rPr>
                <w:sz w:val="17"/>
                <w:szCs w:val="17"/>
                <w:color w:val="auto"/>
              </w:rPr>
            </w:pPr>
          </w:p>
        </w:tc>
      </w:tr>
      <w:tr>
        <w:trPr>
          <w:trHeight w:val="216"/>
        </w:trPr>
        <w:tc>
          <w:tcPr>
            <w:tcW w:w="48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through the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8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Bonus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2,647,726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2,647,726</w:t>
            </w: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Tax Gross Up</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5,618,828</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Benefits(3)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142,085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5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unvested 100,000 stock option grant would vest immediately upon death or complete disability. Using the closing price on December 31, 2007, the value of such options upon exercise would have been $5,546,000.</w:t>
      </w:r>
    </w:p>
    <w:p>
      <w:pPr>
        <w:ind w:left="460" w:right="30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termination without cause the restricted stock will vest on a pro-rated basis based on the number of months since the grant date. Using the closing price on December 31, 2007, the value of such 23,613 shares would have been $2,647,726.</w:t>
      </w:r>
    </w:p>
    <w:p>
      <w:pPr>
        <w:ind w:left="460" w:right="38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for providing such benefits through the remainder of the term.</w:t>
      </w: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Bonus includes bonus for 2007 performance year paid in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following table summarizes, as of December 31, 2007, compensation plans under which Wynn Resorts’ equity securities are authorized for issuance, aggregated as to: (i) all compensation plans previously approved by stockholders; and (ii) all compensation plans not previously approved by stockholders.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80" w:type="dxa"/>
            <w:vAlign w:val="bottom"/>
          </w:tcPr>
          <w:p>
            <w:pPr>
              <w:spacing w:after="0"/>
              <w:rPr>
                <w:sz w:val="12"/>
                <w:szCs w:val="12"/>
                <w:color w:val="auto"/>
              </w:rPr>
            </w:pPr>
          </w:p>
        </w:tc>
        <w:tc>
          <w:tcPr>
            <w:tcW w:w="22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80" w:type="dxa"/>
            <w:vAlign w:val="bottom"/>
          </w:tcPr>
          <w:p>
            <w:pPr>
              <w:spacing w:after="0"/>
              <w:rPr>
                <w:sz w:val="12"/>
                <w:szCs w:val="12"/>
                <w:color w:val="auto"/>
              </w:rPr>
            </w:pPr>
          </w:p>
        </w:tc>
        <w:tc>
          <w:tcPr>
            <w:tcW w:w="22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reflected in column</w:t>
            </w:r>
          </w:p>
        </w:tc>
        <w:tc>
          <w:tcPr>
            <w:tcW w:w="0" w:type="dxa"/>
            <w:vAlign w:val="bottom"/>
          </w:tcPr>
          <w:p>
            <w:pPr>
              <w:spacing w:after="0"/>
              <w:rPr>
                <w:sz w:val="1"/>
                <w:szCs w:val="1"/>
                <w:color w:val="auto"/>
              </w:rPr>
            </w:pPr>
          </w:p>
        </w:tc>
      </w:tr>
      <w:tr>
        <w:trPr>
          <w:trHeight w:val="161"/>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6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9"/>
              </w:rPr>
              <w:t>Warrants and Rights(1)</w:t>
            </w:r>
          </w:p>
        </w:tc>
        <w:tc>
          <w:tcPr>
            <w:tcW w:w="23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6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2,024,425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48.04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2,024,425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48.04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489,500 shares of unvested restricted stock awards outstanding under an 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are our wholly owned subsidiaries.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as of February 29, 2008, certain information regarding the shares of Wynn Resorts’ common stock beneficially owned by: (i) each director; (ii) each stockholder who is known by the Wynn Resorts to beneficially own in excess of 5% of the outstanding shares of Wynn Resorts’ common stock based on information reported on Form 13D or 13G filed with the SEC; (iii) each of the executive officers of Wynn Resorts named in the Summary Compensation Table; and (iv) all executive officers of Wynn Resorts, and directors of Wynn Resorts, as a group.</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61"/>
        </w:trPr>
        <w:tc>
          <w:tcPr>
            <w:tcW w:w="9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124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4"/>
                <w:szCs w:val="14"/>
                <w:b w:val="1"/>
                <w:bCs w:val="1"/>
                <w:color w:val="auto"/>
                <w:w w:val="84"/>
              </w:rPr>
              <w:t>Shares(1)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80" w:type="dxa"/>
            <w:vAlign w:val="bottom"/>
            <w:gridSpan w:val="3"/>
            <w:vMerge w:val="continue"/>
          </w:tcPr>
          <w:p>
            <w:pPr>
              <w:spacing w:after="0"/>
              <w:rPr>
                <w:sz w:val="12"/>
                <w:szCs w:val="12"/>
                <w:color w:val="auto"/>
              </w:rPr>
            </w:pPr>
          </w:p>
        </w:tc>
        <w:tc>
          <w:tcPr>
            <w:tcW w:w="12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Wynn(3)(4)</w:t>
            </w:r>
          </w:p>
        </w:tc>
        <w:tc>
          <w:tcPr>
            <w:tcW w:w="6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23,970,930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Kazuo Okada(3)(5)</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24,549,222</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Aruze USA, Inc.(3)(5)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24,549,222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Marsico Capital Management, LLC(6)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16,543,565</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1200 17th Street, Suite 1600</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7,564,839</w:t>
            </w: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Linda Chen(8)</w:t>
            </w:r>
          </w:p>
        </w:tc>
        <w:tc>
          <w:tcPr>
            <w:tcW w:w="800" w:type="dxa"/>
            <w:vAlign w:val="bottom"/>
          </w:tcPr>
          <w:p>
            <w:pPr>
              <w:jc w:val="right"/>
              <w:spacing w:after="0"/>
              <w:rPr>
                <w:sz w:val="20"/>
                <w:szCs w:val="20"/>
                <w:color w:val="auto"/>
              </w:rPr>
            </w:pPr>
            <w:r>
              <w:rPr>
                <w:rFonts w:ascii="Arial" w:cs="Arial" w:eastAsia="Arial" w:hAnsi="Arial"/>
                <w:sz w:val="18"/>
                <w:szCs w:val="18"/>
                <w:color w:val="auto"/>
              </w:rPr>
              <w:t>185,000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Ronald J. Kramer(10)</w:t>
            </w:r>
          </w:p>
        </w:tc>
        <w:tc>
          <w:tcPr>
            <w:tcW w:w="800" w:type="dxa"/>
            <w:vAlign w:val="bottom"/>
          </w:tcPr>
          <w:p>
            <w:pPr>
              <w:jc w:val="right"/>
              <w:spacing w:after="0"/>
              <w:rPr>
                <w:sz w:val="20"/>
                <w:szCs w:val="20"/>
                <w:color w:val="auto"/>
              </w:rPr>
            </w:pPr>
            <w:r>
              <w:rPr>
                <w:rFonts w:ascii="Arial" w:cs="Arial" w:eastAsia="Arial" w:hAnsi="Arial"/>
                <w:sz w:val="18"/>
                <w:szCs w:val="18"/>
                <w:color w:val="auto"/>
              </w:rPr>
              <w:t>338,370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John A. Moran(11)(12)</w:t>
            </w:r>
          </w:p>
        </w:tc>
        <w:tc>
          <w:tcPr>
            <w:tcW w:w="800" w:type="dxa"/>
            <w:vAlign w:val="bottom"/>
          </w:tcPr>
          <w:p>
            <w:pPr>
              <w:jc w:val="right"/>
              <w:spacing w:after="0"/>
              <w:rPr>
                <w:sz w:val="20"/>
                <w:szCs w:val="20"/>
                <w:color w:val="auto"/>
              </w:rPr>
            </w:pPr>
            <w:r>
              <w:rPr>
                <w:rFonts w:ascii="Arial" w:cs="Arial" w:eastAsia="Arial" w:hAnsi="Arial"/>
                <w:sz w:val="18"/>
                <w:szCs w:val="18"/>
                <w:color w:val="auto"/>
              </w:rPr>
              <w:t>148,000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D. Boone Wayson(11)</w:t>
            </w:r>
          </w:p>
        </w:tc>
        <w:tc>
          <w:tcPr>
            <w:tcW w:w="800" w:type="dxa"/>
            <w:vAlign w:val="bottom"/>
          </w:tcPr>
          <w:p>
            <w:pPr>
              <w:jc w:val="right"/>
              <w:spacing w:after="0"/>
              <w:rPr>
                <w:sz w:val="20"/>
                <w:szCs w:val="20"/>
                <w:color w:val="auto"/>
              </w:rPr>
            </w:pPr>
            <w:r>
              <w:rPr>
                <w:rFonts w:ascii="Arial" w:cs="Arial" w:eastAsia="Arial" w:hAnsi="Arial"/>
                <w:sz w:val="18"/>
                <w:szCs w:val="18"/>
                <w:color w:val="auto"/>
              </w:rPr>
              <w:t>77,500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Wynn(3)(4)(13)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23,970,930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800" w:type="dxa"/>
            <w:vAlign w:val="bottom"/>
          </w:tcPr>
          <w:p>
            <w:pPr>
              <w:jc w:val="right"/>
              <w:spacing w:after="0"/>
              <w:rPr>
                <w:sz w:val="20"/>
                <w:szCs w:val="20"/>
                <w:color w:val="auto"/>
              </w:rPr>
            </w:pPr>
            <w:r>
              <w:rPr>
                <w:rFonts w:ascii="Arial" w:cs="Arial" w:eastAsia="Arial" w:hAnsi="Arial"/>
                <w:sz w:val="18"/>
                <w:szCs w:val="18"/>
                <w:color w:val="auto"/>
              </w:rPr>
              <w:t>27,500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532,923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John Strzemp(15)</w:t>
            </w:r>
          </w:p>
        </w:tc>
        <w:tc>
          <w:tcPr>
            <w:tcW w:w="800" w:type="dxa"/>
            <w:vAlign w:val="bottom"/>
          </w:tcPr>
          <w:p>
            <w:pPr>
              <w:jc w:val="right"/>
              <w:spacing w:after="0"/>
              <w:rPr>
                <w:sz w:val="20"/>
                <w:szCs w:val="20"/>
                <w:color w:val="auto"/>
              </w:rPr>
            </w:pPr>
            <w:r>
              <w:rPr>
                <w:rFonts w:ascii="Arial" w:cs="Arial" w:eastAsia="Arial" w:hAnsi="Arial"/>
                <w:sz w:val="18"/>
                <w:szCs w:val="18"/>
                <w:color w:val="auto"/>
              </w:rPr>
              <w:t>205,500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Group(19 persons)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50,390,833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right="100" w:hanging="572"/>
        <w:spacing w:after="0" w:line="250"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w:t>
      </w:r>
    </w:p>
    <w:p>
      <w:pPr>
        <w:spacing w:after="0" w:line="1" w:lineRule="exact"/>
        <w:rPr>
          <w:rFonts w:ascii="Arial" w:cs="Arial" w:eastAsia="Arial" w:hAnsi="Arial"/>
          <w:sz w:val="18"/>
          <w:szCs w:val="18"/>
          <w:color w:val="auto"/>
        </w:rPr>
      </w:pPr>
    </w:p>
    <w:p>
      <w:pPr>
        <w:ind w:left="580" w:right="280" w:hanging="572"/>
        <w:spacing w:after="0" w:line="250"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20" w:hanging="572"/>
        <w:spacing w:after="0" w:line="331" w:lineRule="auto"/>
        <w:tabs>
          <w:tab w:leader="none" w:pos="5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Does not include shares that may be deemed to be beneficially owned by virtue of the Stockholders Agreement, dated as of April 11, 2002 (the “Stockholders Agreement”), by and among Mr. Wynn, Baron Asset Fund, a Massachusetts business trust (“Baron”) and Aruze USA, Inc., and as amended by an Amendment to Stockholders Agreement, dated as of November 8, 2006 (the “Amendment”), by and between Mr. Wynn and Aruze USA,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60" w:hanging="572"/>
        <w:spacing w:after="0" w:line="254"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Excludes 578,292 shares, in the aggregate, of Wynn Resorts’ common stock held in four grantor retained annuity trusts created by Stephen A. Wynn and Elaine P. Wynn. In 2007, Mr. Wynn ceased to be the trustee of each of these trusts.</w:t>
      </w:r>
    </w:p>
    <w:p>
      <w:pPr>
        <w:ind w:left="580" w:right="140" w:hanging="572"/>
        <w:spacing w:after="0" w:line="281"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Aruze USA, Inc. is a wholly owned subsidiary of Aruze Corp., of which Mr. Kazuo Okada owns a controlling interest and is the Chairman. The subject securities were acquired and are owned by Aruze USA, Inc. but Aruze Corp. and Mr. Okada may also be considered beneficial owners of the shares because Aruze USA, Aruze Corp. and Mr. Okada may be deemed to have shared voting and dispositive power over the shares.</w:t>
      </w:r>
    </w:p>
    <w:p>
      <w:pPr>
        <w:spacing w:after="0" w:line="2" w:lineRule="exact"/>
        <w:rPr>
          <w:rFonts w:ascii="Arial" w:cs="Arial" w:eastAsia="Arial" w:hAnsi="Arial"/>
          <w:sz w:val="16"/>
          <w:szCs w:val="16"/>
          <w:color w:val="auto"/>
        </w:rPr>
      </w:pPr>
    </w:p>
    <w:p>
      <w:pPr>
        <w:ind w:left="580" w:right="28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14, 2008, filed by Marsico.</w:t>
      </w:r>
    </w:p>
    <w:p>
      <w:pPr>
        <w:ind w:left="580" w:right="10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The information provided is based upon a Schedule 13G, dated February 14, 2008, filed by Morgan Stanley.</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Wynn Resorts’ 2002 Stock Plan and subject to a Restricted Stock Agreement which provides such grant will vest on July 31, 2012; (ii) 26,250 shares owned by Linda Chen, as trustee; and (iii) 48,750 shares pledged by Ms. Chen to secure a loan made to her.</w:t>
      </w:r>
    </w:p>
    <w:p>
      <w:pPr>
        <w:spacing w:after="0" w:line="1" w:lineRule="exact"/>
        <w:rPr>
          <w:rFonts w:ascii="Arial" w:cs="Arial" w:eastAsia="Arial" w:hAnsi="Arial"/>
          <w:sz w:val="18"/>
          <w:szCs w:val="18"/>
          <w:color w:val="auto"/>
        </w:rPr>
      </w:pPr>
    </w:p>
    <w:p>
      <w:pPr>
        <w:jc w:val="both"/>
        <w:ind w:left="580" w:right="20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Wynn Resorts’ common stock granted pursuant to Wynn Resorts’ 2002 Stock Incentive Plan; and (ii) 2,500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120" w:hanging="572"/>
        <w:spacing w:after="0" w:line="300" w:lineRule="auto"/>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(i) 60,000 shares of restricted stock granted pursuant to Wynn Resorts’ 2002 Stock Plan and subject to a Restricted Stock Agreement which provides that such grant will vest 30,000 shares each on December 15, 2008, and 2009 or upon the earlier death or disability of Mr. Kramer; (ii) 50,000 shares subject to an immediately exercisable option to purchase Wynn Resorts’ common stock granted pursuant to Wynn Resorts’ 2002 Stock Incentive Plan; and (iii) 7,615 shares of Wynn Resorts’ common stock held by Mr. Kramer’s children, for which Mr. Kramer’s spouse is the custodian and</w:t>
      </w:r>
    </w:p>
    <w:p>
      <w:pPr>
        <w:spacing w:after="0" w:line="1" w:lineRule="exact"/>
        <w:rPr>
          <w:rFonts w:ascii="Arial" w:cs="Arial" w:eastAsia="Arial" w:hAnsi="Arial"/>
          <w:sz w:val="15"/>
          <w:szCs w:val="15"/>
          <w:color w:val="auto"/>
        </w:rPr>
      </w:pPr>
    </w:p>
    <w:p>
      <w:pPr>
        <w:ind w:left="580" w:right="180"/>
        <w:spacing w:after="0" w:line="250" w:lineRule="auto"/>
        <w:rPr>
          <w:rFonts w:ascii="Arial" w:cs="Arial" w:eastAsia="Arial" w:hAnsi="Arial"/>
          <w:sz w:val="15"/>
          <w:szCs w:val="15"/>
          <w:color w:val="auto"/>
        </w:rPr>
      </w:pPr>
      <w:r>
        <w:rPr>
          <w:rFonts w:ascii="Arial" w:cs="Arial" w:eastAsia="Arial" w:hAnsi="Arial"/>
          <w:sz w:val="18"/>
          <w:szCs w:val="18"/>
          <w:color w:val="auto"/>
        </w:rPr>
        <w:t>Mr. Kramer disclaims beneficial ownership. Upon Mr. Kramer’s departure from Wynn Resorts on March 31, 2008, his restricted stock will be forfeited and will not vest.</w:t>
      </w:r>
    </w:p>
    <w:p>
      <w:pPr>
        <w:jc w:val="both"/>
        <w:ind w:left="580" w:right="20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(i) 22,500 shares subject to an immediately exercisable option to purchase Wynn Resorts’ common stock granted pursuant to Wynn Resorts’ 2002 Stock Incentive Plan; and (ii) 5,000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140" w:hanging="572"/>
        <w:spacing w:after="0" w:line="281"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(i) 120,000 shares of Wynn Resorts’ common stock held by Texas Gulf Partners in which Mr. Moran is a partner; and (ii) 500 shares of Wynn Resorts’ common stock held by the Carol Moran Trust for the benefit of Mr. Moran’s wife, for which Mr. Moran disclaims beneficial ownership.</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23,970,930 shares of Wynn Resorts’ common stock registered in the name of Mrs. Wynn’s husband, Stephen A. Wynn.</w:t>
      </w:r>
    </w:p>
    <w:p>
      <w:pPr>
        <w:spacing w:after="0" w:line="9"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(i) 332,923 shares of Wynn Resorts’ common stock held in trust for the benefit of Mr. Schorr and his wife (including 50,000 shares of restricted stock granted pursuant to Wynn Resorts’ 2002 Stock Plan and subject to a Restricted Stock Agreement which provides such grant will vest 25,000 shares on each of December 15, 2008 and 2009); (ii) 50,000 shares subject to an immediately exercisable option to purchase Wynn Resorts’ common stock granted pursuant to Wynn Resorts’ 2002 Stock Incentive Plan; and (iii) 150,000 shares pledged by Mr. Schorr to secure a loan made to him.</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500 shares of Wynn Resorts’ common stock held by Mr. Strzemp’s mother, for which Mr. Strzemp disclaims beneficial ownership.</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Historically, the Audit Committee of the Board of Directors has pre-approved or ratified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classified as pre-approved (a) employment of executive officers and director compensation if the compensation is required to be reported under Item 402 of the Securities and Exchange Commission’s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w:t>
      </w:r>
    </w:p>
    <w:p>
      <w:pPr>
        <w:spacing w:after="0" w:line="12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Mr. Wynn, Aruze USA and Baron Asset Fund are parties to a stockholders agreement that establishes various rights among</w:t>
      </w:r>
      <w:r>
        <w:rPr>
          <w:rFonts w:ascii="Arial" w:cs="Arial" w:eastAsia="Arial" w:hAnsi="Arial"/>
          <w:sz w:val="16"/>
          <w:szCs w:val="16"/>
          <w:b w:val="1"/>
          <w:bCs w:val="1"/>
          <w:color w:val="auto"/>
        </w:rPr>
        <w:t xml:space="preserve"> </w:t>
      </w:r>
      <w:r>
        <w:rPr>
          <w:rFonts w:ascii="Arial" w:cs="Arial" w:eastAsia="Arial" w:hAnsi="Arial"/>
          <w:sz w:val="16"/>
          <w:szCs w:val="16"/>
          <w:color w:val="auto"/>
        </w:rPr>
        <w:t>Mr. Wynn, Aruze USA and Baron Asset Fund with respect to the ownership and management of Wynn Resorts. These rights include, but are not limited to, preemptive rights, rights of first refusal, tag-along rights and certain other restrictions on the transfer of the shares of Wynn Resorts’ common stock owned by the parties to the stockholders agreement. Aruze USA is a wholly owned subsidiary of Aruze Corp., a corporation in which one of Wynn Resorts’ directors, Mr. Okada, owns a controlling interest and where he serves as Chairman. Mr. Okada currently serves as Chairman of Aruze USA.</w:t>
      </w:r>
    </w:p>
    <w:p>
      <w:pPr>
        <w:spacing w:after="0" w:line="11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its options to Wynn Resorts.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remainder of which will be designated by Aruze USA. In addition, in November 2006, this agreement was amended to require the written consent of both Mr. Wynn and Aruze prior to either party selling any shares they own.</w:t>
      </w:r>
    </w:p>
    <w:p>
      <w:pPr>
        <w:spacing w:after="0" w:line="143" w:lineRule="exact"/>
        <w:rPr>
          <w:sz w:val="20"/>
          <w:szCs w:val="20"/>
          <w:color w:val="auto"/>
        </w:rPr>
      </w:pPr>
    </w:p>
    <w:p>
      <w:pPr>
        <w:ind w:right="240" w:firstLine="456"/>
        <w:spacing w:after="0" w:line="275" w:lineRule="auto"/>
        <w:rPr>
          <w:sz w:val="20"/>
          <w:szCs w:val="20"/>
          <w:color w:val="auto"/>
        </w:rPr>
      </w:pPr>
      <w:r>
        <w:rPr>
          <w:rFonts w:ascii="Arial" w:cs="Arial" w:eastAsia="Arial" w:hAnsi="Arial"/>
          <w:sz w:val="16"/>
          <w:szCs w:val="16"/>
          <w:color w:val="auto"/>
        </w:rPr>
        <w:t>On November 13, 2006, the Board of Directors approved an amendment to Wynn Resorts’ Bylaws that exempts future acquisitions of Wynn Resorts’ shares by either Mr. Wynn or Aruze USA, Inc. from Nevada’s control share acquisition statutes. The Nevada acquisition of controlling interest statutes require stockholder approval in order to exercise voting rights in connection with any acquisition of a controlling interest in certain Nevada corporations unless the</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articles of incorporation or bylaws of the corporation in effect 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acquisition of a controlling interest by certain acquiring persons provide that these statutes do not apply to the corporation or the acquisition specifically by types of existing or future stockholders. The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the voting power of Wynn Resorts in the election of directors, without requiring a resolution of the stockholders of Wynn Resorts granting voting rights in the control shares acquired.</w:t>
      </w:r>
    </w:p>
    <w:p>
      <w:pPr>
        <w:spacing w:after="0" w:line="18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Art Gallery. </w:t>
      </w:r>
      <w:r>
        <w:rPr>
          <w:rFonts w:ascii="Arial" w:cs="Arial" w:eastAsia="Arial" w:hAnsi="Arial"/>
          <w:sz w:val="16"/>
          <w:szCs w:val="16"/>
          <w:color w:val="auto"/>
        </w:rPr>
        <w:t>At the opening of Wynn Las Vegas, the resort included an art gallery that displayed rare paintings from The Wynn Collection, a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of fine art owned by Mr. and Mrs. Wynn. Prior to June 30, 2005, Wynn Resorts leased The Wynn Collection from Mr. and Mrs. Wynn for an annual fee of one dollar ($1), and Wynn Resorts was entitled to retain all revenues from the public display of The Wynn Collection and the related merchandising revenues. Wynn Resorts was responsible for all expenses incurred in exhibiting and safeguarding The Wynn Collection, including the cost of insurance (including terrorism insurance) and taxes relating to the rental of The Wynn Collection. On June 30, 2005, this lease arrangement was restructured at the request of Wynn Resorts.</w:t>
      </w:r>
    </w:p>
    <w:p>
      <w:pPr>
        <w:ind w:right="40"/>
        <w:spacing w:after="0" w:line="302" w:lineRule="auto"/>
        <w:rPr>
          <w:sz w:val="20"/>
          <w:szCs w:val="20"/>
          <w:color w:val="auto"/>
        </w:rPr>
      </w:pPr>
      <w:r>
        <w:rPr>
          <w:rFonts w:ascii="Arial" w:cs="Arial" w:eastAsia="Arial" w:hAnsi="Arial"/>
          <w:sz w:val="16"/>
          <w:szCs w:val="16"/>
          <w:color w:val="auto"/>
        </w:rPr>
        <w:t>However, the material economic terms of the leasing relationship applicable to Mr. and Mrs. Wynn remained unchanged. In February 2006, Wynn Resorts closed the art gallery and converted the gallery location into additional retail stores. The artwork in the gallery has been relocated to different venues within Wynn Las Vegas. Wynn Resorts continues to be responsible for all expenses in exhibiting and safeguarding The Wynn Collection.</w:t>
      </w:r>
    </w:p>
    <w:p>
      <w:pPr>
        <w:spacing w:after="0" w:line="10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color w:val="auto"/>
        </w:rPr>
        <w:t xml:space="preserve">Surname and Rights of Publicity Agreements. </w:t>
      </w:r>
      <w:r>
        <w:rPr>
          <w:rFonts w:ascii="Arial" w:cs="Arial" w:eastAsia="Arial" w:hAnsi="Arial"/>
          <w:sz w:val="18"/>
          <w:szCs w:val="18"/>
          <w:color w:val="auto"/>
        </w:rPr>
        <w:t>On August 6, 2004, Wynn Holdings entered into agreements with Mr. Wynn that confirm and clarify</w:t>
      </w:r>
      <w:r>
        <w:rPr>
          <w:rFonts w:ascii="Arial" w:cs="Arial" w:eastAsia="Arial" w:hAnsi="Arial"/>
          <w:sz w:val="18"/>
          <w:szCs w:val="18"/>
          <w:b w:val="1"/>
          <w:bCs w:val="1"/>
          <w:color w:val="auto"/>
        </w:rPr>
        <w:t xml:space="preserve"> </w:t>
      </w:r>
      <w:r>
        <w:rPr>
          <w:rFonts w:ascii="Arial" w:cs="Arial" w:eastAsia="Arial" w:hAnsi="Arial"/>
          <w:sz w:val="18"/>
          <w:szCs w:val="18"/>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4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Villa Lease. </w:t>
      </w:r>
      <w:r>
        <w:rPr>
          <w:rFonts w:ascii="Arial" w:cs="Arial" w:eastAsia="Arial" w:hAnsi="Arial"/>
          <w:sz w:val="16"/>
          <w:szCs w:val="16"/>
          <w:color w:val="auto"/>
        </w:rPr>
        <w:t>On December 29, 2004, we entered into an agreement with Mr. Wynn for the lease of a villa suite in the Wynn Las Vegas resort to Mr. and</w:t>
      </w:r>
      <w:r>
        <w:rPr>
          <w:rFonts w:ascii="Arial" w:cs="Arial" w:eastAsia="Arial" w:hAnsi="Arial"/>
          <w:sz w:val="16"/>
          <w:szCs w:val="16"/>
          <w:b w:val="1"/>
          <w:bCs w:val="1"/>
          <w:color w:val="auto"/>
        </w:rPr>
        <w:t xml:space="preserve"> </w:t>
      </w:r>
      <w:r>
        <w:rPr>
          <w:rFonts w:ascii="Arial" w:cs="Arial" w:eastAsia="Arial" w:hAnsi="Arial"/>
          <w:sz w:val="16"/>
          <w:szCs w:val="16"/>
          <w:color w:val="auto"/>
        </w:rPr>
        <w:t>Mrs. Wynn as their personal residence. Lease payments under this agreement commenced on July 1, 2005, the date Mr. and Mrs. Wynn moved into the villa. The term of the agreement continues from year to year unless terminated on at least 90 days’ written notice prior to the end of any lease year, or upon the death of Mr. Wynn. Based on third party appraisals, the Audit Committee determined the rent for each year in the three-year period commencing July 1, 2005 and ending June 30, 2008 to be $580,000. Services for, and maintenance of, the suite are included in the rental, with certain exceptions.</w:t>
      </w:r>
    </w:p>
    <w:p>
      <w:pPr>
        <w:spacing w:after="0" w:line="10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Aircraft Arrangements. </w:t>
      </w:r>
      <w:r>
        <w:rPr>
          <w:rFonts w:ascii="Arial" w:cs="Arial" w:eastAsia="Arial" w:hAnsi="Arial"/>
          <w:sz w:val="18"/>
          <w:szCs w:val="18"/>
          <w:color w:val="auto"/>
        </w:rPr>
        <w:t>Messrs. Wynn and Schorr, and Mr. Kramer, until March 31, 2008 when he will leave the employ of Wynn Resorts, have time-sharing agreements with Las Vegas Jet, LLC, a wholly owned indirect subsidiary of Wynn Resorts, covering their personal use of Wynn Resorts-owned aircraft. These time-share agreements require Wynn Resorts to include as taxable compensation of such executive, his and his family’s share of the direct costs that Wynn Resorts incurs in operating the aircraft, up to an amount determined by using the Internal Revenue Service Standard Industry Fare Level (SIFL) tables. During 2007, the following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amounts were included in the executives’ taxable compensation pursuant to these timesharing arrangements: Stephen A. Wynn $145,739; Mr. Kramer $0; and Mr. Schorr $76,739. In the event that direct costs in operating the aircraft exceed the amounts determined by using the SIFL method, such additional costs are paid for by Wynn Resorts. Pursuant to the provisions of the American Jobs Creation Act of 2004, such additional costs incurred after October 22, 2004 are not eligible to be claimed as a deduction for United States federal income tax purposes. $3,740,382 and $1,372,065 were disallowed in 2007 and 2006, respectively.</w:t>
      </w:r>
    </w:p>
    <w:p>
      <w:pPr>
        <w:spacing w:after="0" w:line="9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Reimbursable Costs. </w:t>
      </w:r>
      <w:r>
        <w:rPr>
          <w:rFonts w:ascii="Arial" w:cs="Arial" w:eastAsia="Arial" w:hAnsi="Arial"/>
          <w:sz w:val="18"/>
          <w:szCs w:val="18"/>
          <w:color w:val="auto"/>
        </w:rPr>
        <w:t>Wynn Resorts periodically incurs costs on Mr. Wynn’s and Mr. Schorr’s behalf (and on Mr. Kramer’s behalf until March 31, 2008</w:t>
      </w:r>
      <w:r>
        <w:rPr>
          <w:rFonts w:ascii="Arial" w:cs="Arial" w:eastAsia="Arial" w:hAnsi="Arial"/>
          <w:sz w:val="18"/>
          <w:szCs w:val="18"/>
          <w:b w:val="1"/>
          <w:bCs w:val="1"/>
          <w:color w:val="auto"/>
        </w:rPr>
        <w:t xml:space="preserve"> </w:t>
      </w:r>
      <w:r>
        <w:rPr>
          <w:rFonts w:ascii="Arial" w:cs="Arial" w:eastAsia="Arial" w:hAnsi="Arial"/>
          <w:sz w:val="18"/>
          <w:szCs w:val="18"/>
          <w:color w:val="auto"/>
        </w:rPr>
        <w:t>when he will leave the employ of Wynn Resorts), including costs with respect to personal use of the corporate aircraft, household employees, personal legal fees, construction work and other personal purchases and services. Mr. Wynn and other officers have deposits with Wynn Resorts to prepay any such items. These deposits are replenished on an ongoing basis as needed. At December 31, 2007, Mr. Wynn, Mr. Schorr and Mr. Kramer had a credit balance with Wynn Resorts of $305,559, $42,660 and $8,674, respectively.</w:t>
      </w:r>
    </w:p>
    <w:p>
      <w:pPr>
        <w:spacing w:after="0" w:line="139"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Aruze Slot Purchase. </w:t>
      </w:r>
      <w:r>
        <w:rPr>
          <w:rFonts w:ascii="Arial" w:cs="Arial" w:eastAsia="Arial" w:hAnsi="Arial"/>
          <w:sz w:val="16"/>
          <w:szCs w:val="16"/>
          <w:color w:val="auto"/>
        </w:rPr>
        <w:t>In 2007, Wynn Macau, an affiliate of Wynn Resorts, purchased 15 slot machines, along with related parts and services, from Aruze</w:t>
      </w:r>
      <w:r>
        <w:rPr>
          <w:rFonts w:ascii="Arial" w:cs="Arial" w:eastAsia="Arial" w:hAnsi="Arial"/>
          <w:sz w:val="16"/>
          <w:szCs w:val="16"/>
          <w:b w:val="1"/>
          <w:bCs w:val="1"/>
          <w:color w:val="auto"/>
        </w:rPr>
        <w:t xml:space="preserve"> </w:t>
      </w:r>
      <w:r>
        <w:rPr>
          <w:rFonts w:ascii="Arial" w:cs="Arial" w:eastAsia="Arial" w:hAnsi="Arial"/>
          <w:sz w:val="16"/>
          <w:szCs w:val="16"/>
          <w:color w:val="auto"/>
        </w:rPr>
        <w:t>USA, a corporation for which one of Wynn Resorts’ directors, Mr. Okada, currently serves as Chairman and Treasurer, for use at Wynn Macau. The Aruze machines were purchased in an arm’s length transaction at market prices for a total purchase price of approximately $266,000.</w:t>
      </w:r>
    </w:p>
    <w:p>
      <w:pPr>
        <w:spacing w:after="0" w:line="97"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have entered into agreements with TransOrbit, a travel agency affiliated with Aruze Corp.,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Aruze Corp.</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Wynn Resorts (or its subsidiaries) employs (a) Andrew Pascal, the nephew of Mr. and Mrs. Wynn, as President of Wynn Las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Vegas; (b) Eddie Tseng, the spouse of Ms. Chen, as Senior Vice President of Customer Development of Worldwide Wynn, LLC; (c) Peter Early, the son-in-law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and Mrs. Wynn, as Vice President—Human Resources of Wynn Las Vegas; and (d) Michael Pascal, the father of Andrew Pascal and brother of Mrs. Wynn,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Senior Executive Host of Wynn Las Vegas, and Mr. Michael Pascal’s wife, Mary Ann Pascal, as a Host at Wynn Las Vegas. The Audit Committee of Wynn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Resorts approved each such employment arrangement in advance and determined that compensation was at (or below) levels paid to non-family members. 2007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total compensation paid to the above named individuals included the following amounts calculated in the same manner as the Summary Compensation values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presented for named executive officers: (a) to Andrew Pascal, base salary and bonus of $2,990,385, equity based compensation expense of $954,284,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$157,828, (b) to Eddie Tseng, base salary and bonus of $475,000, equity based compensation expense of $58,685, and other compensation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$4,975, (c) to Peter Early, base salary and bonus of $265,748, equity based compensation expense of $67,900, and other compensation of $31,278, (d) to Michael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Pascal, base salary and bonus of $157,452, equity based compensation expense of $100,731, and other compensation of $1,920, and (e) to Mary Ann Pascal, base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salary and bonus of $257,582, equity based compensation expense of $65,752, and other compensation of $24,000. Wynn Resorts anticipates that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individuals, other than Mr. Early who will leave Wynn Las Vegas in June 2008, will continue to serve in their respective positions during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terms and conditions detailed in this prospectus, we will accept for exchange old notes that are properly tendered prior to the expiration date and</w:t>
      </w:r>
    </w:p>
    <w:p>
      <w:pPr>
        <w:spacing w:after="0" w:line="5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not withdrawn as permitted below. When we refer to the term expiration date, we mean 5:00 p.m., New York City time, , 2008. We may, however, extend the period of time that the exchange offer is open. In such event, the term expiration date means the latest time and date to which the exchange offer is extended.</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the date of this prospectus, $400,000,000 aggregate principal amount of old notes are outstanding. We are sending this prospectus, together with the letter of transmittal, to all holders of old notes that we are aware of on the date of this prospectus.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Old notes tendered in the exchange offer must be in denominations of principal amount of $1,000 and any integral multiple thereof.</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of the exchange offer specified under “—Conditions to the Exchange Offer.”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90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the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w:t>
      </w:r>
    </w:p>
    <w:p>
      <w:pPr>
        <w:spacing w:after="0" w:line="1" w:lineRule="exact"/>
        <w:rPr>
          <w:sz w:val="20"/>
          <w:szCs w:val="20"/>
          <w:color w:val="auto"/>
        </w:rPr>
      </w:pPr>
    </w:p>
    <w:p>
      <w:pPr>
        <w:jc w:val="both"/>
        <w:ind w:right="580"/>
        <w:spacing w:after="0" w:line="287" w:lineRule="auto"/>
        <w:rPr>
          <w:sz w:val="20"/>
          <w:szCs w:val="20"/>
          <w:color w:val="auto"/>
        </w:rPr>
      </w:pPr>
      <w:r>
        <w:rPr>
          <w:rFonts w:ascii="Arial" w:cs="Arial" w:eastAsia="Arial" w:hAnsi="Arial"/>
          <w:sz w:val="15"/>
          <w:szCs w:val="15"/>
          <w:color w:val="auto"/>
        </w:rPr>
        <w:t>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registration statement containing this prospectus is declared effective, and (ii) 180 days following the 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exchange offer expires, we will make this prospectus available to any broker-dealer for use in connection with any such resale. See “Plan of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 See “—Conditions to the Exchange Offer.” For purposes of the exchange offer, we will be deemed to have accepted properly tendered old notes for exchange if and when we give oral (confirmed in writing) or written notice to the exchange agent.</w:t>
      </w:r>
    </w:p>
    <w:p>
      <w:pPr>
        <w:spacing w:after="0" w:line="10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received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37"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one of the addresses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acceptance of such old notes:</w:t>
      </w:r>
    </w:p>
    <w:p>
      <w:pPr>
        <w:spacing w:after="0" w:line="4"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qualification of the indenture under the Trust Indenture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 relating to the new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making or other trading activities. Under the registration rights agreement, we have agreed that for a period of up to the later of (i) 180 days following the 30</w:t>
      </w:r>
      <w:r>
        <w:rPr>
          <w:rFonts w:ascii="Arial" w:cs="Arial" w:eastAsia="Arial" w:hAnsi="Arial"/>
          <w:sz w:val="20"/>
          <w:szCs w:val="20"/>
          <w:color w:val="auto"/>
          <w:vertAlign w:val="superscript"/>
        </w:rPr>
        <w:t>th</w:t>
      </w:r>
    </w:p>
    <w:p>
      <w:pPr>
        <w:spacing w:after="0" w:line="14" w:lineRule="exact"/>
        <w:rPr>
          <w:sz w:val="20"/>
          <w:szCs w:val="20"/>
          <w:color w:val="auto"/>
        </w:rPr>
      </w:pPr>
    </w:p>
    <w:p>
      <w:pPr>
        <w:ind w:right="180"/>
        <w:spacing w:after="0" w:line="214" w:lineRule="auto"/>
        <w:rPr>
          <w:sz w:val="20"/>
          <w:szCs w:val="20"/>
          <w:color w:val="auto"/>
        </w:rPr>
      </w:pPr>
      <w:r>
        <w:rPr>
          <w:rFonts w:ascii="Arial" w:cs="Arial" w:eastAsia="Arial" w:hAnsi="Arial"/>
          <w:sz w:val="18"/>
          <w:szCs w:val="18"/>
          <w:color w:val="auto"/>
        </w:rPr>
        <w:t>business day after the registration statement containing this prospectus is declared effective, and (ii) 180 days following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after the exchange offer expires, we will make this prospectus available to any broker-dealer for use in connection with any such resale.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NEW NOTES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You can find the definitions of certain terms used in this description under the subheading “Certain Definitions.” 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will issue the new notes under an indenture, dated as of December 14, 2004, among the Issuers, as joint and several obligors, the Guarantors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U.S. Bank National Association, as trustee (the “trustee”), as amended by a first supplemental indenture, dated as of June 29, 2005, among the Issuers,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Guarantors and the trustee, and a second supplemental indenture, dated as of July 29, 2005, among the Issuers, the Guarantors and the trustee (collectively,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Indenture</w:t>
      </w:r>
      <w:r>
        <w:rPr>
          <w:rFonts w:ascii="Arial" w:cs="Arial" w:eastAsia="Arial" w:hAnsi="Arial"/>
          <w:sz w:val="15"/>
          <w:szCs w:val="15"/>
          <w:color w:val="auto"/>
        </w:rPr>
        <w:t>”). This is the same indenture under which the old notes, the original 2004 notes and the registered 2004 notes were issued. The terms of the new notes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will include those stated in the Indenture and those made part of the Indenture by reference to the Trust Indenture Act of 1939, as amended. The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Documents referred to under the caption “—Security” define the terms of the collateral that will secure the notes and the Note Guarantees.</w:t>
      </w:r>
    </w:p>
    <w:p>
      <w:pPr>
        <w:spacing w:after="0" w:line="16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5"/>
          <w:szCs w:val="15"/>
          <w:color w:val="auto"/>
        </w:rPr>
        <w:t>On December 14, 2004, we issued and sold $1.3 billion aggregate principal amount of original 2004 notes, which we subsequently offered to exchange for exchange notes substantially identical to the original 2004 notes, except that the registered 2004 notes had been registered under the Securities Act. The exchange offer for the original 2004 notes closed on June 29, 2005. The exchange offer described in this prospectus applies only to the $400,000,000 aggregate principal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amount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on November 6, 2007.</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old notes are, and, upon consummation of the exchange offer, the new notes will be, secured by the Collateral described below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original 2004 notes and the registered 2004 notes, and the old notes vote, and upon consummation of the exchange offer the new notes will vote, on any matter submitted to noteholders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Notes Versus the Old Notes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registration rights and liquidated damages provisions relating to the old notes do not apply to the new notes.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Notes and the Note Guarantees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incorporated to serve as a corporate co-issuer of the Second Mortgage Notes, and will serve as a corporate co-issuer of the new notes in order to facilitate the exchange offer.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9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$400,000,000;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mature on December 1, 2014;</w:t>
      </w:r>
    </w:p>
    <w:p>
      <w:pPr>
        <w:spacing w:after="0" w:line="90" w:lineRule="exact"/>
        <w:rPr>
          <w:rFonts w:ascii="Arial" w:cs="Arial" w:eastAsia="Arial" w:hAnsi="Arial"/>
          <w:sz w:val="18"/>
          <w:szCs w:val="18"/>
          <w:color w:val="auto"/>
        </w:rPr>
      </w:pPr>
    </w:p>
    <w:p>
      <w:pPr>
        <w:ind w:left="900" w:right="320" w:hanging="446"/>
        <w:spacing w:after="0" w:line="22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notes offered hereby, payable in arrears each June 1 and December 1;</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December 1, 2009, at a premium declining ratably to par;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notes will be guaranteed by certain of Wynn Las Vegas’ direct subsidiaries. These subsidiaries are:</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currently use for employee parking and other ancillary uses;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 and</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Kevyn, LLC, which owns a 50% interest in PW Automotive, LLC, which operates the Ferrari and Maserati automotive dealership inside the Wynn Las Vegas hotel and casino resort.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the date of this prospectus, Wynn Las Vegas’ only subsidiary (other than Wynn Capital) that is not a Guarantor is the Completion Guarantor, which is an Unrestricted Subsidiary of Wynn Las Vegas.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Security and Ranking. </w:t>
      </w:r>
      <w:r>
        <w:rPr>
          <w:rFonts w:ascii="Arial" w:cs="Arial" w:eastAsia="Arial" w:hAnsi="Arial"/>
          <w:sz w:val="18"/>
          <w:szCs w:val="18"/>
          <w:color w:val="auto"/>
        </w:rPr>
        <w:t>The new notes and the Guarantees offered hereby:</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will be secured, in the case of the notes, by a perfected first priority lien on (1) substantially all of the existing and future assets of Wynn Las Vegas including the Projects, the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their terms or by law and any proceeds held in a secured account at Wynn Las Vegas drawn or incurred under the Credit Agreement from time to time, (2) all amounts on deposit from time to time in the Completion Guarantor’s completion guarantee account and (3) the pledged Equity Interests held by Wynn Resorts Holdings in Wynn Las Vegas;</w:t>
      </w:r>
    </w:p>
    <w:p>
      <w:pPr>
        <w:spacing w:after="0" w:line="39" w:lineRule="exact"/>
        <w:rPr>
          <w:rFonts w:ascii="Arial" w:cs="Arial" w:eastAsia="Arial" w:hAnsi="Arial"/>
          <w:sz w:val="16"/>
          <w:szCs w:val="16"/>
          <w:color w:val="auto"/>
        </w:rPr>
      </w:pPr>
    </w:p>
    <w:p>
      <w:pPr>
        <w:ind w:left="900" w:right="140" w:hanging="446"/>
        <w:spacing w:after="0" w:line="255"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Wynn Las Vegas’ water entertainment features and certain specified Phase I Key Project Documents, but excluding the Aircraft Assets and gaming and liquor licenses and other assets in which the grant of a security interest is prohibited by their terms or by law;</w:t>
      </w:r>
    </w:p>
    <w:p>
      <w:pPr>
        <w:spacing w:after="0" w:line="61"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will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Wynn Las Vegas’ borrowings under the Credit Agreement, which borrowings will be secured by a perfected first priority lien on the same assets as are subject to the lien securing the notes and the Guarantees (subject to certain exceptions);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trustee has entered into the Intercreditor Agreement to govern the relations between the noteholders,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notes and the Guarantees under specified circumstances. See “Intercreditor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Indenture provides that if (i) the lenders under the Credit Agreement release their first priority security interest in all of the Collateral, (ii) the Phase II Completion Date has occurred, and (iii)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noteholders’ first priority security interest in all of the Collateral will also be released. See “—Security—Release of Collateral.”</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Indenture provides that the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notes then outstanding.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Issuers will issue up to $400,000,000 in aggregate principal amount of new notes in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old notes, the original 2004 notes, the registered 2004 notes and the new notes and any additional notes subsequently issued under the Indenture will (subject to the qualifications expressed in the third paragraph of this “Description of the New Notes”) be treated as a single class for all purposes under the Indenture, including, without limitation, waivers, amendments, redemptions and offers to purchase. The Issuers will issue new notes in denominations of $1,000 and integral multiples of $1,000. The new notes will mature on December 1, 2014.</w:t>
      </w:r>
    </w:p>
    <w:p>
      <w:pPr>
        <w:spacing w:after="0" w:line="145" w:lineRule="exact"/>
        <w:rPr>
          <w:sz w:val="20"/>
          <w:szCs w:val="20"/>
          <w:color w:val="auto"/>
        </w:rPr>
      </w:pPr>
    </w:p>
    <w:p>
      <w:pPr>
        <w:ind w:right="80" w:firstLine="456"/>
        <w:spacing w:after="0" w:line="231" w:lineRule="auto"/>
        <w:rPr>
          <w:sz w:val="20"/>
          <w:szCs w:val="20"/>
          <w:color w:val="auto"/>
        </w:rPr>
      </w:pPr>
      <w:r>
        <w:rPr>
          <w:rFonts w:ascii="Arial" w:cs="Arial" w:eastAsia="Arial" w:hAnsi="Arial"/>
          <w:sz w:val="18"/>
          <w:szCs w:val="18"/>
          <w:color w:val="auto"/>
        </w:rPr>
        <w:t xml:space="preserve">Interest on the new notes will accrue at the rate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June 1 and December 1, with the first interest payment date being June 1, 2008. Interest on overdue principal and interest and Liquidated Damages, if any, will accrue at a rate that is 1% higher than the then applicable interest rate on the new notes. The Issuers will make each interest payment to the holders of record on the immediately preceding May 15 and November 15.</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Interest on the new notes accrues from the date of original issuance or, if interest has already been paid, from the date it was most recently paid. Interest will be computed on the basis of a 360-day year comprised of twelve 30-day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 holder of notes has given wire transfer instructions to the Issuers, the Issuers will pay all principal, interest and premium and Liquidated Damages, if any, on that holder’s notes in accordance with those instructions. All other payments on the notes will be made at the office or agency of the paying agent and registrar within the City and State of New York unless the Issuers elect to make interest payments by check mailed to the noteholders at their addresses set forth in the register of 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notes, and either or both of the Issuers or any of their respective Subsidiaries may act as paying agent or registrar.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Notes.” Federal and state statutes allow courts, under specific circumstances, to void the guarantees, and require noteholders to return payments received from us or the Guarantors.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20" w:firstLine="421"/>
        <w:spacing w:after="0" w:line="306" w:lineRule="auto"/>
        <w:tabs>
          <w:tab w:leader="none" w:pos="1579"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Net Proceeds of such sale or other disposition are applied in accordance with the applicable provisions of the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54"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 provisions of the Indenture;</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“—Repurchase at the Option of Holders—Asset Sale” and “—Certain Covenants—Designation of Restricted and Unrestricted Subsidiaries.”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the release of the Guarantee by Wynn Golf pursuant to the provisions described above, the security interests of the noteholders in the Golf Course Land and certain portions of the Golf Course Land owned by Wynn Golf may be released under the circumstances described below under the captions “— Security—Release of Golf Course Land,” “—Release of Portions of the Golf Course Land,” and “—Release of Homesite Acreage.”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Notes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secured by, among other things:</w:t>
      </w:r>
    </w:p>
    <w:p>
      <w:pPr>
        <w:spacing w:after="0" w:line="51" w:lineRule="exact"/>
        <w:rPr>
          <w:sz w:val="20"/>
          <w:szCs w:val="20"/>
          <w:color w:val="auto"/>
        </w:rPr>
      </w:pPr>
    </w:p>
    <w:p>
      <w:pPr>
        <w:ind w:left="460" w:firstLine="443"/>
        <w:spacing w:after="0" w:line="254"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Phase I Land, all improvements constructed as part of the Phase I Project, the Phase II Land, all improvements constructed as part of the Phase II Project, all other real property held by Wynn Las Vegas, certain personal property, including items of furniture, fixture and equipment located within the Projects, and the Phase I Key Project Documents to which the Issuers are party, other than gaming and liquor licenses and other assets in which the grant of a security interest is prohibited by their terms or by law and any proceeds held in a secured account at Wynn Las Vegas drawn or incurred under the Credit Agreement from time to time;</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perfected first priority security interest in the funds on deposit in the Completion Guarantee Account from time to time to support the current</w:t>
      </w:r>
    </w:p>
    <w:p>
      <w:pPr>
        <w:spacing w:after="0" w:line="38" w:lineRule="exact"/>
        <w:rPr>
          <w:sz w:val="20"/>
          <w:szCs w:val="20"/>
          <w:color w:val="auto"/>
        </w:rPr>
      </w:pPr>
    </w:p>
    <w:p>
      <w:pPr>
        <w:ind w:left="460" w:right="240"/>
        <w:spacing w:after="0" w:line="261" w:lineRule="auto"/>
        <w:rPr>
          <w:sz w:val="20"/>
          <w:szCs w:val="20"/>
          <w:color w:val="auto"/>
        </w:rPr>
      </w:pPr>
      <w:r>
        <w:rPr>
          <w:rFonts w:ascii="Arial" w:cs="Arial" w:eastAsia="Arial" w:hAnsi="Arial"/>
          <w:sz w:val="18"/>
          <w:szCs w:val="18"/>
          <w:color w:val="auto"/>
        </w:rPr>
        <w:t>$31.1 million on deposit as a guarantee by the Completion Guarantor of the completion in full of the construction and opening of the Projects, subject to disbursement pursuant to the Disbursement Agreement;</w:t>
      </w:r>
    </w:p>
    <w:p>
      <w:pPr>
        <w:spacing w:after="0" w:line="57" w:lineRule="exact"/>
        <w:rPr>
          <w:sz w:val="20"/>
          <w:szCs w:val="20"/>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Completion Guarantor, Las Vegas Jet, LLC, World Travel, LLC, Wynn Sunrise, LLC, Wynn Show Performers, LLC, Wynn Golf and Kevyn, LLC.</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new notes will not be secured by any such gaming or liquor licenses.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Completion Guarantee Account</w:t>
      </w:r>
      <w:r>
        <w:rPr>
          <w:rFonts w:ascii="Arial" w:cs="Arial" w:eastAsia="Arial" w:hAnsi="Arial"/>
          <w:sz w:val="16"/>
          <w:szCs w:val="16"/>
          <w:color w:val="auto"/>
        </w:rPr>
        <w:t>. Wynn Completion Guarantor, LLC, one of Wynn Las Vegas’ Unrestricted Subsidiaries (the “</w:t>
      </w:r>
      <w:r>
        <w:rPr>
          <w:rFonts w:ascii="Arial" w:cs="Arial" w:eastAsia="Arial" w:hAnsi="Arial"/>
          <w:sz w:val="16"/>
          <w:szCs w:val="16"/>
          <w:i w:val="1"/>
          <w:iCs w:val="1"/>
          <w:color w:val="auto"/>
        </w:rPr>
        <w:t>Completion Guarantor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provides a $30.0 million Completion Guarantee in favor of the trustee (for the benefit of the holders of the notes) and the administrative agent (for the benefit of the lenders under the Credit Agreement). The Completion Guarantor will, subject to a $30.0 million cap, guarantee final completion of the Phase II Project. The Completion Guarantor has deposited $31.1 million into a collateral account (the “</w:t>
      </w:r>
      <w:r>
        <w:rPr>
          <w:rFonts w:ascii="Arial" w:cs="Arial" w:eastAsia="Arial" w:hAnsi="Arial"/>
          <w:sz w:val="16"/>
          <w:szCs w:val="16"/>
          <w:i w:val="1"/>
          <w:iCs w:val="1"/>
          <w:color w:val="auto"/>
        </w:rPr>
        <w:t>Completion Guarantee Account</w:t>
      </w:r>
      <w:r>
        <w:rPr>
          <w:rFonts w:ascii="Arial" w:cs="Arial" w:eastAsia="Arial" w:hAnsi="Arial"/>
          <w:sz w:val="16"/>
          <w:szCs w:val="16"/>
          <w:color w:val="auto"/>
        </w:rPr>
        <w:t>”) to support its obligations under the Completion Guarantee. Funds in the Completion Guarantee Account must be held in cash, certain cash equivalents and/or Permitted Securities until such funds are applied to pay costs of the Phase II Project (or otherwise released in accordance with the Disbursement Agreement). The collateral agent has a first priority security interest in the funds in the Completion Guarantee Account for the benefit of the lenders under the Credit Agreement and the holders of the notes. At least $30.0 million is required to be on deposit in the Completion Guarantee Account for utilization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respect to the Phase II Project. Amounts in the Completion Guarantee Account may be applied to the costs of the Phase II Project in accordance with the Disbursement Agreement. Upon the Completion Guarantee Release Date, any amounts then remaining in the Completion Guarantee Account will be released to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51" w:lineRule="exact"/>
        <w:rPr>
          <w:sz w:val="20"/>
          <w:szCs w:val="20"/>
          <w:color w:val="auto"/>
        </w:rPr>
      </w:pPr>
    </w:p>
    <w:p>
      <w:pPr>
        <w:ind w:left="460" w:right="40" w:firstLine="443"/>
        <w:spacing w:after="0" w:line="259"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sixty-five residential lots adjacent to the Golf Course Land owned by Wynn Golf and Wynn Las Vegas’ water entertainment features, subject, in the case of the Golf Course Land, to release as described below under the caption “—Release of Golf Course Land”; and</w:t>
      </w:r>
    </w:p>
    <w:p>
      <w:pPr>
        <w:spacing w:after="0" w:line="59"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perfected first priority security interest in substantially all of the other existing and future assets (other than gaming and liquor licenses) of the Guarantors, including, the rights of any Guarantor under the Phase I Key Project Documents to which it is a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Note Guarantee of World Travel, LLC is not secured by the Aircraft Assets.</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right="20" w:firstLine="443"/>
        <w:spacing w:after="0" w:line="255"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lenders under the Credit Agreement release their first priority security interest in all of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Phase II Completion Date has occurred;</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(3) and (4) above have been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Holders’ security interest in all or substantially all of the Collateral may be released at any time with the consent of the Holders of 95% of the aggregate principal amount of notes then outstanding.</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55"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first priority security interest in the Golf Course Land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Phase II Completion Date has occurred;</w:t>
      </w:r>
    </w:p>
    <w:p>
      <w:pPr>
        <w:spacing w:after="0" w:line="90" w:lineRule="exact"/>
        <w:rPr>
          <w:rFonts w:ascii="Arial" w:cs="Arial" w:eastAsia="Arial" w:hAnsi="Arial"/>
          <w:sz w:val="18"/>
          <w:szCs w:val="18"/>
          <w:color w:val="auto"/>
        </w:rPr>
      </w:pPr>
    </w:p>
    <w:p>
      <w:pPr>
        <w:ind w:left="460" w:right="380" w:firstLine="443"/>
        <w:spacing w:after="0" w:line="357" w:lineRule="auto"/>
        <w:tabs>
          <w:tab w:leader="none" w:pos="1147" w:val="left"/>
        </w:tabs>
        <w:numPr>
          <w:ilvl w:val="0"/>
          <w:numId w:val="75"/>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(3) and (4) above have been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w:t>
      </w:r>
      <w:r>
        <w:rPr>
          <w:rFonts w:ascii="Arial" w:cs="Arial" w:eastAsia="Arial" w:hAnsi="Arial"/>
          <w:sz w:val="18"/>
          <w:szCs w:val="18"/>
          <w:i w:val="1"/>
          <w:iCs w:val="1"/>
          <w:color w:val="auto"/>
        </w:rPr>
        <w:t>Phase III Project</w:t>
      </w:r>
      <w:r>
        <w:rPr>
          <w:rFonts w:ascii="Arial" w:cs="Arial" w:eastAsia="Arial" w:hAnsi="Arial"/>
          <w:sz w:val="18"/>
          <w:szCs w:val="18"/>
          <w:color w:val="auto"/>
        </w:rPr>
        <w: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noteholders if the release of the first priority lien securing the Credit Agreement is the result of a refinancing of the Credit Agreement and as a result of which the first priority liens in favor of the administrative agent (for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benefit of the lenders under the Credit Agreement) are terminated and/or replaced with liens in favor of the lenders or holders of such refinancing Indebtedness (or any agent on their behalf). In the event that, following the automatic release of the noteholders’ security interest in the Home Site Land, Wynn Las Vegas or any of the Restricted Subsidiaries grants a security interest in any or all of the Home Site Land to secure such refinancing Indebtedness or any guarantee thereof, such Person will concurrently grant a first priority security interest on such portions of the Home Site Land in favor of the trustee for the benefit of the noteholders to secure the notes (or, if such Person is a Guarantor, its Note Guarantee of the notes). That security interest in favor of the trustee for the benefit of the noteholders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first priority liens by the noteholders.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jc w:val="both"/>
        <w:ind w:left="460" w:firstLine="443"/>
        <w:spacing w:after="0" w:line="302" w:lineRule="auto"/>
        <w:tabs>
          <w:tab w:leader="none" w:pos="1147" w:val="left"/>
        </w:tabs>
        <w:numPr>
          <w:ilvl w:val="1"/>
          <w:numId w:val="76"/>
        </w:numPr>
        <w:rPr>
          <w:rFonts w:ascii="Arial" w:cs="Arial" w:eastAsia="Arial" w:hAnsi="Arial"/>
          <w:sz w:val="15"/>
          <w:szCs w:val="15"/>
          <w:color w:val="auto"/>
        </w:rPr>
      </w:pPr>
      <w:r>
        <w:rPr>
          <w:rFonts w:ascii="Arial" w:cs="Arial" w:eastAsia="Arial" w:hAnsi="Arial"/>
          <w:sz w:val="15"/>
          <w:szCs w:val="15"/>
          <w:color w:val="auto"/>
        </w:rPr>
        <w:t>no Points of Diversion with respect to any water permits held by us or any of our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w:t>
      </w:r>
    </w:p>
    <w:p>
      <w:pPr>
        <w:spacing w:after="0" w:line="1" w:lineRule="exact"/>
        <w:rPr>
          <w:rFonts w:ascii="Arial" w:cs="Arial" w:eastAsia="Arial" w:hAnsi="Arial"/>
          <w:sz w:val="15"/>
          <w:szCs w:val="15"/>
          <w:color w:val="auto"/>
        </w:rPr>
      </w:pPr>
    </w:p>
    <w:p>
      <w:pPr>
        <w:ind w:left="460" w:right="520" w:firstLine="4"/>
        <w:spacing w:after="0" w:line="261" w:lineRule="auto"/>
        <w:tabs>
          <w:tab w:leader="none" w:pos="7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access such Points of Diversion, (B) own and operate such wells and (C) transport such water to the water features of the Project and/or the Golf Course;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86" w:lineRule="auto"/>
        <w:tabs>
          <w:tab w:leader="none" w:pos="11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720" w:hanging="25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redeemable at the Issuers’ option prior to December 1, 2009</w:t>
      </w:r>
      <w:r>
        <w:rPr>
          <w:rFonts w:ascii="Arial" w:cs="Arial" w:eastAsia="Arial" w:hAnsi="Arial"/>
          <w:sz w:val="18"/>
          <w:szCs w:val="18"/>
          <w:i w:val="1"/>
          <w:iCs w:val="1"/>
          <w:color w:val="auto"/>
        </w:rPr>
        <w:t>.</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or after December 1, 2009,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December 1 of the years indicated below, subject to the rights of holders of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8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4"/>
                <w:szCs w:val="14"/>
                <w:color w:val="auto"/>
              </w:rPr>
            </w:pPr>
          </w:p>
        </w:tc>
      </w:tr>
      <w:tr>
        <w:trPr>
          <w:trHeight w:val="210"/>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103.313%</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102.208%</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101.104%</w:t>
            </w: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r>
    </w:tbl>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920" w:right="140" w:firstLine="421"/>
        <w:spacing w:after="0" w:line="268" w:lineRule="auto"/>
        <w:tabs>
          <w:tab w:leader="none" w:pos="1588"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(ii) the price that the holder or beneficial owner paid for the notes</w:t>
      </w:r>
    </w:p>
    <w:p>
      <w:pPr>
        <w:spacing w:after="0" w:line="90" w:lineRule="exact"/>
        <w:rPr>
          <w:sz w:val="20"/>
          <w:szCs w:val="20"/>
          <w:color w:val="auto"/>
        </w:rPr>
      </w:pPr>
    </w:p>
    <w:p>
      <w:pPr>
        <w:jc w:val="both"/>
        <w:ind w:left="1500" w:right="620"/>
        <w:spacing w:after="0" w:line="259" w:lineRule="auto"/>
        <w:rPr>
          <w:sz w:val="20"/>
          <w:szCs w:val="20"/>
          <w:color w:val="auto"/>
        </w:rPr>
      </w:pPr>
      <w:r>
        <w:rPr>
          <w:rFonts w:ascii="Arial" w:cs="Arial" w:eastAsia="Arial" w:hAnsi="Arial"/>
          <w:sz w:val="18"/>
          <w:szCs w:val="18"/>
          <w:color w:val="auto"/>
        </w:rPr>
        <w:t>in either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51" w:lineRule="exact"/>
        <w:rPr>
          <w:sz w:val="20"/>
          <w:szCs w:val="20"/>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payment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w:t>
      </w:r>
      <w:r>
        <w:rPr>
          <w:rFonts w:ascii="Arial" w:cs="Arial" w:eastAsia="Arial" w:hAnsi="Arial"/>
          <w:sz w:val="16"/>
          <w:szCs w:val="16"/>
          <w:i w:val="1"/>
          <w:iCs w:val="1"/>
          <w:color w:val="auto"/>
        </w:rPr>
        <w:t>Change</w:t>
      </w:r>
      <w:r>
        <w:rPr>
          <w:rFonts w:ascii="Arial" w:cs="Arial" w:eastAsia="Arial" w:hAnsi="Arial"/>
          <w:sz w:val="16"/>
          <w:szCs w:val="16"/>
          <w:color w:val="auto"/>
        </w:rPr>
        <w:t xml:space="preserve"> </w:t>
      </w:r>
      <w:r>
        <w:rPr>
          <w:rFonts w:ascii="Arial" w:cs="Arial" w:eastAsia="Arial" w:hAnsi="Arial"/>
          <w:sz w:val="16"/>
          <w:szCs w:val="16"/>
          <w:i w:val="1"/>
          <w:iCs w:val="1"/>
          <w:color w:val="auto"/>
        </w:rPr>
        <w:t>of Control Payment Date</w:t>
      </w:r>
      <w:r>
        <w:rPr>
          <w:rFonts w:ascii="Arial" w:cs="Arial" w:eastAsia="Arial" w:hAnsi="Arial"/>
          <w:sz w:val="16"/>
          <w:szCs w:val="16"/>
          <w:color w:val="auto"/>
        </w:rPr>
        <w:t>”) specified in the notice, which date will be no earlier than 30 days and no later than 60 days from the date such notice is mailed,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40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book-entry) to each holder a note equal in principal amount to any unpurchased portion of the notes surrendered, if any. The Issuers will publicly announce the results of the Change of Control Offer on or as soon as practicable after the Change of Control Payment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00" w:firstLine="443"/>
        <w:spacing w:after="0" w:line="259"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380" w:firstLine="443"/>
        <w:spacing w:after="0" w:line="332"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2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180" w:firstLine="421"/>
        <w:spacing w:after="0" w:line="256" w:lineRule="auto"/>
        <w:tabs>
          <w:tab w:leader="none" w:pos="15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00" w:firstLine="421"/>
        <w:spacing w:after="0" w:line="370" w:lineRule="auto"/>
        <w:tabs>
          <w:tab w:leader="none" w:pos="1588" w:val="left"/>
        </w:tabs>
        <w:numPr>
          <w:ilvl w:val="1"/>
          <w:numId w:val="85"/>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and subject to other Permitted Liens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and subject to other Permitted Liens and the terms of the Intercreditor Agreement) in favor of the trustee, on behalf of the holders of notes, as security for the notes.</w:t>
      </w:r>
    </w:p>
    <w:p>
      <w:pPr>
        <w:spacing w:after="0" w:line="147"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Any Net Proceeds from Asset Sales that are not applied or invested as provided in the preceding paragraph will constitute “</w:t>
      </w:r>
      <w:r>
        <w:rPr>
          <w:rFonts w:ascii="Arial" w:cs="Arial" w:eastAsia="Arial" w:hAnsi="Arial"/>
          <w:sz w:val="15"/>
          <w:szCs w:val="15"/>
          <w:i w:val="1"/>
          <w:iCs w:val="1"/>
          <w:color w:val="auto"/>
        </w:rPr>
        <w:t>Excess Net Proceeds</w:t>
      </w:r>
      <w:r>
        <w:rPr>
          <w:rFonts w:ascii="Arial" w:cs="Arial" w:eastAsia="Arial" w:hAnsi="Arial"/>
          <w:sz w:val="15"/>
          <w:szCs w:val="15"/>
          <w:color w:val="auto"/>
        </w:rPr>
        <w:t>.”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w:t>
      </w:r>
      <w:r>
        <w:rPr>
          <w:rFonts w:ascii="Arial" w:cs="Arial" w:eastAsia="Arial" w:hAnsi="Arial"/>
          <w:sz w:val="15"/>
          <w:szCs w:val="15"/>
          <w:i w:val="1"/>
          <w:iCs w:val="1"/>
          <w:color w:val="auto"/>
        </w:rPr>
        <w:t>Excess Proceeds</w:t>
      </w:r>
      <w:r>
        <w:rPr>
          <w:rFonts w:ascii="Arial" w:cs="Arial" w:eastAsia="Arial" w:hAnsi="Arial"/>
          <w:sz w:val="15"/>
          <w:szCs w:val="15"/>
          <w:color w:val="auto"/>
        </w:rPr>
        <w:t>”),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color w:val="auto"/>
        </w:rPr>
        <w:t>Asset Sale Offer Amount</w:t>
      </w:r>
      <w:r>
        <w:rPr>
          <w:rFonts w:ascii="Arial" w:cs="Arial" w:eastAsia="Arial" w:hAnsi="Arial"/>
          <w:sz w:val="15"/>
          <w:szCs w:val="15"/>
          <w:color w:val="auto"/>
        </w:rPr>
        <w:t>”), to make an offer (an “</w:t>
      </w:r>
      <w:r>
        <w:rPr>
          <w:rFonts w:ascii="Arial" w:cs="Arial" w:eastAsia="Arial" w:hAnsi="Arial"/>
          <w:sz w:val="15"/>
          <w:szCs w:val="15"/>
          <w:i w:val="1"/>
          <w:iCs w:val="1"/>
          <w:color w:val="auto"/>
        </w:rPr>
        <w:t>Asset Sale Offer</w:t>
      </w:r>
      <w:r>
        <w:rPr>
          <w:rFonts w:ascii="Arial" w:cs="Arial" w:eastAsia="Arial" w:hAnsi="Arial"/>
          <w:sz w:val="15"/>
          <w:szCs w:val="15"/>
          <w:color w:val="auto"/>
        </w:rPr>
        <w:t xml:space="preserve">”) to all holders of notes and, to the extent required, the holders of such Pari Passu Debt to repurchase such notes and such Pari Passu Debt at an offer price equal to 100% of the principal amount of the notes and such Pari Passu Debt to be purchased </w:t>
      </w:r>
      <w:r>
        <w:rPr>
          <w:rFonts w:ascii="Arial" w:cs="Arial" w:eastAsia="Arial" w:hAnsi="Arial"/>
          <w:sz w:val="15"/>
          <w:szCs w:val="15"/>
          <w:i w:val="1"/>
          <w:iCs w:val="1"/>
          <w:color w:val="auto"/>
        </w:rPr>
        <w:t>plus</w:t>
      </w:r>
      <w:r>
        <w:rPr>
          <w:rFonts w:ascii="Arial" w:cs="Arial" w:eastAsia="Arial" w:hAnsi="Arial"/>
          <w:sz w:val="15"/>
          <w:szCs w:val="15"/>
          <w:color w:val="auto"/>
        </w:rPr>
        <w:t xml:space="preserve"> accrued and unpaid interest and Liquidated Damages, if any, on the notes and such other Pari Passu Debt to the date of repurchase, which offer price will be payable in cash. The amount of any such Excess Proceeds less the Asset Sale Offer Amount (the “</w:t>
      </w:r>
      <w:r>
        <w:rPr>
          <w:rFonts w:ascii="Arial" w:cs="Arial" w:eastAsia="Arial" w:hAnsi="Arial"/>
          <w:sz w:val="15"/>
          <w:szCs w:val="15"/>
          <w:i w:val="1"/>
          <w:iCs w:val="1"/>
          <w:color w:val="auto"/>
        </w:rPr>
        <w:t>Asset Sale Repayment Amount</w:t>
      </w:r>
      <w:r>
        <w:rPr>
          <w:rFonts w:ascii="Arial" w:cs="Arial" w:eastAsia="Arial" w:hAnsi="Arial"/>
          <w:sz w:val="15"/>
          <w:szCs w:val="15"/>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any Event of Loss with respect to Collateral (other than Events of Loss with respect to Collateral comprising the Phase II Project at any time during the construction of the Phase II Project,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$30.0 million:</w:t>
      </w:r>
    </w:p>
    <w:p>
      <w:pPr>
        <w:spacing w:after="0" w:line="62" w:lineRule="exact"/>
        <w:rPr>
          <w:sz w:val="20"/>
          <w:szCs w:val="20"/>
          <w:color w:val="auto"/>
        </w:rPr>
      </w:pPr>
    </w:p>
    <w:p>
      <w:pPr>
        <w:ind w:left="460" w:right="420" w:firstLine="443"/>
        <w:spacing w:after="0" w:line="332" w:lineRule="auto"/>
        <w:tabs>
          <w:tab w:leader="none" w:pos="1147" w:val="left"/>
        </w:tabs>
        <w:numPr>
          <w:ilvl w:val="0"/>
          <w:numId w:val="86"/>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4" w:lineRule="auto"/>
        <w:tabs>
          <w:tab w:leader="none" w:pos="11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Phase I Project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ability of Wynn Las Vegas or any of its Restricted Subsidiaries to repair or restore any of the Collateral following an Event of Loss that occurs on or prior to the Phase II Completion Date will be governed by the Disbursement Agreement.</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Any Net Loss Proceeds that are (1) not permitted to be used to repair or restore the Collateral pursuant to the Disbursement Agreement, (2) not reinvested as provided in the first sentence of this covenant or (3) otherwise required, pursuant to the Credit Agreement, to be applied to reduce Indebtedness of Wynn Las Vegas, in each case, will be deemed “</w:t>
      </w:r>
      <w:r>
        <w:rPr>
          <w:rFonts w:ascii="Arial" w:cs="Arial" w:eastAsia="Arial" w:hAnsi="Arial"/>
          <w:sz w:val="16"/>
          <w:szCs w:val="16"/>
          <w:i w:val="1"/>
          <w:iCs w:val="1"/>
          <w:color w:val="auto"/>
        </w:rPr>
        <w:t>Excess Loss Proceeds</w:t>
      </w:r>
      <w:r>
        <w:rPr>
          <w:rFonts w:ascii="Arial" w:cs="Arial" w:eastAsia="Arial" w:hAnsi="Arial"/>
          <w:sz w:val="16"/>
          <w:szCs w:val="16"/>
          <w:color w:val="auto"/>
        </w:rPr>
        <w:t>.”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color w:val="auto"/>
        </w:rPr>
        <w:t>Event of Loss Offer Amount</w:t>
      </w:r>
      <w:r>
        <w:rPr>
          <w:rFonts w:ascii="Arial" w:cs="Arial" w:eastAsia="Arial" w:hAnsi="Arial"/>
          <w:sz w:val="16"/>
          <w:szCs w:val="16"/>
          <w:color w:val="auto"/>
        </w:rPr>
        <w:t>”), to make an offer (an “</w:t>
      </w:r>
      <w:r>
        <w:rPr>
          <w:rFonts w:ascii="Arial" w:cs="Arial" w:eastAsia="Arial" w:hAnsi="Arial"/>
          <w:sz w:val="16"/>
          <w:szCs w:val="16"/>
          <w:i w:val="1"/>
          <w:iCs w:val="1"/>
          <w:color w:val="auto"/>
        </w:rPr>
        <w:t>Event of Loss Offer</w:t>
      </w:r>
      <w:r>
        <w:rPr>
          <w:rFonts w:ascii="Arial" w:cs="Arial" w:eastAsia="Arial" w:hAnsi="Arial"/>
          <w:sz w:val="16"/>
          <w:szCs w:val="16"/>
          <w:color w:val="auto"/>
        </w:rPr>
        <w:t xml:space="preserve">”) to all holders of notes and, to the extent required, the holders of such Pari Passu Debt to repurchase such notes and such Pari Passu Debt at an offer price equal to 100% of 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will be payable in cash. The amount of any such Excess Loss Proceeds less the Event of Loss Offer Amount (the “</w:t>
      </w:r>
      <w:r>
        <w:rPr>
          <w:rFonts w:ascii="Arial" w:cs="Arial" w:eastAsia="Arial" w:hAnsi="Arial"/>
          <w:sz w:val="16"/>
          <w:szCs w:val="16"/>
          <w:i w:val="1"/>
          <w:iCs w:val="1"/>
          <w:color w:val="auto"/>
        </w:rPr>
        <w:t>Event of Loss Repayment Amount</w:t>
      </w:r>
      <w:r>
        <w:rPr>
          <w:rFonts w:ascii="Arial" w:cs="Arial" w:eastAsia="Arial" w:hAnsi="Arial"/>
          <w:sz w:val="16"/>
          <w:szCs w:val="16"/>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Loss Offer Amount that may be applied to the Event of Loss Offer, the trustee will select the notes and such other Pari Passu Debt to be purchased as described below under the caption “—Selection and Notice” and in accordance with the Indenture. Upon completion of each Event of Loss Offer, the amount of Excess Loss Proceeds will be reset at zero.</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Pending their application, all Net Loss Proceeds will either be (1) applied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59" w:lineRule="exact"/>
        <w:rPr>
          <w:sz w:val="20"/>
          <w:szCs w:val="20"/>
          <w:color w:val="auto"/>
        </w:rPr>
      </w:pPr>
    </w:p>
    <w:p>
      <w:pPr>
        <w:ind w:left="460" w:right="62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Notes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Notes—We may not be able to fulfill our repurchase obligations with respect to the notes upon a change of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If less than all of the notes are to be redeemed at any time, the trustee will select notes for redemption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lot or by any other method the trustee deems fair and appropriate, unless otherwise required by law or applicable stock exchange requirements. 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firstLine="443"/>
        <w:spacing w:after="0" w:line="298" w:lineRule="auto"/>
        <w:tabs>
          <w:tab w:leader="none" w:pos="1147" w:val="left"/>
        </w:tabs>
        <w:numPr>
          <w:ilvl w:val="1"/>
          <w:numId w:val="90"/>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6"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140" w:firstLine="421"/>
        <w:spacing w:after="0" w:line="256" w:lineRule="auto"/>
        <w:tabs>
          <w:tab w:leader="none" w:pos="1579"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Phase I Opening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20" w:right="80" w:firstLine="421"/>
        <w:spacing w:after="0" w:line="294" w:lineRule="auto"/>
        <w:tabs>
          <w:tab w:leader="none" w:pos="1588"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received by Wynn Las Vegas subsequent to the date of the Indenture as a contribution to its common equity capital, excluding (i) any such net cash proceeds received by Wynn Las Vegas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(14) of the covenant described below under the caption “— Incurrence of Indebtedness and Issuance of Disqualified Stock”; </w:t>
      </w:r>
      <w:r>
        <w:rPr>
          <w:rFonts w:ascii="Arial" w:cs="Arial" w:eastAsia="Arial" w:hAnsi="Arial"/>
          <w:sz w:val="16"/>
          <w:szCs w:val="16"/>
          <w:i w:val="1"/>
          <w:iCs w:val="1"/>
          <w:color w:val="auto"/>
        </w:rPr>
        <w:t>plus</w:t>
      </w:r>
    </w:p>
    <w:p>
      <w:pPr>
        <w:spacing w:after="0" w:line="34" w:lineRule="exact"/>
        <w:rPr>
          <w:rFonts w:ascii="Arial" w:cs="Arial" w:eastAsia="Arial" w:hAnsi="Arial"/>
          <w:sz w:val="16"/>
          <w:szCs w:val="16"/>
          <w:color w:val="auto"/>
        </w:rPr>
      </w:pPr>
    </w:p>
    <w:p>
      <w:pPr>
        <w:ind w:left="920" w:right="140" w:firstLine="421"/>
        <w:spacing w:after="0" w:line="291" w:lineRule="auto"/>
        <w:tabs>
          <w:tab w:leader="none" w:pos="1579"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(i) to the extent that any Restricted Investment that was made after the date of the Indenture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39" w:lineRule="exact"/>
        <w:rPr>
          <w:rFonts w:ascii="Arial" w:cs="Arial" w:eastAsia="Arial" w:hAnsi="Arial"/>
          <w:sz w:val="16"/>
          <w:szCs w:val="16"/>
          <w:color w:val="auto"/>
        </w:rPr>
      </w:pPr>
    </w:p>
    <w:p>
      <w:pPr>
        <w:ind w:left="920" w:right="320" w:firstLine="421"/>
        <w:spacing w:after="0" w:line="306" w:lineRule="auto"/>
        <w:tabs>
          <w:tab w:leader="none" w:pos="1588"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100% of any cash dividends or cash distributions received by Wynn Las Vegas or any of its Restricted Subsidiaries after the date of the Indenture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16"/>
          <w:szCs w:val="16"/>
          <w:i w:val="1"/>
          <w:iCs w:val="1"/>
          <w:color w:val="auto"/>
        </w:rPr>
        <w:t>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Wynn Las Vegas that is so designated after the date of the Indenture (other than the Completion Guarantor) is redesignated as a Restricted Subsidiary after the date of the Indenture, the lesser of (i) the Fair Market Value of Wynn Las Vegas’ Investment in such Subsidiary as of the date of such redesignation or (ii) such Fair Market Value as of the date on which such Subsidiary was originally designated as an Unrestricted Subsidiary;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80" w:firstLine="443"/>
        <w:spacing w:after="0" w:line="306"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from the substantially concurrent contribution of common equity capital to Wynn Las Vegas,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rFonts w:ascii="Arial" w:cs="Arial" w:eastAsia="Arial" w:hAnsi="Arial"/>
          <w:sz w:val="18"/>
          <w:szCs w:val="18"/>
          <w:color w:val="auto"/>
        </w:rPr>
      </w:pPr>
    </w:p>
    <w:p>
      <w:pPr>
        <w:ind w:left="460" w:firstLine="443"/>
        <w:spacing w:after="0" w:line="253"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rFonts w:ascii="Arial" w:cs="Arial" w:eastAsia="Arial" w:hAnsi="Arial"/>
          <w:sz w:val="18"/>
          <w:szCs w:val="18"/>
          <w:color w:val="auto"/>
        </w:rPr>
      </w:pPr>
    </w:p>
    <w:p>
      <w:pPr>
        <w:ind w:left="460" w:right="220" w:firstLine="443"/>
        <w:spacing w:after="0" w:line="332"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40" w:firstLine="443"/>
        <w:spacing w:after="0" w:line="332" w:lineRule="auto"/>
        <w:tabs>
          <w:tab w:leader="none" w:pos="1228" w:val="left"/>
        </w:tabs>
        <w:numPr>
          <w:ilvl w:val="0"/>
          <w:numId w:val="94"/>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any Indebtedness (including Acquired Debt), or</w:t>
      </w:r>
    </w:p>
    <w:p>
      <w:pPr>
        <w:ind w:right="100" w:firstLine="8"/>
        <w:spacing w:after="0" w:line="315" w:lineRule="auto"/>
        <w:tabs>
          <w:tab w:leader="none" w:pos="249" w:val="left"/>
        </w:tabs>
        <w:numPr>
          <w:ilvl w:val="0"/>
          <w:numId w:val="95"/>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13" w:lineRule="exact"/>
        <w:rPr>
          <w:sz w:val="20"/>
          <w:szCs w:val="20"/>
          <w:color w:val="auto"/>
        </w:rPr>
      </w:pPr>
    </w:p>
    <w:p>
      <w:pPr>
        <w:ind w:left="460" w:right="60" w:firstLine="443"/>
        <w:spacing w:after="0" w:line="303" w:lineRule="auto"/>
        <w:tabs>
          <w:tab w:leader="none" w:pos="1147" w:val="left"/>
        </w:tabs>
        <w:numPr>
          <w:ilvl w:val="1"/>
          <w:numId w:val="96"/>
        </w:numPr>
        <w:rPr>
          <w:rFonts w:ascii="Arial" w:cs="Arial" w:eastAsia="Arial" w:hAnsi="Arial"/>
          <w:sz w:val="15"/>
          <w:szCs w:val="15"/>
          <w:color w:val="auto"/>
        </w:rPr>
      </w:pPr>
      <w:r>
        <w:rPr>
          <w:rFonts w:ascii="Arial" w:cs="Arial" w:eastAsia="Arial" w:hAnsi="Arial"/>
          <w:sz w:val="15"/>
          <w:szCs w:val="15"/>
          <w:color w:val="auto"/>
        </w:rPr>
        <w:t xml:space="preserve">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w:t>
      </w:r>
      <w:r>
        <w:rPr>
          <w:rFonts w:ascii="Arial" w:cs="Arial" w:eastAsia="Arial" w:hAnsi="Arial"/>
          <w:sz w:val="15"/>
          <w:szCs w:val="15"/>
          <w:i w:val="1"/>
          <w:iCs w:val="1"/>
          <w:color w:val="auto"/>
        </w:rPr>
        <w:t>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25"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intercompany Indebtedness between or among Wynn Las Vegas and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50" w:lineRule="exact"/>
        <w:rPr>
          <w:rFonts w:ascii="Arial" w:cs="Arial" w:eastAsia="Arial" w:hAnsi="Arial"/>
          <w:sz w:val="18"/>
          <w:szCs w:val="18"/>
          <w:color w:val="auto"/>
        </w:rPr>
      </w:pPr>
    </w:p>
    <w:p>
      <w:pPr>
        <w:ind w:left="920" w:firstLine="421"/>
        <w:spacing w:after="0" w:line="255" w:lineRule="auto"/>
        <w:tabs>
          <w:tab w:leader="none" w:pos="1579" w:val="left"/>
        </w:tabs>
        <w:numPr>
          <w:ilvl w:val="2"/>
          <w:numId w:val="97"/>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1" w:lineRule="exact"/>
        <w:rPr>
          <w:rFonts w:ascii="Arial" w:cs="Arial" w:eastAsia="Arial" w:hAnsi="Arial"/>
          <w:sz w:val="18"/>
          <w:szCs w:val="18"/>
          <w:color w:val="auto"/>
        </w:rPr>
      </w:pPr>
    </w:p>
    <w:p>
      <w:pPr>
        <w:ind w:left="920" w:right="20" w:firstLine="421"/>
        <w:spacing w:after="0" w:line="298" w:lineRule="auto"/>
        <w:tabs>
          <w:tab w:leader="none" w:pos="1588" w:val="left"/>
        </w:tabs>
        <w:numPr>
          <w:ilvl w:val="2"/>
          <w:numId w:val="97"/>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25" w:lineRule="exact"/>
        <w:rPr>
          <w:rFonts w:ascii="Arial" w:cs="Arial" w:eastAsia="Arial" w:hAnsi="Arial"/>
          <w:sz w:val="16"/>
          <w:szCs w:val="16"/>
          <w:color w:val="auto"/>
        </w:rPr>
      </w:pPr>
    </w:p>
    <w:p>
      <w:pPr>
        <w:ind w:left="460" w:right="160" w:firstLine="443"/>
        <w:spacing w:after="0" w:line="291" w:lineRule="auto"/>
        <w:tabs>
          <w:tab w:leader="none" w:pos="1147"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255" w:lineRule="auto"/>
        <w:rPr>
          <w:rFonts w:ascii="Arial" w:cs="Arial" w:eastAsia="Arial" w:hAnsi="Arial"/>
          <w:sz w:val="16"/>
          <w:szCs w:val="16"/>
          <w:color w:val="auto"/>
        </w:rPr>
      </w:pPr>
      <w:r>
        <w:rPr>
          <w:rFonts w:ascii="Arial" w:cs="Arial" w:eastAsia="Arial" w:hAnsi="Arial"/>
          <w:sz w:val="18"/>
          <w:szCs w:val="18"/>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w:t>
      </w:r>
    </w:p>
    <w:p>
      <w:pPr>
        <w:spacing w:after="0" w:line="63" w:lineRule="exact"/>
        <w:rPr>
          <w:rFonts w:ascii="Arial" w:cs="Arial" w:eastAsia="Arial" w:hAnsi="Arial"/>
          <w:sz w:val="16"/>
          <w:szCs w:val="16"/>
          <w:color w:val="auto"/>
        </w:rPr>
      </w:pPr>
    </w:p>
    <w:p>
      <w:pPr>
        <w:ind w:left="1580" w:hanging="239"/>
        <w:spacing w:after="0"/>
        <w:tabs>
          <w:tab w:leader="none" w:pos="158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Phase II Opening Date has occurred;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holders of the notes continue to have a perfected first priority security interest in the Golf Course Land; and</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579" w:val="left"/>
        </w:tabs>
        <w:numPr>
          <w:ilvl w:val="2"/>
          <w:numId w:val="98"/>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Indebtedness does not exceed 6.5 times Consolidated EBITDA for the four full fiscal quarters immediately preceding the date of such incurrence;</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right="260" w:firstLine="443"/>
        <w:spacing w:after="0" w:line="256" w:lineRule="auto"/>
        <w:tabs>
          <w:tab w:leader="none" w:pos="1235"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 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2"/>
          <w:numId w:val="98"/>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90" w:lineRule="exact"/>
        <w:rPr>
          <w:rFonts w:ascii="Arial" w:cs="Arial" w:eastAsia="Arial" w:hAnsi="Arial"/>
          <w:sz w:val="18"/>
          <w:szCs w:val="18"/>
          <w:color w:val="auto"/>
        </w:rPr>
      </w:pPr>
    </w:p>
    <w:p>
      <w:pPr>
        <w:ind w:left="920" w:right="60" w:firstLine="421"/>
        <w:spacing w:after="0" w:line="298" w:lineRule="auto"/>
        <w:tabs>
          <w:tab w:leader="none" w:pos="1588" w:val="left"/>
        </w:tabs>
        <w:numPr>
          <w:ilvl w:val="2"/>
          <w:numId w:val="98"/>
        </w:numPr>
        <w:rPr>
          <w:rFonts w:ascii="Arial" w:cs="Arial" w:eastAsia="Arial" w:hAnsi="Arial"/>
          <w:sz w:val="16"/>
          <w:szCs w:val="16"/>
          <w:color w:val="auto"/>
        </w:rPr>
      </w:pPr>
      <w:r>
        <w:rPr>
          <w:rFonts w:ascii="Arial" w:cs="Arial" w:eastAsia="Arial" w:hAnsi="Arial"/>
          <w:sz w:val="16"/>
          <w:szCs w:val="16"/>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II Project Budget which would otherwise be permitted to be paid by the applicable entity pursuant to the Disbursement Agreement and (2) if secured, are secured solely by Liens permitted by clause (22) of the definition of “Permitted Liens;”</w:t>
      </w:r>
    </w:p>
    <w:p>
      <w:pPr>
        <w:spacing w:after="0" w:line="31" w:lineRule="exact"/>
        <w:rPr>
          <w:rFonts w:ascii="Arial" w:cs="Arial" w:eastAsia="Arial" w:hAnsi="Arial"/>
          <w:sz w:val="16"/>
          <w:szCs w:val="16"/>
          <w:color w:val="auto"/>
        </w:rPr>
      </w:pPr>
    </w:p>
    <w:p>
      <w:pPr>
        <w:ind w:left="460" w:right="120" w:firstLine="443"/>
        <w:spacing w:after="0" w:line="268" w:lineRule="auto"/>
        <w:tabs>
          <w:tab w:leader="none" w:pos="122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235"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incurrence by the Issuers and the Guarantors of the original 2004 notes issued on the date of the Indenture in an aggregate principal amount of $1.3 billion and the registered 2004 notes related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firstLine="443"/>
        <w:spacing w:after="0" w:line="332" w:lineRule="auto"/>
        <w:tabs>
          <w:tab w:leader="none" w:pos="12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firstLine="443"/>
        <w:spacing w:after="0" w:line="267" w:lineRule="auto"/>
        <w:tabs>
          <w:tab w:leader="none" w:pos="12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83"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notes, the Indenture, the Note Guarantees or the Collateral Documents;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335" w:lineRule="auto"/>
        <w:tabs>
          <w:tab w:leader="none" w:pos="114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7" w:lineRule="exact"/>
        <w:rPr>
          <w:rFonts w:ascii="Arial" w:cs="Arial" w:eastAsia="Arial" w:hAnsi="Arial"/>
          <w:sz w:val="15"/>
          <w:szCs w:val="15"/>
          <w:color w:val="auto"/>
        </w:rPr>
      </w:pPr>
    </w:p>
    <w:p>
      <w:pPr>
        <w:ind w:left="460" w:right="280" w:firstLine="443"/>
        <w:spacing w:after="0" w:line="259"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100" w:firstLine="421"/>
        <w:spacing w:after="0" w:line="298" w:lineRule="auto"/>
        <w:tabs>
          <w:tab w:leader="none" w:pos="157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w:t>
      </w:r>
    </w:p>
    <w:p>
      <w:pPr>
        <w:spacing w:after="0" w:line="31" w:lineRule="exact"/>
        <w:rPr>
          <w:rFonts w:ascii="Arial" w:cs="Arial" w:eastAsia="Arial" w:hAnsi="Arial"/>
          <w:sz w:val="16"/>
          <w:szCs w:val="16"/>
          <w:color w:val="auto"/>
        </w:rPr>
      </w:pPr>
    </w:p>
    <w:p>
      <w:pPr>
        <w:ind w:left="920" w:right="220" w:firstLine="421"/>
        <w:spacing w:after="0" w:line="306" w:lineRule="auto"/>
        <w:tabs>
          <w:tab w:leader="none" w:pos="158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76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4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firstLine="443"/>
        <w:spacing w:after="0" w:line="357" w:lineRule="auto"/>
        <w:tabs>
          <w:tab w:leader="none" w:pos="114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Phase I Project, at market rental rates, for the development and operation of a Ferrari and Maserati automobile dealership pursuant to the Dealership Lease Agreement, to the extent permitted under the Collateral Documents;</w:t>
      </w:r>
    </w:p>
    <w:p>
      <w:pPr>
        <w:ind w:left="460" w:right="40" w:firstLine="443"/>
        <w:spacing w:after="0" w:line="256"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w:t>
      </w:r>
    </w:p>
    <w:p>
      <w:pPr>
        <w:spacing w:after="0" w:line="9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 and</w:t>
      </w:r>
    </w:p>
    <w:p>
      <w:pPr>
        <w:spacing w:after="0" w:line="50" w:lineRule="exact"/>
        <w:rPr>
          <w:rFonts w:ascii="Arial" w:cs="Arial" w:eastAsia="Arial" w:hAnsi="Arial"/>
          <w:sz w:val="18"/>
          <w:szCs w:val="18"/>
          <w:color w:val="auto"/>
        </w:rPr>
      </w:pPr>
    </w:p>
    <w:p>
      <w:pPr>
        <w:ind w:left="460" w:right="100" w:firstLine="443"/>
        <w:spacing w:after="0" w:line="256"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issuance by Wynn Las Vegas of notes, in connection with the issuance of the initial $1.3 billion of notes under the Indenture and the issuance of the Note Guarantees by the Guarantors, to any Affiliate if such issuance is otherwise not in contravention of the terms of the Indenture and is on terms that are no less favorable to Wynn Las Vegas and the Guarantors than those that could have been obtained in a comparable transaction by Wynn Las Vegas and the Guarantors with an unrelated Person.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Note Guarantees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will, and will cause its Restricted Subsidiaries to, construct the Phase II Project, including the furnishing, fixturing and equipping of the Phase II Project, with diligence and continuity in a good and workmanlike manner substantially in accordance with the Phase II Plans and Specifications.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Wynn Las Vegas will not, and will not permit any of its Restricted Subsidiaries to, enter into any sale and leaseback transaction (except with respect to the Aircraft Assets so long as, and to the extent that, such Aircraft Assets are not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will not, and will not permit any of its Restricted Subsidiaries to, at any time prior to the date on which the security interests in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Golf Course Land are released in accordance with the covenant described above under the caption “—Security—Release of Golf Course Land”:</w:t>
      </w:r>
    </w:p>
    <w:p>
      <w:pPr>
        <w:spacing w:after="0" w:line="107" w:lineRule="exact"/>
        <w:rPr>
          <w:sz w:val="20"/>
          <w:szCs w:val="20"/>
          <w:color w:val="auto"/>
        </w:rPr>
      </w:pPr>
    </w:p>
    <w:p>
      <w:pPr>
        <w:ind w:left="460" w:right="24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59"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incur any Indebtedness, the proceeds of which are expected to be used, or are used, for the construction, development or improvement of the Golf Course Land;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90" w:lineRule="exact"/>
        <w:rPr>
          <w:sz w:val="20"/>
          <w:szCs w:val="20"/>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maintain or repair the Golf Course on the Golf Course Land,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improvements to the Golf Course that enhance its use as a golf course for the benefit of the Projects,</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the Home Site Land in accordance with the provisions set forth under the captions “—Security—Release of Collateral,” “—Security—Release of Golf Course Land,” “—Security Interests—Release of Homesite Acreage” and “—Security Interests—Release of Portions of the Golf Course Land.”</w:t>
      </w:r>
    </w:p>
    <w:p>
      <w:pPr>
        <w:spacing w:after="0" w:line="59" w:lineRule="exact"/>
        <w:rPr>
          <w:rFonts w:ascii="Arial" w:cs="Arial" w:eastAsia="Arial" w:hAnsi="Arial"/>
          <w:sz w:val="18"/>
          <w:szCs w:val="18"/>
          <w:color w:val="auto"/>
        </w:rPr>
      </w:pPr>
    </w:p>
    <w:p>
      <w:pPr>
        <w:ind w:left="460" w:right="440" w:firstLine="443"/>
        <w:spacing w:after="0" w:line="357" w:lineRule="auto"/>
        <w:tabs>
          <w:tab w:leader="none" w:pos="114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ind w:left="460" w:right="50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construct, develop or improve the Golf Course Land for the purpose of constructing the Projects as contemplated by the Phase I Plans and Specifications, the Phase II Plans and Specifications or the Disbursement Agreement,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90" w:lineRule="exact"/>
        <w:rPr>
          <w:rFonts w:ascii="Arial" w:cs="Arial" w:eastAsia="Arial" w:hAnsi="Arial"/>
          <w:sz w:val="18"/>
          <w:szCs w:val="18"/>
          <w:color w:val="auto"/>
        </w:rPr>
      </w:pPr>
    </w:p>
    <w:p>
      <w:pPr>
        <w:jc w:val="both"/>
        <w:ind w:left="460" w:right="60" w:firstLine="443"/>
        <w:spacing w:after="0" w:line="256"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firstLine="421"/>
        <w:spacing w:after="0" w:line="298" w:lineRule="auto"/>
        <w:tabs>
          <w:tab w:leader="none" w:pos="1579"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240" w:firstLine="421"/>
        <w:spacing w:after="0" w:line="268" w:lineRule="auto"/>
        <w:tabs>
          <w:tab w:leader="none" w:pos="158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6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(7)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460" w:right="120" w:firstLine="443"/>
        <w:spacing w:after="0" w:line="259"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20" w:firstLine="421"/>
        <w:spacing w:after="0" w:line="254" w:lineRule="auto"/>
        <w:tabs>
          <w:tab w:leader="none" w:pos="158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00" w:firstLine="421"/>
        <w:spacing w:after="0" w:line="332" w:lineRule="auto"/>
        <w:tabs>
          <w:tab w:leader="none" w:pos="1579"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80" w:hanging="239"/>
        <w:spacing w:after="0"/>
        <w:tabs>
          <w:tab w:leader="none" w:pos="158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59"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(b) title and extended coverage insurance covering such real property in an amount at least equal to the purchase price of such real property;</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20" w:firstLine="443"/>
        <w:spacing w:after="0" w:line="306"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Whether or not required by the rules and regulations of the SEC, so long as any notes are outstanding, the Issuers will furnish to the Holders of notes or cause the trustee to furnish to the Holders of notes, within the time periods specified in the SEC’s rules and regulations:</w:t>
      </w:r>
    </w:p>
    <w:p>
      <w:pPr>
        <w:spacing w:after="0" w:line="51" w:lineRule="exact"/>
        <w:rPr>
          <w:sz w:val="20"/>
          <w:szCs w:val="20"/>
          <w:color w:val="auto"/>
        </w:rPr>
      </w:pPr>
    </w:p>
    <w:p>
      <w:pPr>
        <w:ind w:left="460" w:right="20" w:firstLine="443"/>
        <w:spacing w:after="0" w:line="259"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Issuers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90" w:lineRule="exact"/>
        <w:rPr>
          <w:sz w:val="20"/>
          <w:szCs w:val="20"/>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60" w:firstLine="421"/>
        <w:spacing w:after="0" w:line="259" w:lineRule="auto"/>
        <w:tabs>
          <w:tab w:leader="none" w:pos="157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60" w:firstLine="421"/>
        <w:spacing w:after="0" w:line="332" w:lineRule="auto"/>
        <w:tabs>
          <w:tab w:leader="none" w:pos="158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80" w:firstLine="443"/>
        <w:spacing w:after="0" w:line="259"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2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1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98"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reasonable indemnity or security against any loss, liability or expense. Except to enforce the right to receive payment of principal, interest or premium, if any, or Liquidated Damages, if any, when due, no holder of a note may pursue any remedy with respect to the Indenture or the notes unless:</w:t>
      </w:r>
    </w:p>
    <w:p>
      <w:pPr>
        <w:spacing w:after="0" w:line="32" w:lineRule="exact"/>
        <w:rPr>
          <w:sz w:val="20"/>
          <w:szCs w:val="20"/>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107"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“—Real Property Collateral.”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Intercreditor Agreement imposes restrictions on the exercise of rights and remedies by the noteholders with respect to the Collateral. See “Intercreditor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Notes—Bankruptcy laws may significantly impair your rights to repossess and dispose of collateral securing the notes, and otherwise collect on any amounts due thereunder,” “—In the event that a bankruptcy court orders the substantive consolidation of us with certain affiliated parties, payments on the notes could be delayed or reduced” and “—Contract rights under agreements serving as collateral for the notes may be rejected in bankruptcy.”</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59" w:lineRule="exact"/>
        <w:rPr>
          <w:sz w:val="20"/>
          <w:szCs w:val="20"/>
          <w:color w:val="auto"/>
        </w:rPr>
      </w:pPr>
    </w:p>
    <w:p>
      <w:pPr>
        <w:ind w:left="460" w:right="26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32" w:lineRule="auto"/>
        <w:tabs>
          <w:tab w:leader="none" w:pos="11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the Issuers must specify whether the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28"/>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60" w:firstLine="4"/>
        <w:spacing w:after="0" w:line="292" w:lineRule="auto"/>
        <w:tabs>
          <w:tab w:leader="none" w:pos="69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jc w:val="both"/>
        <w:ind w:left="460" w:right="20" w:firstLine="443"/>
        <w:spacing w:after="0" w:line="256" w:lineRule="auto"/>
        <w:tabs>
          <w:tab w:leader="none" w:pos="11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the case of Legal Defeasance, the Issuers must deliver to the trustee an opinion of counsel to the effect that, assuming no intervening bankruptcy of the Issuers or any Guarantor between the date of deposit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460" w:right="80"/>
        <w:spacing w:after="0" w:line="211" w:lineRule="auto"/>
        <w:rPr>
          <w:sz w:val="20"/>
          <w:szCs w:val="20"/>
          <w:color w:val="auto"/>
        </w:rPr>
      </w:pPr>
      <w:r>
        <w:rPr>
          <w:rFonts w:ascii="Arial" w:cs="Arial" w:eastAsia="Arial" w:hAnsi="Arial"/>
          <w:sz w:val="18"/>
          <w:szCs w:val="18"/>
          <w:color w:val="auto"/>
        </w:rPr>
        <w:t>and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and assuming that no holder of notes is an “insider” of either Issuer under applicable bankruptcy law, after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the trust funds will not be subject to the effect of any applicable bankruptcy, insolvency, reorganization or similar laws affecting creditors’ rights generally;</w:t>
      </w:r>
    </w:p>
    <w:p>
      <w:pPr>
        <w:spacing w:after="0" w:line="103" w:lineRule="exact"/>
        <w:rPr>
          <w:sz w:val="20"/>
          <w:szCs w:val="20"/>
          <w:color w:val="auto"/>
        </w:rPr>
      </w:pPr>
    </w:p>
    <w:p>
      <w:pPr>
        <w:jc w:val="both"/>
        <w:ind w:left="460" w:right="120" w:firstLine="443"/>
        <w:spacing w:after="0" w:line="259"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84" w:lineRule="exact"/>
        <w:rPr>
          <w:sz w:val="20"/>
          <w:szCs w:val="20"/>
          <w:color w:val="auto"/>
        </w:rPr>
      </w:pPr>
    </w:p>
    <w:p>
      <w:pPr>
        <w:ind w:left="1160" w:hanging="257"/>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all 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58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the Note Guarantees and the Collateral Documents;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Credit Agreement concurrently release their security interest in such assets, so long as no Default or Event of Default exists or is continuing immediately prior to or after giving effect to such release; and</w:t>
      </w:r>
    </w:p>
    <w:p>
      <w:pPr>
        <w:spacing w:after="0" w:line="51" w:lineRule="exact"/>
        <w:rPr>
          <w:sz w:val="20"/>
          <w:szCs w:val="20"/>
          <w:color w:val="auto"/>
        </w:rPr>
      </w:pPr>
    </w:p>
    <w:p>
      <w:pPr>
        <w:ind w:left="460" w:right="2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Under the Intercreditor Agreement,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authorizes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amended, restated or modified Collateral Documents contain terms no less favorable to the trustee or the noteholders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restatement or modification does not otherwise adversely affect the rights or remedies of the trustee or the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 See “Intercreditor Agreement.”</w:t>
      </w:r>
    </w:p>
    <w:p>
      <w:pPr>
        <w:spacing w:after="0" w:line="12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59" w:lineRule="exact"/>
        <w:rPr>
          <w:sz w:val="20"/>
          <w:szCs w:val="20"/>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90" w:lineRule="exact"/>
        <w:rPr>
          <w:rFonts w:ascii="Arial" w:cs="Arial" w:eastAsia="Arial" w:hAnsi="Arial"/>
          <w:sz w:val="18"/>
          <w:szCs w:val="18"/>
          <w:color w:val="auto"/>
        </w:rPr>
      </w:pPr>
    </w:p>
    <w:p>
      <w:pPr>
        <w:jc w:val="both"/>
        <w:ind w:left="460" w:right="180" w:firstLine="443"/>
        <w:spacing w:after="0" w:line="259"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268"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35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13" w:lineRule="exact"/>
        <w:rPr>
          <w:sz w:val="20"/>
          <w:szCs w:val="20"/>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100" w:firstLine="421"/>
        <w:spacing w:after="0" w:line="332" w:lineRule="auto"/>
        <w:tabs>
          <w:tab w:leader="none" w:pos="1579"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59" w:lineRule="auto"/>
        <w:tabs>
          <w:tab w:leader="none" w:pos="158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20"/>
          </w:cols>
          <w:pgMar w:left="24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32" w:lineRule="exact"/>
        <w:rPr>
          <w:sz w:val="20"/>
          <w:szCs w:val="20"/>
          <w:color w:val="auto"/>
        </w:rPr>
      </w:pPr>
    </w:p>
    <w:p>
      <w:pPr>
        <w:ind w:left="460" w:right="140" w:firstLine="443"/>
        <w:spacing w:after="0" w:line="306" w:lineRule="auto"/>
        <w:tabs>
          <w:tab w:leader="none" w:pos="114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new notes will be issued in the form of one or more notes in global form (the “</w:t>
      </w:r>
      <w:r>
        <w:rPr>
          <w:rFonts w:ascii="Arial" w:cs="Arial" w:eastAsia="Arial" w:hAnsi="Arial"/>
          <w:sz w:val="18"/>
          <w:szCs w:val="18"/>
          <w:i w:val="1"/>
          <w:iCs w:val="1"/>
          <w:color w:val="auto"/>
        </w:rPr>
        <w:t>Global Notes</w:t>
      </w:r>
      <w:r>
        <w:rPr>
          <w:rFonts w:ascii="Arial" w:cs="Arial" w:eastAsia="Arial" w:hAnsi="Arial"/>
          <w:sz w:val="18"/>
          <w:szCs w:val="18"/>
          <w:color w:val="auto"/>
        </w:rPr>
        <w:t>”). The new notes will be issued in minimum denominations of $1,000 and integral multiples of $1,000 in excess of $1,000. The Global Notes will be deposited upon issuance with the trustee as custodian for DTC, in New York, New York, and registered in the name of DTC or its nominee (such nominee being referred to as the “</w:t>
      </w:r>
      <w:r>
        <w:rPr>
          <w:rFonts w:ascii="Arial" w:cs="Arial" w:eastAsia="Arial" w:hAnsi="Arial"/>
          <w:sz w:val="18"/>
          <w:szCs w:val="18"/>
          <w:i w:val="1"/>
          <w:iCs w:val="1"/>
          <w:color w:val="auto"/>
        </w:rPr>
        <w:t>Global Note Holder</w:t>
      </w:r>
      <w:r>
        <w:rPr>
          <w:rFonts w:ascii="Arial" w:cs="Arial" w:eastAsia="Arial" w:hAnsi="Arial"/>
          <w:sz w:val="18"/>
          <w:szCs w:val="18"/>
          <w:color w:val="auto"/>
        </w:rPr>
        <w:t>”), in each case for credit to an account of a direct or indirect participant in DTC as described below.</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new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Depository Procedures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4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37"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new notes registered in their names, will not receive physical delivery of new notes in certificated form and will not be considered the registered owners or “holders” thereof under the Indenture for any purpose.</w:t>
      </w:r>
    </w:p>
    <w:p>
      <w:pPr>
        <w:spacing w:after="0" w:line="5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 w:lineRule="exact"/>
        <w:rPr>
          <w:sz w:val="20"/>
          <w:szCs w:val="20"/>
          <w:color w:val="auto"/>
        </w:rPr>
      </w:pPr>
    </w:p>
    <w:p>
      <w:pPr>
        <w:ind w:left="460" w:right="380" w:firstLine="443"/>
        <w:spacing w:after="0" w:line="259" w:lineRule="auto"/>
        <w:tabs>
          <w:tab w:leader="none" w:pos="11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Global Notes for Certificated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7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Certificated Notes for Global Notes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Same Day Settlement and Payment</w:t>
      </w:r>
    </w:p>
    <w:p>
      <w:pPr>
        <w:spacing w:after="0" w:line="9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6"/>
          <w:szCs w:val="16"/>
          <w:color w:val="auto"/>
        </w:rPr>
        <w:t>The Issuers will make payments in respect of the notes represented by the Global Notes (including principal, premium, if any,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w:t>
      </w:r>
    </w:p>
    <w:p>
      <w:pPr>
        <w:ind w:right="140"/>
        <w:spacing w:after="0" w:line="238" w:lineRule="auto"/>
        <w:rPr>
          <w:sz w:val="20"/>
          <w:szCs w:val="20"/>
          <w:color w:val="auto"/>
        </w:rPr>
      </w:pPr>
      <w:r>
        <w:rPr>
          <w:rFonts w:ascii="Arial" w:cs="Arial" w:eastAsia="Arial" w:hAnsi="Arial"/>
          <w:sz w:val="17"/>
          <w:szCs w:val="17"/>
          <w:color w:val="auto"/>
        </w:rPr>
        <w:t>notes represented by the Global Notes are expected to be eligible to trade in The PORTAL</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Market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the date of the Indenture,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20" w:firstLine="443"/>
        <w:spacing w:after="0" w:line="259"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October 30, 2002, issued by World Travel, LLC in favor of Wynn Las Vegas in an aggregate principal amount of $38.0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means Aruze Corp., a Japanese public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w:t>
      </w:r>
      <w:r>
        <w:rPr>
          <w:rFonts w:ascii="Arial" w:cs="Arial" w:eastAsia="Arial" w:hAnsi="Arial"/>
          <w:sz w:val="18"/>
          <w:szCs w:val="18"/>
          <w:i w:val="1"/>
          <w:iCs w:val="1"/>
          <w:color w:val="auto"/>
        </w:rPr>
        <w:t>Permitted Dispositions</w:t>
      </w:r>
      <w:r>
        <w:rPr>
          <w:rFonts w:ascii="Arial" w:cs="Arial" w:eastAsia="Arial" w:hAnsi="Arial"/>
          <w:sz w:val="18"/>
          <w:szCs w:val="18"/>
          <w:color w:val="auto"/>
        </w:rPr>
        <w:t>”):</w:t>
      </w:r>
    </w:p>
    <w:p>
      <w:pPr>
        <w:spacing w:after="0" w:line="51" w:lineRule="exact"/>
        <w:rPr>
          <w:sz w:val="20"/>
          <w:szCs w:val="20"/>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80" w:hanging="239"/>
        <w:spacing w:after="0"/>
        <w:tabs>
          <w:tab w:leader="none" w:pos="158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20" w:firstLine="443"/>
        <w:spacing w:after="0" w:line="332" w:lineRule="auto"/>
        <w:tabs>
          <w:tab w:leader="none" w:pos="114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40" w:firstLine="443"/>
        <w:spacing w:after="0" w:line="332" w:lineRule="auto"/>
        <w:tabs>
          <w:tab w:leader="none" w:pos="123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80" w:firstLine="443"/>
        <w:spacing w:after="0" w:line="305" w:lineRule="auto"/>
        <w:tabs>
          <w:tab w:leader="none" w:pos="1228" w:val="left"/>
        </w:tabs>
        <w:numPr>
          <w:ilvl w:val="1"/>
          <w:numId w:val="147"/>
        </w:numPr>
        <w:rPr>
          <w:rFonts w:ascii="Arial" w:cs="Arial" w:eastAsia="Arial" w:hAnsi="Arial"/>
          <w:sz w:val="15"/>
          <w:szCs w:val="15"/>
          <w:color w:val="auto"/>
        </w:rPr>
      </w:pPr>
      <w:r>
        <w:rPr>
          <w:rFonts w:ascii="Arial" w:cs="Arial" w:eastAsia="Arial" w:hAnsi="Arial"/>
          <w:sz w:val="15"/>
          <w:szCs w:val="15"/>
          <w:color w:val="auto"/>
        </w:rPr>
        <w:t xml:space="preserve">the transfer or sale or disposition of any Released Assets or Aircraft Assets;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revenues in excess of $10.0 million (in the aggregate) generated by sales, leases or other dispositions of any assets in connection with (i) any timeshare, interval ownership or similar development or</w:t>
      </w:r>
    </w:p>
    <w:p>
      <w:pPr>
        <w:ind w:left="460" w:right="60" w:firstLine="4"/>
        <w:spacing w:after="0" w:line="261" w:lineRule="auto"/>
        <w:tabs>
          <w:tab w:leader="none" w:pos="71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60" w:firstLine="443"/>
        <w:spacing w:after="0" w:line="255" w:lineRule="auto"/>
        <w:tabs>
          <w:tab w:leader="none" w:pos="123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firstLine="443"/>
        <w:spacing w:after="0" w:line="256" w:lineRule="auto"/>
        <w:tabs>
          <w:tab w:leader="none" w:pos="123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means:</w:t>
      </w:r>
    </w:p>
    <w:p>
      <w:pPr>
        <w:spacing w:after="0" w:line="90" w:lineRule="exact"/>
        <w:rPr>
          <w:sz w:val="20"/>
          <w:szCs w:val="20"/>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306" w:lineRule="auto"/>
        <w:tabs>
          <w:tab w:leader="none" w:pos="11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right="80" w:firstLine="421"/>
        <w:spacing w:after="0" w:line="253" w:lineRule="auto"/>
        <w:tabs>
          <w:tab w:leader="none" w:pos="158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Kazuo Okada, Aruze USA and Aruze Corp.,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64" w:lineRule="exact"/>
        <w:rPr>
          <w:rFonts w:ascii="Arial" w:cs="Arial" w:eastAsia="Arial" w:hAnsi="Arial"/>
          <w:sz w:val="18"/>
          <w:szCs w:val="18"/>
          <w:color w:val="auto"/>
        </w:rPr>
      </w:pPr>
    </w:p>
    <w:p>
      <w:pPr>
        <w:ind w:left="920" w:firstLine="421"/>
        <w:spacing w:after="0" w:line="268" w:lineRule="auto"/>
        <w:tabs>
          <w:tab w:leader="none" w:pos="157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prior to the earlier of (i) the Phase II Opening Date or (ii) December 31, 2007, the Principal and his Related Parties as a group own less than 80% of the outstanding Voting Stock of Wynn Resorts owned by such group as of the date of the Indenture; or</w:t>
      </w:r>
    </w:p>
    <w:p>
      <w:pPr>
        <w:spacing w:after="0" w:line="50" w:lineRule="exact"/>
        <w:rPr>
          <w:rFonts w:ascii="Arial" w:cs="Arial" w:eastAsia="Arial" w:hAnsi="Arial"/>
          <w:sz w:val="18"/>
          <w:szCs w:val="18"/>
          <w:color w:val="auto"/>
        </w:rPr>
      </w:pPr>
    </w:p>
    <w:p>
      <w:pPr>
        <w:ind w:left="920" w:right="340" w:firstLine="421"/>
        <w:spacing w:after="0" w:line="332" w:lineRule="auto"/>
        <w:tabs>
          <w:tab w:leader="none" w:pos="158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prior to the earlier of (i) the Phase II Opening Date or (ii) December 31, 2007, the Principal and his Related Parties as a group own less than 10% of the outstanding Voting Stock of Wynn Resorts, measured by voting power rather than number of equity interests;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first day before the earlier of (i) the Phase II Opening Date or (ii) December 31, 2007, on which the Principal does not act as either the chairman of the Board of Directors or the chief executive officer of Wynn Resorts, other than (A) as a result of death or disability or (B) if the Board of Directors of Wynn Resorts, exercising their fiduciary duties in good faith, removes or fails to re-appoint the Principal as chairman of the Board of Directors or chief executive officer of Wynn Resorts;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 or</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Completion Guaranty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220" w:firstLine="443"/>
        <w:spacing w:after="0" w:line="259" w:lineRule="auto"/>
        <w:tabs>
          <w:tab w:leader="none" w:pos="122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 in each case, as amended, modified or otherwise supplemented from time to time in accordance with their respective terms and with the Indenture and the Collateral Documents.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w:t>
      </w:r>
      <w:r>
        <w:rPr>
          <w:rFonts w:ascii="Arial" w:cs="Arial" w:eastAsia="Arial" w:hAnsi="Arial"/>
          <w:sz w:val="18"/>
          <w:szCs w:val="18"/>
          <w:color w:val="auto"/>
        </w:rPr>
        <w:t>” means the Completion Guarantee, dated as of the date of the Indenture, by the Completion Guarantor in favor of the trustee and the agent under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 Release Date</w:t>
      </w:r>
      <w:r>
        <w:rPr>
          <w:rFonts w:ascii="Arial" w:cs="Arial" w:eastAsia="Arial" w:hAnsi="Arial"/>
          <w:sz w:val="18"/>
          <w:szCs w:val="18"/>
          <w:color w:val="auto"/>
        </w:rPr>
        <w:t>” means the date on which the Completion Guarantee Release Conditions are satisfied.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 Release Conditions</w:t>
      </w:r>
      <w:r>
        <w:rPr>
          <w:rFonts w:ascii="Arial" w:cs="Arial" w:eastAsia="Arial" w:hAnsi="Arial"/>
          <w:sz w:val="16"/>
          <w:szCs w:val="16"/>
          <w:color w:val="auto"/>
        </w:rPr>
        <w:t>” has the meaning given the term “Completion Guaranty Release Conditions” in the Disbursement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Guaranty Collateral Account Agreement</w:t>
      </w:r>
      <w:r>
        <w:rPr>
          <w:rFonts w:ascii="Arial" w:cs="Arial" w:eastAsia="Arial" w:hAnsi="Arial"/>
          <w:sz w:val="18"/>
          <w:szCs w:val="18"/>
          <w:color w:val="auto"/>
        </w:rPr>
        <w:t>” means the Completion Guaranty Collateral Account Agreement, dated as of the date of the Indenture, among the Completion Guarantor, the securities intermediary named therein and the collateral agent, as amended, modified or otherwise supplemented from time to time in accordance with its terms and with the Indenture and the Collateral Documents.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51" w:lineRule="exact"/>
        <w:rPr>
          <w:sz w:val="20"/>
          <w:szCs w:val="20"/>
          <w:color w:val="auto"/>
        </w:rPr>
      </w:pPr>
    </w:p>
    <w:p>
      <w:pPr>
        <w:ind w:left="460" w:right="24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50" w:lineRule="exact"/>
        <w:rPr>
          <w:rFonts w:ascii="Arial" w:cs="Arial" w:eastAsia="Arial" w:hAnsi="Arial"/>
          <w:sz w:val="18"/>
          <w:szCs w:val="18"/>
          <w:color w:val="auto"/>
        </w:rPr>
      </w:pPr>
    </w:p>
    <w:p>
      <w:pPr>
        <w:ind w:left="460" w:right="140" w:firstLine="443"/>
        <w:spacing w:after="0" w:line="254"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63"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31"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any pre-opening expenses, to the extent such pre-opening expenses were deducted in calculating Consolidated Net Income on a consolidated basis; </w:t>
      </w:r>
      <w:r>
        <w:rPr>
          <w:rFonts w:ascii="Arial" w:cs="Arial" w:eastAsia="Arial" w:hAnsi="Arial"/>
          <w:sz w:val="18"/>
          <w:szCs w:val="18"/>
          <w:i w:val="1"/>
          <w:iCs w:val="1"/>
          <w:color w:val="auto"/>
        </w:rPr>
        <w:t>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307" w:lineRule="auto"/>
        <w:tabs>
          <w:tab w:leader="none" w:pos="239" w:val="left"/>
        </w:tabs>
        <w:numPr>
          <w:ilvl w:val="0"/>
          <w:numId w:val="157"/>
        </w:numPr>
        <w:rPr>
          <w:rFonts w:ascii="Arial" w:cs="Arial" w:eastAsia="Arial" w:hAnsi="Arial"/>
          <w:sz w:val="15"/>
          <w:szCs w:val="15"/>
          <w:color w:val="auto"/>
        </w:rPr>
      </w:pPr>
      <w:r>
        <w:rPr>
          <w:rFonts w:ascii="Arial" w:cs="Arial" w:eastAsia="Arial" w:hAnsi="Arial"/>
          <w:sz w:val="15"/>
          <w:szCs w:val="15"/>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II Project (such pre-opening expenses to be no greater than that set forth in the Phase II Project Budget) and (ii)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1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 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consolidated equity of the common stockholders of such Person and its consolidated Subsidiaries as of such date;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the date of the Indenture, among Wynn Show Performers, the securities intermediary named therein and the collateral agent, (2) the Control Agreement, dated as of the date of the Indenture, among Wynn Las Vegas, the securities intermediary named therein and the collateral agent, and (3) the Control Agreement, dated as of the date of the Indenture, among Wynn Las Vegas Jet, LLC, the securities intermediary named therein and the collateral agent, each as amended, modified or otherwise supplemented from time to time in accordance with its terms, the Indenture and the other Collateral Documents.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Credit Agreement, dated as of the date of the Indenture,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Société Générale,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Dealership Lease Agreement</w:t>
      </w:r>
      <w:r>
        <w:rPr>
          <w:rFonts w:ascii="Arial" w:cs="Arial" w:eastAsia="Arial" w:hAnsi="Arial"/>
          <w:sz w:val="18"/>
          <w:szCs w:val="18"/>
          <w:color w:val="auto"/>
        </w:rPr>
        <w:t>” means the Dealership Lease Agreement, dated as of January 13, 2005, between Wynn Las Vegas, as lessor, and PW Automotive, LLC, as lessee, with respect to the lease of space at the Phase I Project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and the Guarantors, from time to time for the benefit of the collateral agent, as agent for (1) the administrative agent for the lenders under the Credit Agreement and (2) the trustee on behalf of the noteholders in accordance with the provisions of the Indenture and the Collateral Documents.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Master Disbursement Agreement, dated as of the date of the Indenture, among Wynn Las Vegas, the trustee,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the date of the Indenture,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Entertainment Facility</w:t>
      </w:r>
      <w:r>
        <w:rPr>
          <w:rFonts w:ascii="Arial" w:cs="Arial" w:eastAsia="Arial" w:hAnsi="Arial"/>
          <w:sz w:val="18"/>
          <w:szCs w:val="18"/>
          <w:color w:val="auto"/>
        </w:rPr>
        <w:t>” means a showroom or entertainment facility adjoining the Wynn Las Vegas hotel and casino resort on the Project Site and connected directly to such hotel, which, as of the date of Indenture, was expect to feature the musical, “Avenue Q.”</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any loss, destruction or damage of such property or asset;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68"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6"/>
          <w:szCs w:val="16"/>
          <w:i w:val="1"/>
          <w:iCs w:val="1"/>
          <w:color w:val="auto"/>
        </w:rPr>
        <w:t>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w:t>
      </w:r>
      <w:r>
        <w:rPr>
          <w:rFonts w:ascii="Arial" w:cs="Arial" w:eastAsia="Arial" w:hAnsi="Arial"/>
          <w:sz w:val="16"/>
          <w:szCs w:val="16"/>
          <w:i w:val="1"/>
          <w:iCs w:val="1"/>
          <w:color w:val="auto"/>
        </w:rPr>
        <w:t>times</w:t>
      </w:r>
      <w:r>
        <w:rPr>
          <w:rFonts w:ascii="Arial" w:cs="Arial" w:eastAsia="Arial" w:hAnsi="Arial"/>
          <w:sz w:val="16"/>
          <w:szCs w:val="16"/>
          <w:color w:val="auto"/>
        </w:rPr>
        <w:t xml:space="preserve">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is, or may be at any time after the date of the Indenture, subject.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the date of the Indenture,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166"/>
        </w:numPr>
        <w:rPr>
          <w:rFonts w:ascii="Arial" w:cs="Arial" w:eastAsia="Arial" w:hAnsi="Arial"/>
          <w:sz w:val="15"/>
          <w:szCs w:val="15"/>
          <w:color w:val="auto"/>
        </w:rPr>
      </w:pPr>
      <w:r>
        <w:rPr>
          <w:rFonts w:ascii="Arial" w:cs="Arial" w:eastAsia="Arial" w:hAnsi="Arial"/>
          <w:sz w:val="15"/>
          <w:szCs w:val="15"/>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“holder” means any registered holder, from time to time, of the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the date of the Indenture, among the trustee, the administrative agent under the Credit Agreement, the collateral agent and the other parties thereto from time to time, as such agreement may be amended, modified, restated or supplemented in accordance with the terms of the Indenture.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as of the date of this offering of notes, is used for employee parking and other ancillary uses.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the date of the Indenture,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the date of the Indenture,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administrative agent under the Credit Agreement and the trustee.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Project Assets</w:t>
      </w:r>
      <w:r>
        <w:rPr>
          <w:rFonts w:ascii="Arial" w:cs="Arial" w:eastAsia="Arial" w:hAnsi="Arial"/>
          <w:sz w:val="18"/>
          <w:szCs w:val="18"/>
          <w:color w:val="auto"/>
        </w:rPr>
        <w:t>” means assets that are necessary to the development, construction or operation of the Phase I Project in accordance with the Phase I Plans and Specifications; provided, however, that in no event shall (1) Released Assets or (2) assets with a Fair Market Value less than $100.0 million be considered Material Project Assets.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any extraordinary gain (or loss), together with any related provision for the Tax Amount on such extraordinary gain (or loss).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8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71" w:lineRule="exact"/>
        <w:rPr>
          <w:sz w:val="20"/>
          <w:szCs w:val="20"/>
          <w:color w:val="auto"/>
        </w:rPr>
      </w:pPr>
    </w:p>
    <w:p>
      <w:pPr>
        <w:ind w:right="70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xml:space="preserve">” means any Indebtedness, other than Indebtedness incurred under the Credit Agreement, that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 favor of Wynn Las Vegas (or any contractor), the agent for the lenders under the Credit Agreement and the trustee supporting the contractor’s or subcontractor’s obligations under any such contract or subcontract.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240" w:firstLine="4"/>
        <w:spacing w:after="0" w:line="255" w:lineRule="auto"/>
        <w:tabs>
          <w:tab w:leader="none" w:pos="69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380" w:firstLine="443"/>
        <w:spacing w:after="0" w:line="306" w:lineRule="auto"/>
        <w:tabs>
          <w:tab w:leader="none" w:pos="114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40" w:firstLine="443"/>
        <w:spacing w:after="0" w:line="268" w:lineRule="auto"/>
        <w:tabs>
          <w:tab w:leader="none" w:pos="114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“Permitted Investments” </w:t>
      </w:r>
      <w:r>
        <w:rPr>
          <w:rFonts w:ascii="Arial" w:cs="Arial" w:eastAsia="Arial" w:hAnsi="Arial"/>
          <w:sz w:val="18"/>
          <w:szCs w:val="18"/>
          <w:color w:val="auto"/>
        </w:rPr>
        <w:t>means:</w:t>
      </w:r>
    </w:p>
    <w:p>
      <w:pPr>
        <w:spacing w:after="0" w:line="90" w:lineRule="exact"/>
        <w:rPr>
          <w:sz w:val="20"/>
          <w:szCs w:val="20"/>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firstLine="421"/>
        <w:spacing w:after="0" w:line="306" w:lineRule="auto"/>
        <w:tabs>
          <w:tab w:leader="none" w:pos="1588" w:val="left"/>
        </w:tabs>
        <w:numPr>
          <w:ilvl w:val="1"/>
          <w:numId w:val="182"/>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20" w:firstLine="443"/>
        <w:spacing w:after="0" w:line="259"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460" w:right="80" w:firstLine="443"/>
        <w:spacing w:after="0" w:line="298" w:lineRule="auto"/>
        <w:tabs>
          <w:tab w:leader="none" w:pos="123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 Investment in the form of a loan by Wynn Las Vegas to (a) Wynn Group Asia, Inc., (b) to Wynn Resorts for purposes of an investment in Wynn Group Asia, Inc., or (c) directly to Wynn Resorts (Macau), S.A., in each case, on or before August 30, 2005, in an amount not to exceed $122,000,000, which loan shall be pledged as Collateral to secure (i) the Indebtedness outstanding under the Credit Agreement and (ii) the notes (except in the case of a direct loan to Wynn Resorts (Macau), S.A., for which no such pledge will be required);</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22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Investments held by a Person in a third Person at the time such Person is acquired by Wynn Las Vegas or any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23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40" w:firstLine="443"/>
        <w:spacing w:after="0" w:line="294" w:lineRule="auto"/>
        <w:tabs>
          <w:tab w:leader="none" w:pos="123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Affiliate receiving any such assignment enters into a binding agreement to pay all amounts so collected back to Wynn Las Vegas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200" w:firstLine="443"/>
        <w:spacing w:after="0" w:line="306"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into or consolidated with Wynn Las Vegas or any of the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Liens in favor of Wynn Las Vegas or any of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421"/>
        <w:spacing w:after="0" w:line="268" w:lineRule="auto"/>
        <w:tabs>
          <w:tab w:leader="none" w:pos="158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Wynn Las Vegas or any of the Restricted Subsidiaries (other than materials or supplies acquired in connection with developing, constructing, expanding or equipping of the Projects),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Liens were in existence prior to the contemplation of such acquisition;</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as in effect on the date of the Indenture;</w:t>
      </w:r>
    </w:p>
    <w:p>
      <w:pPr>
        <w:spacing w:after="0" w:line="50"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firstLine="443"/>
        <w:spacing w:after="0" w:line="294" w:lineRule="auto"/>
        <w:tabs>
          <w:tab w:leader="none" w:pos="11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Liens on the Collateral created by the Indenture and the Collateral Documents securing the Indebtedness and other Obligations under the Indenture and the Collateral Documents, including the new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clause (8) shall not be deemed to permit the extension of the liens on the Collateral created by the Indenture and the Collateral Documents with respect to any Indebtedness incurred after the date of the Indenture as the result of the issuance of additional notes under the Indenture in compliance with the covenant described above under the caption “—Certain Covenants —Incurrence of Indebtedness and Issuance of Disqualified Stock”;</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0" w:firstLine="443"/>
        <w:spacing w:after="0" w:line="268" w:lineRule="auto"/>
        <w:tabs>
          <w:tab w:leader="none" w:pos="12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Indebtedness being refinanced by such Permitted Refinancing Indebtedness was secured by a Lien of equivalent or lesser priority, and</w:t>
      </w:r>
    </w:p>
    <w:p>
      <w:pPr>
        <w:spacing w:after="0" w:line="113" w:lineRule="exact"/>
        <w:rPr>
          <w:rFonts w:ascii="Arial" w:cs="Arial" w:eastAsia="Arial" w:hAnsi="Arial"/>
          <w:sz w:val="16"/>
          <w:szCs w:val="16"/>
          <w:color w:val="auto"/>
        </w:rPr>
      </w:pPr>
    </w:p>
    <w:p>
      <w:pPr>
        <w:ind w:left="920" w:right="300" w:firstLine="421"/>
        <w:spacing w:after="0" w:line="259" w:lineRule="auto"/>
        <w:tabs>
          <w:tab w:leader="none" w:pos="158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23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94" w:lineRule="auto"/>
        <w:tabs>
          <w:tab w:leader="none" w:pos="123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280" w:firstLine="421"/>
        <w:spacing w:after="0" w:line="259"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40" w:firstLine="443"/>
        <w:spacing w:after="0" w:line="268"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w:t>
      </w:r>
    </w:p>
    <w:p>
      <w:pPr>
        <w:spacing w:after="0" w:line="59" w:lineRule="exact"/>
        <w:rPr>
          <w:rFonts w:ascii="Arial" w:cs="Arial" w:eastAsia="Arial" w:hAnsi="Arial"/>
          <w:sz w:val="18"/>
          <w:szCs w:val="18"/>
          <w:color w:val="auto"/>
        </w:rPr>
      </w:pPr>
    </w:p>
    <w:p>
      <w:pPr>
        <w:jc w:val="both"/>
        <w:ind w:left="460" w:firstLine="443"/>
        <w:spacing w:after="0" w:line="298" w:lineRule="auto"/>
        <w:tabs>
          <w:tab w:leader="none" w:pos="123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380" w:firstLine="443"/>
        <w:spacing w:after="0" w:line="259"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in the event any loans are made directly to Wynn Resorts (Macau), S.A. in accordance with clause (10) of the definition of Permitted</w:t>
      </w:r>
    </w:p>
    <w:p>
      <w:pPr>
        <w:spacing w:after="0" w:line="38"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Investments, Liens of any lenders or other providers of Indebtedness to Wynn Resorts (Macau), S.A. on such loans and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Indebtedness or other Obligations secured by any such Lien shall be non-recourse to Wynn Las Vegas and its Restricted Subsidiaries (other than with respect to such loans); and</w:t>
      </w:r>
    </w:p>
    <w:p>
      <w:pPr>
        <w:spacing w:after="0" w:line="63" w:lineRule="exact"/>
        <w:rPr>
          <w:rFonts w:ascii="Arial" w:cs="Arial" w:eastAsia="Arial" w:hAnsi="Arial"/>
          <w:sz w:val="16"/>
          <w:szCs w:val="16"/>
          <w:color w:val="auto"/>
        </w:rPr>
      </w:pPr>
    </w:p>
    <w:p>
      <w:pPr>
        <w:jc w:val="both"/>
        <w:ind w:left="460" w:right="300" w:firstLine="443"/>
        <w:spacing w:after="0" w:line="259"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ind w:left="460" w:right="200" w:firstLine="443"/>
        <w:spacing w:after="0" w:line="298" w:lineRule="auto"/>
        <w:tabs>
          <w:tab w:leader="none" w:pos="114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80" w:firstLine="443"/>
        <w:spacing w:after="0" w:line="332"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Key Project Documents</w:t>
      </w:r>
      <w:r>
        <w:rPr>
          <w:rFonts w:ascii="Arial" w:cs="Arial" w:eastAsia="Arial" w:hAnsi="Arial"/>
          <w:sz w:val="16"/>
          <w:szCs w:val="16"/>
          <w:color w:val="auto"/>
        </w:rPr>
        <w:t>” means each Payment and Performance Bond, in each case, as amended, modified or otherwise supplemented from time to time in accordance with the Disbursement Agreement (or, if the covenant described above under the caption “—Certain Covenants—Amendments to Certain Agreements” is applicable thereto, as amended, modified or otherwise supplemented in any manner that is not in contravention of that covenant).</w:t>
      </w:r>
    </w:p>
    <w:p>
      <w:pPr>
        <w:spacing w:after="0" w:line="10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Phase I Land</w:t>
      </w:r>
      <w:r>
        <w:rPr>
          <w:rFonts w:ascii="Arial" w:cs="Arial" w:eastAsia="Arial" w:hAnsi="Arial"/>
          <w:sz w:val="15"/>
          <w:szCs w:val="15"/>
          <w:color w:val="auto"/>
        </w:rPr>
        <w:t>” means that portion of the Project Site described in an exhibit to the Disbursement Agreement, as in effect on the date of the Indenture, together with all improvements thereon and all rights appurtenant thereto on which the Phase I Project will be designed, developed, constructed and operated.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Opening Date</w:t>
      </w:r>
      <w:r>
        <w:rPr>
          <w:rFonts w:ascii="Arial" w:cs="Arial" w:eastAsia="Arial" w:hAnsi="Arial"/>
          <w:sz w:val="18"/>
          <w:szCs w:val="18"/>
          <w:color w:val="auto"/>
        </w:rPr>
        <w:t>” means April 28, 2005.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Plans and Specifications</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Project</w:t>
      </w:r>
      <w:r>
        <w:rPr>
          <w:rFonts w:ascii="Arial" w:cs="Arial" w:eastAsia="Arial" w:hAnsi="Arial"/>
          <w:sz w:val="18"/>
          <w:szCs w:val="18"/>
          <w:color w:val="auto"/>
        </w:rPr>
        <w:t>” means Wynn Las Vegas hotel and casino resort, a large scale luxury hotel and destination casino resort, with related parking structure and golf course facilities on the Project Site.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 Date</w:t>
      </w:r>
      <w:r>
        <w:rPr>
          <w:rFonts w:ascii="Arial" w:cs="Arial" w:eastAsia="Arial" w:hAnsi="Arial"/>
          <w:sz w:val="18"/>
          <w:szCs w:val="18"/>
          <w:color w:val="auto"/>
        </w:rPr>
        <w:t>” means the date on which Phase II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Opening Date</w:t>
      </w:r>
      <w:r>
        <w:rPr>
          <w:rFonts w:ascii="Arial" w:cs="Arial" w:eastAsia="Arial" w:hAnsi="Arial"/>
          <w:sz w:val="18"/>
          <w:szCs w:val="18"/>
          <w:color w:val="auto"/>
        </w:rPr>
        <w:t>” means the date on which all or any portion of the Phase II Project is open for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Plans and Specifications</w:t>
      </w:r>
      <w:r>
        <w:rPr>
          <w:rFonts w:ascii="Arial" w:cs="Arial" w:eastAsia="Arial" w:hAnsi="Arial"/>
          <w:sz w:val="18"/>
          <w:szCs w:val="18"/>
          <w:color w:val="auto"/>
        </w:rPr>
        <w:t>” means “Plans and Specifications” as defined in the Disbursement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hotel tower, casino facility and retail and convention space to be constructed on the Phase II Land that will be part of Wynn Las Vegas and tentatively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 and all as more particularly described in the exhibit captioned “Project Site” in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Phase I Project and the Phase II Project.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Phase I Project, the Phase II Project and the Macau Project shall count as separate projects.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and the funds securing the Completion Guarantee (currently, $31.1 million). Any such item of Collateral shall cease to be a Released Asset in the event, and to the extent, that Wynn Las Vegas or any of the Restricted Subsidiaries is required to grant a security interest therein in favor of the trustee to secure the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w:t>
      </w:r>
      <w:r>
        <w:rPr>
          <w:rFonts w:ascii="Arial" w:cs="Arial" w:eastAsia="Arial" w:hAnsi="Arial"/>
          <w:sz w:val="15"/>
          <w:szCs w:val="15"/>
          <w:i w:val="1"/>
          <w:iCs w:val="1"/>
          <w:color w:val="auto"/>
        </w:rPr>
        <w:t>econd Mortgage Notes</w:t>
      </w:r>
      <w:r>
        <w:rPr>
          <w:rFonts w:ascii="Arial" w:cs="Arial" w:eastAsia="Arial" w:hAnsi="Arial"/>
          <w:sz w:val="15"/>
          <w:szCs w:val="15"/>
          <w:color w:val="auto"/>
        </w:rPr>
        <w:t>” means the 12% Second Mortgage Notes due 2010 of the Issuers issued pursuant to an indenture, dated as of October 30, 2002.</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0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Pledge and Security Agreement, dated as of the date of the Indenture, among the Issuers, the Restricted Subsidiaries, Wynn Resorts Holdings and the collateral agent, and</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the date of the Indenture, between Wynn Golf and Wynn Las Vegas, as amended, modified or otherwise supplemented from time to time in any manner that is not in contravention of the covenant described above under the caption “— Certain Covenants—Amendments to Certain Agreements.”</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80" w:firstLine="443"/>
        <w:spacing w:after="0" w:line="298" w:lineRule="auto"/>
        <w:tabs>
          <w:tab w:leader="none" w:pos="1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294" w:lineRule="auto"/>
        <w:tabs>
          <w:tab w:leader="none" w:pos="24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196"/>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Design Agreement</w:t>
      </w:r>
      <w:r>
        <w:rPr>
          <w:rFonts w:ascii="Arial" w:cs="Arial" w:eastAsia="Arial" w:hAnsi="Arial"/>
          <w:sz w:val="16"/>
          <w:szCs w:val="16"/>
          <w:color w:val="auto"/>
        </w:rPr>
        <w:t>” means the Amended and Restated Project Administrative Services Agreement, dated as of the date of the Indenture,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the date of the Indenture,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940"/>
          </w:cols>
          <w:pgMar w:left="240" w:top="459" w:right="7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August 15, 2006, we entered into the Amended and Restated Credit Agreement and related ancillary agreements with Deutsche Bank Trust Company Americas (referred to herein as Deutsche Bank), as administrative agent, issuing lender and swing line lender, Deutsche Bank Securities Inc., as lead arranger and joint book-running manager, Banc of America Securities LLC, as lead arranger and joint book-running manager, Bank of America, N.A., as syndication agent, Bear, Stearns &amp; Co. Inc., as arranger and joint book-running manager, Bear Stearns Corporate Lending Inc., as joint documentation agent, SG Americas Securities, LLC, as arranger and joint book-running manager, Société Générale, as joint documentation agent, J.P. Morgan Securities Inc., as arranger and joint book-running manager, JPMorgan Chase Bank, N.A.,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 which credit agreement provided for secured revolving credit and term loan facilities in the aggregate amount of $1.125 billion. The following summary is qualified in its entirety by reference to the credit agreement. On April 9, 2007, we entered into an amendment to the credit agreement which, among other things, effected certain procedural changes to the credit agreement and removed from the credit agreement a limitation on expenditures with respect to project costs for Encore. Additionally, on October 31, 2007, we entered into an amendment to the credit agreement which, among other things, amended certain provisions relating to the insurance coverages we are required to maintain under the credit agreement and the disbursement agreement and permitted us to issue the old notes and permits us to issue the new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credit facilities are comprised of the following:</w:t>
      </w:r>
    </w:p>
    <w:p>
      <w:pPr>
        <w:spacing w:after="0" w:line="90" w:lineRule="exact"/>
        <w:rPr>
          <w:sz w:val="20"/>
          <w:szCs w:val="20"/>
          <w:color w:val="auto"/>
        </w:rPr>
      </w:pPr>
    </w:p>
    <w:p>
      <w:pPr>
        <w:ind w:left="900" w:hanging="446"/>
        <w:spacing w:after="0" w:line="268"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senior secured revolving credit facility in the amount of $900 million that will terminate and be payable in full on August 15, 2011, and a portion of which may be used for letters of credit;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senior secured term loan facility in the amount of $225 million.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2007, no amounts were outstanding under the revolving credit facility; however, we do have $16.7 million of outstanding letters of credit that reduce our availability under the revolving credit facility. Consequently, $883.3 million remains available under the revolving credit facility for future borrowings for the construction of Encore or for other uses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Payments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Term loans under the term loan facility will be amortized through the date of maturity for the term loan facility according to the following schedule:</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93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initial term loan</w:t>
            </w:r>
          </w:p>
        </w:tc>
      </w:tr>
      <w:tr>
        <w:trPr>
          <w:trHeight w:val="161"/>
        </w:trPr>
        <w:tc>
          <w:tcPr>
            <w:tcW w:w="93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principal amount</w:t>
            </w:r>
          </w:p>
        </w:tc>
        <w:tc>
          <w:tcPr>
            <w:tcW w:w="140" w:type="dxa"/>
            <w:vAlign w:val="bottom"/>
          </w:tcPr>
          <w:p>
            <w:pPr>
              <w:spacing w:after="0"/>
              <w:rPr>
                <w:sz w:val="14"/>
                <w:szCs w:val="14"/>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August 15, 2013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Fees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purposes of calculating interest, loans under our credit facilities will be designated, at our election, as “Eurodollar Loans” or “Base Rate Loans.” Prior to the opening of Encore, Eurodollar Loans bear interest at LIBOR plus an interest margin equal to 1.625% for revolving loans and 1.875% for term loans under the term loan facility. Interest on Eurodollar Loans is payable at the end of the applicable interest period in the case of interest periods of one, two or three months, and every three months in the case of interest periods of six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 xml:space="preserve">Prior to the opening of Encore, Base Rate Loans bear interest at (a) a rate per annum equal to the greater of (i) the rate most recently announced by Deutsche Bank as its “prime rate,” or (ii) the Federal Funds Effective Rate plus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plus (b) an interest margin equal to 0.625% for revolving loans and 0.875% for term loans under the term loan facility. Interest on Base Rate Loans will be payable quarterly in arrears.</w:t>
      </w:r>
    </w:p>
    <w:p>
      <w:pPr>
        <w:spacing w:after="0" w:line="16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After the opening of Encore, the applicable interest margins for revolving loans will be based on our and our subsidiaries’ consolidated leverage ratio, ranging from 1.00% to 1.75% per annum for Eurodollar Loans and 0.00% to 0.75% per annum for Base Rate Loans.</w:t>
      </w:r>
    </w:p>
    <w:p>
      <w:pPr>
        <w:spacing w:after="0" w:line="8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will pay, quarterly in arrears, a commitment fee on the daily average of unborrowed availability under the revolving credit facility at a rate equal to, prior to the opening of Encore, 0.375% per annum. After the opening of Encore, the commitment fee will be based on our and our subsidiaries’ consolidated leverage ratio and will range from 0.25% to 0.50% per annum on the daily average unborrowed availability under the revolving credit facility.</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Letters of credit issued pursuant to our credit facilities will accrue fees at the interest margin payable on Eurodollar Loans under the revolving credit facility, as described above, plus a customary fronting fee.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credit facilities are guaranteed by each of our subsidiaries, other than Wynn Completion Guarantor, LLC. Each guarantee of our obligations under our credit facilities is secured by a security interest in substantially all of the guarantors’ existing and future assets (except World Travel, LLC’s corporate aircraft), and ranks pari passu in right of payment with any existing and future senior indebtedness of such guarantors, including indebtedness with respect to the notes. In addition, each guarantee of our obligations under our credit facilities ranks senior in right of payment to all of the existing and future subordinated indebtedness of each guarantor.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Subject to the intercreditor agreement, and certain exceptions, compliance with all applicable laws, including gaming laws and regulations, permitted liens and obtaining any necessary regulatory approvals, our obligations under our credit facilities and the obligations of each of the guarantors under the guarantee are secured by:</w:t>
      </w:r>
    </w:p>
    <w:p>
      <w:pPr>
        <w:spacing w:after="0" w:line="59" w:lineRule="exact"/>
        <w:rPr>
          <w:sz w:val="20"/>
          <w:szCs w:val="20"/>
          <w:color w:val="auto"/>
        </w:rPr>
      </w:pPr>
    </w:p>
    <w:p>
      <w:pPr>
        <w:ind w:left="900" w:right="80" w:hanging="446"/>
        <w:spacing w:after="0" w:line="268"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first priority pledge of Wynn Holdings’ equity interests in Wynn Las Vegas, LLC and all of our and the guarantors’ equity interests in our and their subsidiaries;</w:t>
      </w:r>
    </w:p>
    <w:p>
      <w:pPr>
        <w:spacing w:after="0" w:line="50" w:lineRule="exact"/>
        <w:rPr>
          <w:rFonts w:ascii="Arial" w:cs="Arial" w:eastAsia="Arial" w:hAnsi="Arial"/>
          <w:sz w:val="18"/>
          <w:szCs w:val="18"/>
          <w:color w:val="auto"/>
        </w:rPr>
      </w:pPr>
    </w:p>
    <w:p>
      <w:pPr>
        <w:ind w:left="900" w:right="100" w:hanging="446"/>
        <w:spacing w:after="0" w:line="294" w:lineRule="auto"/>
        <w:tabs>
          <w:tab w:leader="none" w:pos="9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first mortgages on all real property on which Wynn Las Vegas and Encore are located, including the golf course parcel, as well as substantially all appurtenant rights we or our subsidiaries own related to the development, construction and operation of Wynn Las Vegas and Encore, subject to release of the golf course parcel and certain other parcels and assets in connection with dispositions thereof upon satisfaction of certain conditions and meeting certain maximum leverage tests and minimum earnings before interest, taxes, depreciation and amortization requirements, in each case, as may be applicable, and releases related to certain dispositions permitted by our credit facilities; and</w:t>
      </w:r>
    </w:p>
    <w:p>
      <w:pPr>
        <w:spacing w:after="0" w:line="34"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our and our restricted subsidiaries’ other existing and future assets, subject to certain exceptions, and further subject to release of certain assets as permitted by our credit facilities. Our credit facilities are not secured by World Travel, LLC’s corporate aircraft.</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obligations under our credit facilities are secured by other assets on a pari passu basis with our obligations under the notes. The agreement among the agent, on behalf of itself and the lenders under our credit facilities, and the trustee, on behalf of the noteholders, is set forth in an intercreditor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Wynn Completion Guarantor, LLC, our special purpose subsidiary, has provided a completion guarantee in favor of the lenders under our credit facilities and the holders of the notes to guarantee completion in full of the construction and opening of Wynn Las Vegas and Encore. The completion guarantee was initially capped at $50 million and consists of cash collateralized by a security interest in a collateral account holding cash or short-term highly rated securities and pledged to the lenders under our credit facilities and the holders of the notes as security for the completion guarantee. As of December 31, 2007, there was $31.1 million on deposit in the completion guarantee account. Subject to the intercreditor agreement, upon the occurrence of an event of default under our credit facilities or the Indenture, the lenders under our credit facilities and the holders of the notes will be permitted to exercise remedies against deposits in the completion guarantee account. After the satisfaction of certain conditions relating to the completion of Wynn Las Vegas and Encore, any amounts remaining in this account will be released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and Commitment Reductions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scheduled amortization payments described above, we are required to make mandatory prepayments of indebtedness under our credit facilities from the net proceeds from all debt offerings (other than the notes and other offerings constituting certain permitted debt), the net proceeds from certain dispositions, the net proceeds from asset sales, insurance or condemnation proceeds, and liquidated damages under certain project documents received by us, in each case, with specified exceptions and subject in certain cases to reinvestment periods. Following the opening of Encore, if our leverage ratio is above a certain level we will also be required to make mandatory prepayments of indebtedness under our credit facilities from 50% of our excess cash flow. Mandatory prepayments under our credit facilities will be applied to repay the term loan facility, and in certain events, to reduce the revolving credit commitments and repay amounts borrowed under the revolving credit facility. We have the option to prepay all or any portion of the indebtedness under our credit facilities at any time without premium or penalty.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loan documentation contains customary negative covenants and financial covenants. During the term of our credit facilities, the negative covenants restrict our ability to do certain things, including but not limited to:</w:t>
      </w:r>
    </w:p>
    <w:p>
      <w:pPr>
        <w:spacing w:after="0" w:line="51" w:lineRule="exact"/>
        <w:rPr>
          <w:sz w:val="20"/>
          <w:szCs w:val="20"/>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incur additional indebtedness, including guarantees;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create, incur, assume or permit to exist liens on property and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declare or pay dividends and make distributions or restrict the ability of our subsidiaries to pay dividends and make distributions;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engage in mergers, investments and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execute modifications to material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engage in sales of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make capital expenditures;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make optional prepayments of certain indebtedness.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covenants are:</w:t>
      </w:r>
    </w:p>
    <w:p>
      <w:pPr>
        <w:spacing w:after="0" w:line="90" w:lineRule="exact"/>
        <w:rPr>
          <w:sz w:val="20"/>
          <w:szCs w:val="20"/>
          <w:color w:val="auto"/>
        </w:rPr>
      </w:pPr>
    </w:p>
    <w:p>
      <w:pPr>
        <w:ind w:left="900" w:hanging="446"/>
        <w:spacing w:after="0"/>
        <w:tabs>
          <w:tab w:leader="none" w:pos="9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minimum consolidated interest coverage ratio (earnings before interest, taxes, depreciation and amortization to total interest expense); and</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171</w:t>
      </w:r>
    </w:p>
    <w:p>
      <w:pPr>
        <w:sectPr>
          <w:pgSz w:w="11900" w:h="16838" w:orient="portrait"/>
          <w:cols w:equalWidth="0" w:num="1">
            <w:col w:w="11340"/>
          </w:cols>
          <w:pgMar w:left="240" w:top="460" w:right="3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maximum consolidated leverage ratio (total debt to earnings before interest, taxes, depreciation and amortization).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loan documentation for our credit facilities contains certain events of default, including the failure to make payments when due, defaults under, or the invalidity or termination of, other material agreements or instruments of indebtedness of specific amounts, noncompliance with covenants, material breaches of representations and warranties, bankruptcy events, judgments in excess of specified amounts, ERISA matters, impairment of security interests in collateral, loss of gaming licenses, failure of subordinated indebtedness and certain other obligations to remain subordinated to the obligations under our credit facilities, change of control and specified events under the disbursement agreement (including the failure or inability to open or complete Encore by a specified opening or completion date), subject in some cases to applicable notice provisions and grace periods. See “Disbursement Agreement.” The consequences of an event of default may include termination of the commitments under our credit facilities, acceleration of all amounts due under our credit facilities, and various other remedies that could include, among other things, foreclosure on substantially all of our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Availability of Funds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Borrowings of loans under our credit facilities are subject to prior written notice, the accuracy of representations and warranties, the absence of any default or event of default and certain other customary conditions to borrowing.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DISBURSEMENT AGREEMENT</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an amended and restated disbursement agreement with Deutsche Bank Trust Company Americas, as the agent for the lenders under our credit facilities, and Deutsche Bank Trust Company Americas, as the disbursement agent. This summary is qualified in its entirety by reference to the disbursement agreement.</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disbursement agreement, among other things, sets forth terms and conditions with respect to our use of funds in certain of our accounts (including for the purpose of paying project costs), the completion of Encore and our ability to amend the budget, schedule, and contracts related to the construction of Encore. Furthermore, the disbursement agreement requires us to deliver status reports, costs reports, the budget and the schedule related to the construction of Encore and to certify as to the availability of funds necessary to complete construction of Encore, each on a quarterly basis. Failure to deliver such items or make such certifications, or the failure or inability to open or complete Encore by a specified opening or completion date, may result in a default or event of default under the disbursement agreement, in which case we may be prohibited from accessing funds under our credit facilities or making payments of project costs for Encore. Upon the occurrence and during the continuance of an event of default under the disbursement agreement, the agent for the lenders under our credit facilities and the disbursement agent will be entitled to refuse to make extensions of credit under our credit facilities or make or allow any payments or disbursements for the payment of project costs. The disbursement agreement provides that the agent for the lenders under our credit facilities, without the consent of any person, is entitled to waive defaults and events of default under the disbursement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Neither the trustee for the notes nor the holders of the notes have any rights under the disbursement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agent under our credit facilities and the trustee on behalf of the noteholders have entered into an intercreditor agreement (the “intercreditor agreement”) that will govern the relationship among the holders of the notes, the lenders under our credit facilities and holders of future permitted senior and junior indebtedness. This summary is qualified in its entirety by reference to the intercreditor agreement.</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intercreditor agreement sets forth certain agreements among the parties regarding, among other things, the priority of their claims and interests in the shared collateral securing our obligations under our credit facilities, the indenture, additional permitted senior debt and permitted junior debt and other assets we own, the method of decision-making among the lenders, the noteholders, other permitted senior debt holders and permitted junior debt holders, the arrangements applicable to actions with respect to approval rights and waivers, certain limitations on rights of enforcement upon default and the application of proceeds from enforcement.</w:t>
      </w:r>
    </w:p>
    <w:p>
      <w:pPr>
        <w:spacing w:after="0" w:line="143"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Under the intercreditor agreement, the agent under our credit facilities and the trustee on behalf of the noteholders have appointed Deutsche Bank Trust Company Americas to act as collateral agent with respect to the collateral securing our obligations under our credit facilities and the indenture, to exercise remedies in respect thereof upon the occurrence of an event of default and to act as specified in the intercreditor agreement under our security documents.</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intercreditor agreement provides that the liens granted for the benefit of the noteholders with respect to our assets (which shall not include a lien on our bank proceeds account) and the assets pledged by the guarantors are pari passu in priority (which priority is first, subject to permitted liens) with the liens on such assets granted for the benefit of the lenders under our credit facilities and the liens on such assets that may be granted for the benefit of other permitted senior debt holders. Additionally, the intercreditor agreement provides that the liens on such assets granted for the benefit of permitted junior debt holders are junior to the liens on such assets granted for the benefit of the noteholders, the lenders under our credit facilities and other permitted senior debt holders. Subject to the direction of the required secured creditors, the intercreditor agreement provides that the collateral agent has the sole and exclusive right to exercise rights and enforce remedies under the security documents to which it is a party.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existing United States federal income tax law,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60" w:firstLine="456"/>
        <w:spacing w:after="0" w:line="294"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trading activities. We have agreed that, for a period of up to the later of (i) 180 days following the 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registration statement containing this</w:t>
      </w:r>
    </w:p>
    <w:p>
      <w:pPr>
        <w:spacing w:after="0" w:line="25" w:lineRule="exact"/>
        <w:rPr>
          <w:sz w:val="20"/>
          <w:szCs w:val="20"/>
          <w:color w:val="auto"/>
        </w:rPr>
      </w:pPr>
    </w:p>
    <w:p>
      <w:pPr>
        <w:ind w:right="200"/>
        <w:spacing w:after="0" w:line="220" w:lineRule="auto"/>
        <w:rPr>
          <w:sz w:val="20"/>
          <w:szCs w:val="20"/>
          <w:color w:val="auto"/>
        </w:rPr>
      </w:pPr>
      <w:r>
        <w:rPr>
          <w:rFonts w:ascii="Arial" w:cs="Arial" w:eastAsia="Arial" w:hAnsi="Arial"/>
          <w:sz w:val="18"/>
          <w:szCs w:val="18"/>
          <w:color w:val="auto"/>
        </w:rPr>
        <w:t>prospectus is declared effective, and (ii) 180 days following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after the exchange offer expires, we will make this prospectus, as amended or supplemented, available to any broker-dealer for use in connection with any such resale. In addition, until , 2008, all dealers effecting transactions in the new notes may be required to deliver a prospectus.</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446"/>
        <w:spacing w:after="0" w:line="259"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 period of up to the later of (i) 180 days following the 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registration statement containing this prospectus is declared effective,</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and (ii) 180 days following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Los Angeles, California.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consolidated financial statements and the financial statement schedule of Wynn Las Vegas, LLC and subsidiaries at December 31, 2007 and 2006 and for each of the two years in the period ended December 31, 2007 appearing in this Prospectus and Registration Statement have been audited by Ernst &amp; Young LLP, independent registered public accounting firm, to the extent indicated in their report thereon also appearing elsewhere herein and in the Registration Statement. Such consolidated financial statements have been included herein in reliance upon such reports given on the authority of such firm as experts in accounting and auditing.</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consolidated financial statements for the year ended December 31, 2005 included in this Prospectus and the related financial statement schedule included elsewhere in the Registration Statement have been audited by Deloitte &amp; Touche LLP, an independent registered public accounting firm, as stated in their report appearing herein and elsewhere in the Registration Statement, and are included in reliance upon the report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governing the notes requires that we file reports under the Exchange Act with the SEC (unless the SEC will not accept such filings) and furnish information to the trustee and holders of the notes. See “Description of the New Notes—Certain Covenants—Reports.” In addition, upon the effectiveness of the registration statement, we will become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8"/>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940" w:type="dxa"/>
            <w:vAlign w:val="bottom"/>
            <w:gridSpan w:val="8"/>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64"/>
        </w:trPr>
        <w:tc>
          <w:tcPr>
            <w:tcW w:w="4120" w:type="dxa"/>
            <w:vAlign w:val="bottom"/>
            <w:tcBorders>
              <w:top w:val="single" w:sz="8" w:color="0000EE"/>
            </w:tcBorders>
            <w:gridSpan w:val="7"/>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Consolidated Balance Sheets</w:t>
              </w:r>
            </w:hyperlink>
          </w:p>
        </w:tc>
        <w:tc>
          <w:tcPr>
            <w:tcW w:w="682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86">
              <w:r>
                <w:rPr>
                  <w:rFonts w:ascii="Arial" w:cs="Arial" w:eastAsia="Arial" w:hAnsi="Arial"/>
                  <w:sz w:val="18"/>
                  <w:szCs w:val="18"/>
                  <w:color w:val="0000EE"/>
                  <w:w w:val="87"/>
                </w:rPr>
                <w:t>Consolidated Statements of Operations</w:t>
              </w:r>
            </w:hyperlink>
          </w:p>
        </w:tc>
        <w:tc>
          <w:tcPr>
            <w:tcW w:w="8180" w:type="dxa"/>
            <w:vAlign w:val="bottom"/>
            <w:gridSpan w:val="6"/>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64"/>
        </w:trPr>
        <w:tc>
          <w:tcPr>
            <w:tcW w:w="32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87">
              <w:r>
                <w:rPr>
                  <w:rFonts w:ascii="Arial" w:cs="Arial" w:eastAsia="Arial" w:hAnsi="Arial"/>
                  <w:sz w:val="18"/>
                  <w:szCs w:val="18"/>
                  <w:color w:val="0000EE"/>
                  <w:w w:val="88"/>
                </w:rPr>
                <w:t>Consolidated Statements of Member’s Equity</w:t>
              </w:r>
            </w:hyperlink>
          </w:p>
        </w:tc>
        <w:tc>
          <w:tcPr>
            <w:tcW w:w="7720" w:type="dxa"/>
            <w:vAlign w:val="bottom"/>
            <w:gridSpan w:val="3"/>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64"/>
        </w:trPr>
        <w:tc>
          <w:tcPr>
            <w:tcW w:w="10940" w:type="dxa"/>
            <w:vAlign w:val="bottom"/>
            <w:gridSpan w:val="8"/>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Consolidated Statements of Cash Flows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940" w:type="dxa"/>
            <w:vAlign w:val="bottom"/>
            <w:gridSpan w:val="8"/>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Notes to Consolidated Financial Statements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2"/>
        </w:trPr>
        <w:tc>
          <w:tcPr>
            <w:tcW w:w="30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 Schedules</w:t>
            </w:r>
          </w:p>
        </w:tc>
        <w:tc>
          <w:tcPr>
            <w:tcW w:w="78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940" w:type="dxa"/>
            <w:vAlign w:val="bottom"/>
            <w:gridSpan w:val="8"/>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 Schedule II—Valuation and Qualifying Accounts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60" w:right="100" w:hanging="452"/>
        <w:spacing w:after="0" w:line="268"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w:t>
      </w:r>
    </w:p>
    <w:p>
      <w:pPr>
        <w:spacing w:after="0" w:line="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2007 and 2006, and the related consolidated statements of operations, member’s equity, and cash flows for each of the two years in the period ended December 31, 2007. Our audits also included the financial statement schedule included in Item 15(a)(2).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2007 and 2006, and the consolidated results of their operations and their cash flows for each of the two years in the period ended December 31, 2007,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Share-Based Payments in accordance with Statement of Financial Accounting Standards No. 123 (revised 2004) on January 1,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6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have audited the accompanying consolidated statements of operations, member’s equity, and cash flows of Wynn Las Vegas, LLC and subsidiaries for the year ended December 31, 2005. Our audit also included the financial statement schedule of Valuation and Qualifying Accounts for the year ended December 31, 2005. The financial statements and financial statement schedule are the responsibility of the Company’s management. Our responsibility is to express an opinion on the financial statements and financial statement schedule based on our audit.</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results of operations and cash flows of Wynn Las Vegas, LLC for the year ended December 31, 2005, in conformity with accounting principles generally accepted in the United States of America. Also, in our opinion, such financial statement schedule, when considered in relation to the basic 2005 consolidated financial statements taken as a whole, presents fairly, in all material respects, the information set forth therein.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93,820</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24,621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120,489</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49,451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360,389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310,100</w:t>
            </w: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172,896</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82,379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3,031,403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2,419,161</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28,202</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45,385</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56,257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3,119,888</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5,309</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28,459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8,850</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37,298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18,093</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67,317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198,521</w:t>
            </w: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1,954,084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1,647,092</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31,505</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2,272,236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1,877,118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1,461,949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1,453,918</w:t>
            </w: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(86,929)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(211,148)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1,375,020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1,242,770</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3,119,888</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642,327</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311,032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1,448,569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1,293,603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(152,718)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(154,255)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1,295,851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1,139,348</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276,523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192,497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199,825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1,096,026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(86,090)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(117,787)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(106,648)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124,219</w:t>
            </w: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9,808</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6"/>
          <w:szCs w:val="16"/>
          <w:b w:val="1"/>
          <w:bCs w:val="1"/>
          <w:color w:val="auto"/>
        </w:rPr>
        <w:t>(A WHOLLY OWNED INDIRECT SUBSIDIARY OF WYNN RESORTS, LIMITED)</w:t>
      </w:r>
    </w:p>
    <w:p>
      <w:pPr>
        <w:spacing w:after="0" w:line="101"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(amounts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Vested stock grant issued to consultant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Pre-opening settlement of amounts due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Parent company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Parent company stock-based compensation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$ 1,276,868</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508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3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1,224,829</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9,808</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3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1,242,770</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124,219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3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$ 1,375,020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403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760" w:space="720"/>
            <w:col w:w="92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124,219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9,808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152,839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147,608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11,316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20,675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315,714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205,628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(678,480)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(249,526)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166,465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197,240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(24,721)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(16,618)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(562,021)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(90,341)</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(417,739)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(282,911)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(440,169)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585,460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328,892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299,008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(109,244)</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146,521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93,820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110,298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108,205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due from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For the periods presented prior to April 28, 2005, the Company was solely a development stage company.</w:t>
      </w:r>
    </w:p>
    <w:p>
      <w:pPr>
        <w:spacing w:after="0" w:line="1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2007,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currently constructing “Encore at Wynn Las Vegas” or “Encore”. Encore is being constructed adjacent to Wynn Las Vegas and will be fully integrated with Wynn Las Vegas. Encore is expected to open in December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Restricted cash and investments consist primarily of certain proceeds of the Company’s financing activities invested in approved money market funds. The majority of these funds are restricted by the agreements governing the Company’s debt instruments for the payment of certain construction and development costs relating to Wynn Las Vegas and Encore. Amounts classified as current are equal to current construction payables.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2007 and 2006, approximately 53% and 55%,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Land improvements</w:t>
            </w:r>
          </w:p>
        </w:tc>
        <w:tc>
          <w:tcPr>
            <w:tcW w:w="410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10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$33.6 million, $7.7 million and $36.8 million was capitalized for the years ended December 31, 2007, 2006 and 2005,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overall purchase price of the land on which Wynn Las Vegas is located, and trademarks. Indefinite-lived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are not amortized, but are reviewed annually for impairment. The Company’s finite-lived intangible assets consist of show production rights.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Finite-lived intangible assets are amortized over the shorter of their contractual terms or estimated useful lives.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$7.2 million, $8.8 million, and $9.7 million was amortized to interest expense during the years ended December 31, 2007, 2006 and 2005, respectively. Debt discounts incurred in connection with the issuance of debt has been capitalized and is being amortized to interest expense using the effective interest method.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(loss) or comprehensive income (loss) as applicable. The Company’s current interest rate swaps do not qualify for hedge accounting. Accordingly, changes in the fair value of the interest rate swaps are presented as an increase (decrease) in fair value of swaps in the accompanying Consolidated Statements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Reseller of the Vendor’s Products).” EITF 01-9 requires that sales incentives be recorded as a reduction of revenues; consequently, the Company’s casino revenues are reduced by discounts and points earned in customer loyalty programs, such as the player’s club loyalty program.</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$24,816</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$24,531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Food and beverage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53,742</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55,930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38,629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88,259</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91,687</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$19.7 million, $16.7 million and $18 million, respectively, for the years ended December 31, 2007, 2006 and 2005.</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Pre-opening costs, consisting primarily of salaries and wages, legal and consulting fees, insurance, utilities and travel, are expensed as incurred. The Company incurred pre-opening costs in connection with Wynn Las Vegas prior to its opening on April 28, 2005. The Company will continue to incur such costs related to Encore prior to its opening in December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2004, the Financial Accounting Standards Board (“FASB”) issued SFAS No. 123(R), “Share Based Payment.” This statement is a revision of SFAS No. 123, “Accounting for Stock-Based Compensation” and supercedes Accounting Principles Board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Black-Scholes valuation model to determine the estimated fair value for each option grant issued. The Black- Scholes determined fair value net of estimated forfeitures is amortized as compensation cost on a straight-line basis over the service period. In applying the modified prospective method, financial statements of prior periods presented do not reflect any adjusted amounts (i.e. prior periods do not include compensation cost calculated under the fair value method). Further information on the Company’s share-based compensation arrangements is included in Note 11 “Benefit Plans.”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2006, the Company applied the provisions of EITF Issue 00-23 “Options Granted to Employees of Entities under Common Control” and recorded the cost of equity instruments granted by Wynn Resorts to employees of the Company in the Company’s consolidated financial statements as a capital contribution.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 or financial position.</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adoption of this statement will not have a material impact on the Company’s consolidated financial statements.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2006 have been reclassified to be consistent with the current year presentation. These reclassifications had no effect on the previously reported net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$161,913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$133,985</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15,317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185,736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155,491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2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120,489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2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4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603,838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603,290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1,209,562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1,164,947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655,754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614,676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865,130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214,574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3,378,538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2,641,741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(222,580)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88"/>
              </w:rPr>
              <w:t>$ 3,031,403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2,419,161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December 31, 2007 and 2006, construction in progress includes interest and other costs capitalized in conjunction with the Encore project and to certain enhancements to Wynn Las Vegas.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2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Water</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7"/>
              </w:rPr>
              <w:t>Rights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Rights</w:t>
            </w:r>
          </w:p>
        </w:tc>
        <w:tc>
          <w:tcPr>
            <w:tcW w:w="60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Trademarks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January 1, 2006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11,250</w:t>
            </w: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14,497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December 31, 2006</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20,789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6,400</w:t>
            </w:r>
          </w:p>
        </w:tc>
        <w:tc>
          <w:tcPr>
            <w:tcW w:w="2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(2,963)</w:t>
            </w: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Water rights reflect the fair value allocation determined in the purchase of the Desert Inn in April 2000. The value of the trademarks primarily represents the costs to acquire the “Le Rêve” name. The water rights and trademarks are indefinite-lived assets and, accordingly, not amortized. Show production rights represent the amounts paid to purchase the rights to present “Monty Python’s Spamalot” and “Le Rêve” production shows. On May 31, 2006, the Company entered into an agreement to acquire substantially all intellectual property rights related to “Le Rêve” which were previously only licensed to the Company. The Company paid $14.5 million to acquire substantially all of the rights in and to “Le Rêve”. The rights acquired enable the Company to produce, present, enhance, or alter the performance of “Le Rêve” after May 31, 2006. The Company expects that amortization of show production rights will be approximately $3.1 million for each of the years 2008 through 2012, approximately $1.9 million for 2013, and approximately $0.2 million in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6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$ 38,986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30,057</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Base stock</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10,645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13,843</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Golf memberships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20" w:type="dxa"/>
            <w:vAlign w:val="bottom"/>
          </w:tcPr>
          <w:p>
            <w:pPr>
              <w:spacing w:after="0"/>
              <w:rPr>
                <w:sz w:val="18"/>
                <w:szCs w:val="18"/>
                <w:color w:val="auto"/>
              </w:rPr>
            </w:pPr>
          </w:p>
        </w:tc>
      </w:tr>
      <w:tr>
        <w:trPr>
          <w:trHeight w:val="222"/>
        </w:trPr>
        <w:tc>
          <w:tcPr>
            <w:tcW w:w="3640" w:type="dxa"/>
            <w:vAlign w:val="bottom"/>
          </w:tcPr>
          <w:p>
            <w:pPr>
              <w:ind w:left="440"/>
              <w:spacing w:after="0"/>
              <w:rPr>
                <w:sz w:val="20"/>
                <w:szCs w:val="20"/>
                <w:color w:val="auto"/>
              </w:rPr>
            </w:pPr>
            <w:r>
              <w:rPr>
                <w:rFonts w:ascii="Arial" w:cs="Arial" w:eastAsia="Arial" w:hAnsi="Arial"/>
                <w:sz w:val="18"/>
                <w:szCs w:val="18"/>
                <w:color w:val="auto"/>
              </w:rPr>
              <w:t>Total</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$ 63,895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56,257</w:t>
            </w:r>
          </w:p>
        </w:tc>
      </w:tr>
      <w:tr>
        <w:trPr>
          <w:trHeight w:val="20"/>
        </w:trPr>
        <w:tc>
          <w:tcPr>
            <w:tcW w:w="36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5800" w:type="dxa"/>
            <w:vAlign w:val="bottom"/>
            <w:gridSpan w:val="2"/>
          </w:tcPr>
          <w:p>
            <w:pPr>
              <w:jc w:val="right"/>
              <w:ind w:right="3942"/>
              <w:spacing w:after="0"/>
              <w:rPr>
                <w:sz w:val="20"/>
                <w:szCs w:val="20"/>
                <w:color w:val="auto"/>
              </w:rPr>
            </w:pPr>
            <w:r>
              <w:rPr>
                <w:rFonts w:ascii="Arial" w:cs="Arial" w:eastAsia="Arial" w:hAnsi="Arial"/>
                <w:sz w:val="18"/>
                <w:szCs w:val="18"/>
                <w:color w:val="auto"/>
              </w:rPr>
              <w:t>F-14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net of original issue discount of $10,816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$ 1,689,184</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4"/>
              </w:rPr>
              <w:t>$900 million Revolving Credit Facility; due August 15, 2011; interest at LIBOR plus 1.625% (approximately 6.2% and 7.0%,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88,892</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5"/>
              </w:rPr>
              <w:t>$225 million Term Loan Facility; $112.5 million due September 30, 2012 with the remaining $112.5 million due August 15,</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 (approximately 6.9% and 7.2%, respectively)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 (approximately 7.7%)</w:t>
            </w:r>
          </w:p>
        </w:tc>
        <w:tc>
          <w:tcPr>
            <w:tcW w:w="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38,509</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 (approximately 6.5%)</w:t>
            </w: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1,955,134</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1,652,401</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(5,309)</w:t>
            </w: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9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$ 1,954,084</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$ 1,647,092</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112" w:lineRule="exact"/>
        <w:rPr>
          <w:sz w:val="20"/>
          <w:szCs w:val="20"/>
          <w:color w:val="auto"/>
        </w:rPr>
      </w:pPr>
    </w:p>
    <w:p>
      <w:pPr>
        <w:ind w:right="140" w:firstLine="456"/>
        <w:spacing w:after="0" w:line="274" w:lineRule="auto"/>
        <w:rPr>
          <w:sz w:val="20"/>
          <w:szCs w:val="20"/>
          <w:color w:val="auto"/>
        </w:rPr>
      </w:pPr>
      <w:r>
        <w:rPr>
          <w:rFonts w:ascii="Arial" w:cs="Arial" w:eastAsia="Arial" w:hAnsi="Arial"/>
          <w:sz w:val="15"/>
          <w:szCs w:val="15"/>
          <w:color w:val="auto"/>
        </w:rPr>
        <w:t xml:space="preserve">On December 14, 2004, the Issuers issued $1.3 billion aggregate principal amount of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xml:space="preserve">% First Mortgage Notes (the “First Mortgage Notes”). The First Mortgage Notes mature on December 1, 2014 and bear interest at the rate of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per year. The Company pays interest on the First Mortgage Notes on June 1</w:t>
      </w:r>
      <w:r>
        <w:rPr>
          <w:rFonts w:ascii="Arial" w:cs="Arial" w:eastAsia="Arial" w:hAnsi="Arial"/>
          <w:sz w:val="19"/>
          <w:szCs w:val="19"/>
          <w:color w:val="auto"/>
          <w:vertAlign w:val="superscript"/>
        </w:rPr>
        <w:t>st</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17"/>
          <w:szCs w:val="17"/>
          <w:color w:val="auto"/>
        </w:rPr>
        <w:t>and December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each year. Commencing December 1, 2009, the First Mortgage Notes are redeemable at the Company’s option at a price equal to 103.313% of the principal amount redeemed and declining ratably on December 1st of each year thereafter to zero on or after December 1, 2012.</w:t>
      </w:r>
    </w:p>
    <w:p>
      <w:pPr>
        <w:spacing w:after="0" w:line="18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all amounts on deposit from time to time (currently $31.1 million) in a completion guarantee deposit account maintained by Wynn Completion Guarantor, LLC; (2) a first priority pledge of all of the member’s interests owned by Wynn Las Vegas, LLC in its subsidiaries (other than Wynn Completion Guarantor, LLC) and of Wynn Resorts Holdings, LLC’s 100% member’s interest in Wynn Las Vegas, LLC; (3) first mortgages on all real property constituting Wynn Las Vegas, its golf course and Encore; and (4) a first priority security interest in substantially all other existing and future assets of Wynn Las Vegas, LLC and the guarantors, excluding, among other things, an aircraft beneficially owned by World Travel, LLC.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67" w:lineRule="exact"/>
        <w:rPr>
          <w:sz w:val="20"/>
          <w:szCs w:val="20"/>
          <w:color w:val="auto"/>
        </w:rPr>
      </w:pPr>
    </w:p>
    <w:p>
      <w:pPr>
        <w:ind w:right="20" w:firstLine="456"/>
        <w:spacing w:after="0" w:line="230" w:lineRule="auto"/>
        <w:rPr>
          <w:sz w:val="20"/>
          <w:szCs w:val="20"/>
          <w:color w:val="auto"/>
        </w:rPr>
      </w:pPr>
      <w:r>
        <w:rPr>
          <w:rFonts w:ascii="Arial" w:cs="Arial" w:eastAsia="Arial" w:hAnsi="Arial"/>
          <w:sz w:val="18"/>
          <w:szCs w:val="18"/>
          <w:color w:val="auto"/>
        </w:rPr>
        <w:t xml:space="preserve">On November 6, 2007, the Issuers issued, in a private offering, $400 million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at a price of 97.25% of the principal amount (the “Additional Notes”). The Additional Notes were issued under the same indenture as the First Mortgage Notes issued on December 14, 2004.</w:t>
      </w:r>
    </w:p>
    <w:p>
      <w:pPr>
        <w:spacing w:after="0" w:line="1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Additional Notes rank pari passu with, and will vote on any matter submitted to note holders with, the previously issued First Mortgage Notes. The Additional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Additional Notes have not been registered under the Securities Act of 1933 or under any state securities laws. Therefore, the Issuers may not offer or sell the Additional Notes within the United States to, or for the account or benefit of, any United States person unless the offer or sale would qualify for a registration exemption from the Securities Act and applicable state securities laws. The Issuers have agreed to make an offer to exchange the Additional Notes for registered, publicly traded notes that have substantially identical terms as the Additional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14, 2004, Wynn Las Vegas, LLC entered into a credit agreement and related ancillary agreements for secured revolving credit and term loan facilities in the aggregate amount of $1 billion. The credit facilities consisted of a revolving credit facility (the “Revolver”) in the amount of $600 million and a term loan facility (the “Term Loan”) in the amount of $400 million. The Revolver was to terminate and be payable in full on December 14, 2009, and the Term Loan was to mature on December 14, 2011.</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August 15, 2006, the Company refinanced the above noted credit facilities and entered into an Amended and Restated Credit Agreement (the “Amended and Restated Credit Agreement”) which increased the Wynn Las Vegas credit facilities from $1 billion to $1.125 billion by increasing the Revolver from $600 million to $900 million and reducing the Term Loan from $400 million to $225 million. The $900 million Revolver and the $225 million Term Loan are herein referred to as the “Credit Facilities”. In August 2006, the maturity dates for the Revolver and the Term Loan were extended to August 15, 2011 and August 15, 2013, respectively. One half of the Term Loan is due on September 30, 2012 and the remaining half is due August 15, 2013.</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5"/>
          <w:szCs w:val="15"/>
          <w:color w:val="auto"/>
        </w:rPr>
        <w:t>For purposes of calculating interest, loans under the Credit Facilities will be designated, at the election of Wynn Las Vegas, LLC, as Eurodollar Loans or, in certain circumstances, Base Rate Loans. Eurodollar Loans under the Revolver and Term Loan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w:t>
      </w:r>
    </w:p>
    <w:p>
      <w:pPr>
        <w:spacing w:after="0" w:line="1" w:lineRule="exact"/>
        <w:rPr>
          <w:sz w:val="20"/>
          <w:szCs w:val="20"/>
          <w:color w:val="auto"/>
        </w:rPr>
      </w:pPr>
    </w:p>
    <w:p>
      <w:pPr>
        <w:ind w:right="540"/>
        <w:spacing w:after="0" w:line="241" w:lineRule="auto"/>
        <w:rPr>
          <w:sz w:val="20"/>
          <w:szCs w:val="20"/>
          <w:color w:val="auto"/>
        </w:rPr>
      </w:pPr>
      <w:r>
        <w:rPr>
          <w:rFonts w:ascii="Arial" w:cs="Arial" w:eastAsia="Arial" w:hAnsi="Arial"/>
          <w:sz w:val="17"/>
          <w:szCs w:val="17"/>
          <w:color w:val="auto"/>
        </w:rPr>
        <w:t xml:space="preserve">recently announced by Deutsche Bank as its “prime rate,” or (ii) the Federal Funds Rate plus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per annum; plus (b) a borrowing margin 0.625% or 0.875% under the Revolver and Term Loans, respectively. Interest on Base Rate Loans will be payable quarterly in arrears.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After the opening of Encore, the applicable borrowing margins for the Revolver will be based on Wynn Las Vegas, LLC’s leverage ratio, ranging from 1% to 1.75% per annum for Eurodollar Loans and 0% to 0.75% per annum for Base Rate Loans. Until then, Wynn Las Vegas, LLC will pay, quarterly in arrears, 0.375% per annum on the daily average of unborrowed availability under the Revolver. After opening Encore, the annual fee Wynn Las Vegas, LLC will be required to pay for unborrowed availability under the Revolver will be based on Wynn Las Vegas, LLC’s leverage ratio, ranging from 0.25% to 0.50% per annum.</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all amounts on deposit from time to time (currently $31.1 million) in a completion guarantee deposit account maintained by Wynn Completion Guarantor, LLC; (2) all amounts on deposit from time to time in a secured account holding the proceeds of the Credit Facilities;</w:t>
      </w:r>
    </w:p>
    <w:p>
      <w:pPr>
        <w:spacing w:after="0" w:line="3" w:lineRule="exact"/>
        <w:rPr>
          <w:sz w:val="20"/>
          <w:szCs w:val="20"/>
          <w:color w:val="auto"/>
        </w:rPr>
      </w:pPr>
    </w:p>
    <w:p>
      <w:pPr>
        <w:jc w:val="both"/>
        <w:ind w:right="100" w:firstLine="8"/>
        <w:spacing w:after="0" w:line="254" w:lineRule="auto"/>
        <w:tabs>
          <w:tab w:leader="none" w:pos="24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first priority pledge of all member’s interests owned by Wynn Las Vegas, LLC in its subsidiaries (other than Wynn Completion Guarantor, LLC) and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an aircraft beneficially owned by World Travel, LLC.</w:t>
      </w:r>
    </w:p>
    <w:p>
      <w:pPr>
        <w:spacing w:after="0" w:line="14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existing and future senior indebtedness, including indebtedness with respect to the First Mortgage Notes and rank senior in right of payment to all existing and future subordinated indebtedness.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After opening Encore, Wynn Las Vegas, LLC will also be required to make mandatory repayments of indebtedness under the Credit Facilities from specified percentages of excess cash flow, which percentages may decrease and/or be eliminated based on Wynn Las Vegas, LLC’s leverage ratio. Wynn Las Vegas, LLC has the option to prepay all or any portion of the indebtedness under the Credit Facilities at any time without premium or penalty.</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maintaining a ratio of total debt to earnings before interest, taxes, depreciation and amortization.</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accordance with EITF 96-19, “Debtor’s Accounting for a Modification or Exchange of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Credit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2007, the Company amended the Credit Facilities to: (a) have the Final Completion, as defined, be deemed satisfied for Wynn Las Vegas with the resulting release of (i) all amounts in excess of $30 million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October 2007, the Company further amended the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 and $42 Million Note Payable for Aircraft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were to terminate on March 31, 2010. The term loans were guaranteed by Wynn Las Vegas, LLC and secured by a first priority security interest in the Company’s aircraft. Principal and interest was payable quarterly, and interest was calculated at LIBOR plus a margin of 2.375%. In addition to scheduled amortization payments, the borrower was required to prepay the loans if certain events of loss with respect to the aircraft occur.</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March 2007, World Travel, LLC, a subsidiary of Wynn Las Vegas, refinanced the $44.75 million note payable. The new loan has a principal balance of $42 million and is due April 1, 2017. The loan is guaranteed by Wynn Las Vegas, LLC and secured by a first priority security interest in the Company’s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 during the year ended December 31, 2007.</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net book value of the First Mortgage Notes, including the Additional Notes, at December 31, 2007 and 2006 was $1.7 billion and $1.3 billion, respectively. The estimated fair value of the First Mortgage Notes, including the Additional Notes, based upon most recent trades at December 31, 2007 and 2006 was approximately $1.67 billion and $1.3 billion, respectively. The net book value of the Company’s other debt instruments approximates fair value.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4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400" w:type="dxa"/>
            <w:vAlign w:val="bottom"/>
          </w:tcPr>
          <w:p>
            <w:pPr>
              <w:jc w:val="center"/>
              <w:ind w:right="172"/>
              <w:spacing w:after="0"/>
              <w:rPr>
                <w:sz w:val="20"/>
                <w:szCs w:val="20"/>
                <w:color w:val="auto"/>
              </w:rPr>
            </w:pPr>
            <w:r>
              <w:rPr>
                <w:rFonts w:ascii="Arial" w:cs="Arial" w:eastAsia="Arial" w:hAnsi="Arial"/>
                <w:sz w:val="18"/>
                <w:szCs w:val="18"/>
                <w:b w:val="1"/>
                <w:bCs w:val="1"/>
                <w:color w:val="auto"/>
                <w:w w:val="96"/>
              </w:rPr>
              <w:t>WYNN LAS VEGAS, LLC AND SUBSIDIARIES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7"/>
        </w:trPr>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0" w:type="dxa"/>
            <w:vAlign w:val="bottom"/>
          </w:tcPr>
          <w:p>
            <w:pPr>
              <w:jc w:val="center"/>
              <w:ind w:right="15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8800" w:type="dxa"/>
            <w:vAlign w:val="bottom"/>
            <w:gridSpan w:val="3"/>
          </w:tcPr>
          <w:p>
            <w:pPr>
              <w:spacing w:after="0"/>
              <w:rPr>
                <w:sz w:val="20"/>
                <w:szCs w:val="20"/>
                <w:color w:val="auto"/>
              </w:rPr>
            </w:pPr>
            <w:r>
              <w:rPr>
                <w:rFonts w:ascii="Arial" w:cs="Arial" w:eastAsia="Arial" w:hAnsi="Arial"/>
                <w:sz w:val="18"/>
                <w:szCs w:val="18"/>
                <w:i w:val="1"/>
                <w:iCs w:val="1"/>
                <w:color w:val="auto"/>
              </w:rPr>
              <w:t>Scheduled Maturities of Long-Term Debt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8800" w:type="dxa"/>
            <w:vAlign w:val="bottom"/>
            <w:gridSpan w:val="3"/>
          </w:tcPr>
          <w:p>
            <w:pPr>
              <w:ind w:left="220"/>
              <w:spacing w:after="0"/>
              <w:rPr>
                <w:sz w:val="20"/>
                <w:szCs w:val="20"/>
                <w:color w:val="auto"/>
              </w:rPr>
            </w:pPr>
            <w:r>
              <w:rPr>
                <w:rFonts w:ascii="Arial" w:cs="Arial" w:eastAsia="Arial" w:hAnsi="Arial"/>
                <w:sz w:val="18"/>
                <w:szCs w:val="18"/>
                <w:color w:val="auto"/>
              </w:rPr>
              <w:t>Scheduled maturities of long-term debt are as follows (amounts in thousands):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3"/>
        </w:trPr>
        <w:tc>
          <w:tcPr>
            <w:tcW w:w="68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0"/>
        </w:trPr>
        <w:tc>
          <w:tcPr>
            <w:tcW w:w="680" w:type="dxa"/>
            <w:vAlign w:val="bottom"/>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6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6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6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8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6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8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113,900</w:t>
            </w:r>
          </w:p>
        </w:tc>
      </w:tr>
      <w:tr>
        <w:trPr>
          <w:trHeight w:val="223"/>
        </w:trPr>
        <w:tc>
          <w:tcPr>
            <w:tcW w:w="68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1,846,800</w:t>
            </w:r>
          </w:p>
        </w:tc>
      </w:tr>
      <w:tr>
        <w:trPr>
          <w:trHeight w:val="216"/>
        </w:trPr>
        <w:tc>
          <w:tcPr>
            <w:tcW w:w="68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1,965,950</w:t>
            </w:r>
          </w:p>
        </w:tc>
      </w:tr>
      <w:tr>
        <w:trPr>
          <w:trHeight w:val="20"/>
        </w:trPr>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has entered into floating-for-fixed interest rate swap arrangements relating to its Term Loans. The Company accounts for its interest rate swaps in accordance with SFAS No. 133, “Accounting for Derivative Instruments and Hedging Activities”, and its related interpretations.</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December 14, 2004, the Company entered into two $200 million notional amount interest rate swap arrangements to fix the interest rate on the $400 million of floating-rate Term Loan borrowings outstanding prior to the August 15, 2006 refinancing of the Credit Facilities (See Note 7 “Long-term Debt”). Under these arrangements, the Company paid 3.793% of the notional amount and received payments equal to 1-month LIBOR. Although these interest rate swaps essentially fixed the interest rate at approximately 5.9%, changes in the fair value of the interest rate swaps for each reporting period were recorded in the increase (decrease) in swap fair value in the accompanying Consolidated Statements of Operations since the interest rate swaps did not qualify for hedge accounting under SFAS No. 133.</w:t>
      </w:r>
    </w:p>
    <w:p>
      <w:pPr>
        <w:spacing w:after="0" w:line="144"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On August 15, 2006, the Company reduced its Term Loan facility as part of the refinancing of the Credit Facilities, and concurrently terminated one of its two $200 million interest rate swap arrangements. The Company received approximately $6.6 million in cash from unwinding this interest rate swap. The Company elected to retain the second $200 million interest rate swap to essentially fix the interest rate on $200 million of the new $225 million of Term Loan borrowings. Because the Company continues to pay a fixed rate of 3.793% on the $200 million notional amount and receives payments based on LIBOR, the interest rate on $200 million of the new $225 million Term Loan is fixed at approximately 5.7%. The interest rate on the remaining $25 million of Term Loan is subject to changes in LIBOR rates.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2007 and 2006, the Company has recorded an asset of approximately $0.4 million and $4.8 million, respectively to reflect the fair value of the remaining $200 million notional amount interest rate swap. The fair value approximates the amount the Company would receive if the contract was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noted above, although the current interest rate swap is highly effective economically in fixing the interest rate on $200 million of the Term Loan, this interest rate swap does not qualify for hedge accounting under SFAS No. 133. Accordingly, changes in the fair value of the interest rate swap are recorded in the accompanying Consolidated Statement of Operations as an increase/(decrease) in swap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August 15, 2005, the Company loaned $80 million to Wynn Resorts that further loaned those funds through its subsidiaries to Wynn Macau, S.A. as part of the financing of Wynn Macau, Wynn Resorts’ casino resort facility in the Macau Special Administrative Region of the People’s Republic of China (“Macau”), which opened on September 6, 2006. Wynn Macau S. A. repaid to Wynn Resorts all amounts outstanding in November 2006. Interest accrues at 7.5% per annum. Unpaid principal and interest is due at maturity on August 15, 2012. Included in the balances as of December 31, 2007 and 2006, was approximately $8.4 million and $2.4 million, respectively, of accrued interest receivable related to this note.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2007, the Company’s net due to affiliates was primarily comprised of construction payables of approximately $65.7 million, construction retention of approximately $41.6 million, a management fee of approximately $47.4 million (equal to 1.5% of net revenues and payable upon meeting certain leverage ratios as specified in the documents governing the Company’s Credit Facilities), and other net amounts receivable from affiliates totaling $35.2 million (including corporate allocations discussed below). As of December 31, 2006 the Company’s net due to affiliates was primarily comprised of construction payables of approximately $20 million, construction retention of approximately $9 million, a management fee of approximately $27.9 million (equal to 1.5% of revenues and payable upon meeting certain leverage ratios as specified in the documents governing the Company’s Credit Facilities) and other net amounts payable to affiliates totaling $7.8 million (including corporate allocations discussed below).</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Affiliates, net” above. During the years ended December 31, 2007 and 2006, approximately $18.7 million and $18.4 million, respectively, was charged to the Company for such corporate allocations.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These services include household services, construction work and other personal services. The cost of these services is transferred to Wynn Resorts, Limited on a periodic basis. Mr. Wynn and these other officers have amounts on deposit with Wynn Resorts to prepay any such items, which are replenished on an ongoing basis as needed. At December 31, 2007 and December 31, 2006, Wynn Resorts owed Mr. Wynn and the other officers approximately $357,145 and $315,000,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2007, 2006 and 2005, were $6 million, $14.4 million and $14.2 million, respectively.</w:t>
      </w:r>
    </w:p>
    <w:p>
      <w:pPr>
        <w:spacing w:after="0" w:line="194"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In response to the Company’s evaluation of the completed Wynn Las Vegas project and the reactions of its guests, the Company continues to make enhancements and refinements to the property. Costs relating to assets retired as a result of these enhancement and remodel efforts have been expensed as property charges. During the year ended December 31, 2007, asset abandonments were recorded related to the remodel and enhancements made to the Le Rêve Theater, the abandonment of a marquee sign, two retail outlet conversions and the conversion of </w:t>
      </w:r>
      <w:r>
        <w:rPr>
          <w:rFonts w:ascii="Arial" w:cs="Arial" w:eastAsia="Arial" w:hAnsi="Arial"/>
          <w:sz w:val="15"/>
          <w:szCs w:val="15"/>
          <w:i w:val="1"/>
          <w:iCs w:val="1"/>
          <w:color w:val="auto"/>
        </w:rPr>
        <w:t>Lure</w:t>
      </w:r>
      <w:r>
        <w:rPr>
          <w:rFonts w:ascii="Arial" w:cs="Arial" w:eastAsia="Arial" w:hAnsi="Arial"/>
          <w:sz w:val="15"/>
          <w:szCs w:val="15"/>
          <w:color w:val="auto"/>
        </w:rPr>
        <w:t xml:space="preserve"> to the nighclub </w:t>
      </w:r>
      <w:r>
        <w:rPr>
          <w:rFonts w:ascii="Arial" w:cs="Arial" w:eastAsia="Arial" w:hAnsi="Arial"/>
          <w:sz w:val="15"/>
          <w:szCs w:val="15"/>
          <w:i w:val="1"/>
          <w:iCs w:val="1"/>
          <w:color w:val="auto"/>
        </w:rPr>
        <w:t>Blush</w:t>
      </w:r>
      <w:r>
        <w:rPr>
          <w:rFonts w:ascii="Arial" w:cs="Arial" w:eastAsia="Arial" w:hAnsi="Arial"/>
          <w:sz w:val="15"/>
          <w:szCs w:val="15"/>
          <w:color w:val="auto"/>
        </w:rPr>
        <w:t>. During the year ended December 31, 2006, the Company remodeled six North Fairway Villas, several areas of the retail promenade, a portion of the baccarat area to feature a casino bar and improved public baccarat space along with private baccarat salons and converted the Keno lounge to a retail outlet for womens’ accessories. Included in property charges and other for 2005 are approximately $9.4 million of costs relating to assets retired and approximately $3.1 million of expenses relating to the abandonment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improvements made to the temporary offices utilized during part of the construction and development of Wynn Las Vegas. The Company also wrote off approximately $1.6 million of costs incurred in 2005 in connection with the preliminary design and development of a third theater originally planned for a new show production for Wynn Las Vegas which was later abandoned.</w:t>
      </w:r>
    </w:p>
    <w:p>
      <w:pPr>
        <w:spacing w:after="0" w:line="215" w:lineRule="exact"/>
        <w:rPr>
          <w:sz w:val="20"/>
          <w:szCs w:val="20"/>
          <w:color w:val="auto"/>
        </w:rPr>
      </w:pPr>
    </w:p>
    <w:p>
      <w:pPr>
        <w:ind w:right="9740" w:firstLine="8"/>
        <w:spacing w:after="0" w:line="417" w:lineRule="auto"/>
        <w:tabs>
          <w:tab w:leader="none" w:pos="254" w:val="left"/>
        </w:tabs>
        <w:numPr>
          <w:ilvl w:val="0"/>
          <w:numId w:val="20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$4.5 million, $3 million and $591,000 for the years ended December 31, 2007, 2006 and 2005, respectively.</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$4.5 million, $4.3 million and $1.2 million under such plans for the years ended December 31, 2007, 2006 and 2005, respectively. Information from the plans’ sponsors is not available to permit the Company to determine its share of unfunded vested benefits, if 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0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A maximum of 9,750,000 shares of Wynn Resorts’ common stock has been reserved for issuance under the Stock Plan. As of December 31, 2007, 4,430,712 shares remain available for the grant of stock options or nonvested shares of Wynn Resorts’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2007, and the changes during the year then ended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1,341,000</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$ 48.34</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Granted</w:t>
            </w:r>
          </w:p>
        </w:tc>
        <w:tc>
          <w:tcPr>
            <w:tcW w:w="23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(113,825)</w:t>
            </w: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$ 43.79</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23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(21,250)</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$ 52.37</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23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1,205,925</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$ 48.68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$73,342,220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2007</w:t>
            </w:r>
          </w:p>
        </w:tc>
        <w:tc>
          <w:tcPr>
            <w:tcW w:w="2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3"/>
              </w:rPr>
              <w:t>$ 29.99</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5.94</w:t>
            </w:r>
          </w:p>
        </w:tc>
        <w:tc>
          <w:tcPr>
            <w:tcW w:w="1140" w:type="dxa"/>
            <w:vAlign w:val="bottom"/>
            <w:gridSpan w:val="3"/>
            <w:vMerge w:val="restart"/>
          </w:tcPr>
          <w:p>
            <w:pPr>
              <w:jc w:val="center"/>
              <w:ind w:left="112"/>
              <w:spacing w:after="0"/>
              <w:rPr>
                <w:sz w:val="20"/>
                <w:szCs w:val="20"/>
                <w:color w:val="auto"/>
              </w:rPr>
            </w:pPr>
            <w:r>
              <w:rPr>
                <w:rFonts w:ascii="Arial" w:cs="Arial" w:eastAsia="Arial" w:hAnsi="Arial"/>
                <w:sz w:val="18"/>
                <w:szCs w:val="18"/>
                <w:color w:val="auto"/>
                <w:w w:val="89"/>
              </w:rPr>
              <w:t>$28,271,490</w:t>
            </w: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344,175</w:t>
            </w:r>
          </w:p>
        </w:tc>
        <w:tc>
          <w:tcPr>
            <w:tcW w:w="3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years ended December 31, 2006 and 2005 was $31.01 and $24.31, respectively. There were no stock options granted during the year ended December 31, 2007. The total intrinsic value of the options exercised for the years ended December 31, 2007, 2006 and 2005 was $7.9 million, $25 million and $2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Stock Plan’s nonvested shares as of December 31, 2007 and changes during the year then ended is presented below:</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7740" w:type="dxa"/>
            <w:vAlign w:val="bottom"/>
          </w:tcPr>
          <w:p>
            <w:pPr>
              <w:spacing w:after="0"/>
              <w:rPr>
                <w:sz w:val="14"/>
                <w:szCs w:val="14"/>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169,000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14,000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123.73</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Pr>
          <w:p>
            <w:pPr>
              <w:ind w:left="440"/>
              <w:spacing w:after="0"/>
              <w:rPr>
                <w:sz w:val="20"/>
                <w:szCs w:val="20"/>
                <w:color w:val="auto"/>
              </w:rPr>
            </w:pPr>
            <w:r>
              <w:rPr>
                <w:rFonts w:ascii="Arial" w:cs="Arial" w:eastAsia="Arial" w:hAnsi="Arial"/>
                <w:sz w:val="18"/>
                <w:szCs w:val="18"/>
                <w:color w:val="auto"/>
              </w:rPr>
              <w:t>Canceled</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70.33</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171,000</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r>
      <w:tr>
        <w:trPr>
          <w:trHeight w:val="20"/>
        </w:trPr>
        <w:tc>
          <w:tcPr>
            <w:tcW w:w="7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general and administrative expenses, pre-opening costs and construction in progress for the Company’s development projects.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Since the adoption of SFAS No. 123(R), the Company uses the simplified method prescribed by SAB No. 107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2006</w:t>
            </w:r>
          </w:p>
        </w:tc>
        <w:tc>
          <w:tcPr>
            <w:tcW w:w="10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32.5%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Compensation cost related to stock options for the years ended December 31, 2007 and 2006, were $6.1 million and $7.3 million, respectively.</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compensation cost relating to stock options, during the years ended December 31, 2007 and 2006, the Company recognized compensation cost related to nonvested shares of Wynn Resorts’ common stock of approximately $1.9 million and $809,000, respectively. Approximately $8.7 million of unamortized compensation cost relating to nonvested shares of Common Stock at December 31, 2007, will be recognized as compensation over the vesting period of the related grants through May 2016.</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2007 and 2006 is allocated as follows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7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8,031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8,133</w:t>
            </w: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SFAS No. 123”, the Company continued to apply the provisions of APB Opinion No. 25, “Accounting for Stock Issued to Employees,” and related interpretations in accounting for its employee stock-based compensation for the year ended December 31, 2005. Accordingly, compensation expense was recognized only to the extent that the market value at the date of grant exceeded the exercise price.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illustrates the effect on the net loss that would have resulted had the Company applied the fair value recognition provisions of SFAS No. 123, “Accounting for Stock-Based Compensation” to stock-based employee compensation during the year ended December 31, 2005 (amounts in thousands):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8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8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r>
      <w:tr>
        <w:trPr>
          <w:trHeight w:val="208"/>
        </w:trPr>
        <w:tc>
          <w:tcPr>
            <w:tcW w:w="8220" w:type="dxa"/>
            <w:vAlign w:val="bottom"/>
          </w:tcPr>
          <w:p>
            <w:pPr>
              <w:ind w:left="440"/>
              <w:spacing w:after="0"/>
              <w:rPr>
                <w:sz w:val="20"/>
                <w:szCs w:val="20"/>
                <w:color w:val="auto"/>
              </w:rPr>
            </w:pPr>
            <w:r>
              <w:rPr>
                <w:rFonts w:ascii="Arial" w:cs="Arial" w:eastAsia="Arial" w:hAnsi="Arial"/>
                <w:sz w:val="18"/>
                <w:szCs w:val="18"/>
                <w:color w:val="auto"/>
                <w:w w:val="92"/>
              </w:rPr>
              <w:t>Less: total stock-based employee compensation expenses determined under the fair-value based method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8220" w:type="dxa"/>
            <w:vAlign w:val="bottom"/>
          </w:tcPr>
          <w:p>
            <w:pPr>
              <w:ind w:left="660"/>
              <w:spacing w:after="0"/>
              <w:rPr>
                <w:sz w:val="20"/>
                <w:szCs w:val="20"/>
                <w:color w:val="auto"/>
              </w:rPr>
            </w:pPr>
            <w:r>
              <w:rPr>
                <w:rFonts w:ascii="Arial" w:cs="Arial" w:eastAsia="Arial" w:hAnsi="Arial"/>
                <w:sz w:val="18"/>
                <w:szCs w:val="18"/>
                <w:color w:val="auto"/>
              </w:rPr>
              <w:t>for all awards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(5,138)</w:t>
            </w:r>
          </w:p>
        </w:tc>
      </w:tr>
      <w:tr>
        <w:trPr>
          <w:trHeight w:val="28"/>
        </w:trPr>
        <w:tc>
          <w:tcPr>
            <w:tcW w:w="8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(50,412)</w:t>
            </w:r>
          </w:p>
        </w:tc>
      </w:tr>
      <w:tr>
        <w:trPr>
          <w:trHeight w:val="20"/>
        </w:trPr>
        <w:tc>
          <w:tcPr>
            <w:tcW w:w="8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40" w:hanging="232"/>
        <w:spacing w:after="0" w:line="391" w:lineRule="auto"/>
        <w:tabs>
          <w:tab w:leader="none" w:pos="275"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Wynn Las Vegas Enhancements. </w:t>
      </w:r>
      <w:r>
        <w:rPr>
          <w:rFonts w:ascii="Arial" w:cs="Arial" w:eastAsia="Arial" w:hAnsi="Arial"/>
          <w:sz w:val="16"/>
          <w:szCs w:val="16"/>
          <w:color w:val="auto"/>
        </w:rPr>
        <w:t>The Company has made and continues to make certain enhancements and refinements to Wynn Las Vegas. As a result,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incurred and will continue to incur capital expenditures related to these enhancements and refinements. Under the terms of the Wynn Las Vegas, LLC credit facilities, the Company was permitted up to $172.2 million of capital expenditures in 2007, of which $60.1 million was spent. For 2008, the limit under the Wynn Las Vegas Credit Facilities is $272.1 million, including $112.1 million carried forward from 2007. These spending limits do not apply to any funds that may be contributed to Wynn Las Vegas, LLC by Wynn Resorts.</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Encore Construction Development</w:t>
      </w:r>
      <w:r>
        <w:rPr>
          <w:rFonts w:ascii="Arial" w:cs="Arial" w:eastAsia="Arial" w:hAnsi="Arial"/>
          <w:sz w:val="16"/>
          <w:szCs w:val="16"/>
          <w:color w:val="auto"/>
        </w:rPr>
        <w:t>. Encore’s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restaurants, a nightclub, swimming pools, a spa and salon and retail outlets. The Company commenced construction of Encore on April 28, 2006 and expects to open Encore in December 2008.</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project budget for Encore is approximately $2.2 billion, consisting of approximately $2.1 billion for Encore and approximately $100 million for an employee parking garage on our Koval property, an associated pedestrian bridge and costs incurred in connection with the theater remodeling and production of “Monty Python’s Spamalot” at Wynn Las Vegas. The project budget is being funded from our existing Credit Facilities, operating cash flow from Wynn Las Vegas and remaining proceeds from a $400 million addition to the Wynn Las Vegas First Mortgage Notes that was completed in November 2007 (see Note 7). To the extent additional funds are required, they will be provided from additional debt and equity contributions by Wynn Resorts or additional indebtedness to be incurred by Wynn Las Vegas.</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the Company and Tutor executed the First Amendment to the Contract which set the Guaranteed Maximum Price (“GMP”) for construction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2007, the Company has incurred approximately $998.7 million of project costs related to the development and construction of Encore and related capital improvements.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Completion Guarantee </w:t>
      </w:r>
      <w:r>
        <w:rPr>
          <w:rFonts w:ascii="Arial" w:cs="Arial" w:eastAsia="Arial" w:hAnsi="Arial"/>
          <w:sz w:val="16"/>
          <w:szCs w:val="16"/>
          <w:color w:val="auto"/>
        </w:rPr>
        <w:t>As part of the Wynn Las Vegas financing, the Company contributed $50 million of the net proceeds of the initial public offering of</w:t>
      </w:r>
      <w:r>
        <w:rPr>
          <w:rFonts w:ascii="Arial" w:cs="Arial" w:eastAsia="Arial" w:hAnsi="Arial"/>
          <w:sz w:val="16"/>
          <w:szCs w:val="16"/>
          <w:i w:val="1"/>
          <w:iCs w:val="1"/>
          <w:color w:val="auto"/>
        </w:rPr>
        <w:t xml:space="preserve"> </w:t>
      </w:r>
      <w:r>
        <w:rPr>
          <w:rFonts w:ascii="Arial" w:cs="Arial" w:eastAsia="Arial" w:hAnsi="Arial"/>
          <w:sz w:val="16"/>
          <w:szCs w:val="16"/>
          <w:color w:val="auto"/>
        </w:rPr>
        <w:t>Wynn Resorts’ common stock to Wynn Completion Guarantor, LLC, a special purpose subsidiary of Wynn Las Vegas, LLC and deposited those funds into a completion guarantee deposit account to secure completion of Wynn Las Vegas. As referenced in Note 7, in April 2007 all amounts in excess of $30 million were released as a result of the April 2007 amendment to the Credit Facilities. The remaining $30 million is retained as Encore’s completion guarantee.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9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2,268</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23"/>
        </w:trPr>
        <w:tc>
          <w:tcPr>
            <w:tcW w:w="1720" w:type="dxa"/>
            <w:vAlign w:val="bottom"/>
          </w:tcPr>
          <w:p>
            <w:pPr>
              <w:spacing w:after="0"/>
              <w:rPr>
                <w:sz w:val="20"/>
                <w:szCs w:val="20"/>
                <w:color w:val="auto"/>
              </w:rPr>
            </w:pPr>
            <w:r>
              <w:rPr>
                <w:rFonts w:ascii="Arial" w:cs="Arial" w:eastAsia="Arial" w:hAnsi="Arial"/>
                <w:sz w:val="18"/>
                <w:szCs w:val="18"/>
                <w:color w:val="auto"/>
              </w:rPr>
              <w:t>Thereafter</w:t>
            </w:r>
          </w:p>
        </w:tc>
        <w:tc>
          <w:tcPr>
            <w:tcW w:w="7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16"/>
        </w:trPr>
        <w:tc>
          <w:tcPr>
            <w:tcW w:w="1720" w:type="dxa"/>
            <w:vAlign w:val="bottom"/>
            <w:shd w:val="clear" w:color="auto" w:fill="CCEEFF"/>
          </w:tcPr>
          <w:p>
            <w:pPr>
              <w:spacing w:after="0"/>
              <w:rPr>
                <w:sz w:val="18"/>
                <w:szCs w:val="18"/>
                <w:color w:val="auto"/>
              </w:rPr>
            </w:pP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12,584</w:t>
            </w:r>
          </w:p>
        </w:tc>
      </w:tr>
      <w:tr>
        <w:trPr>
          <w:trHeight w:val="20"/>
        </w:trPr>
        <w:tc>
          <w:tcPr>
            <w:tcW w:w="1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the Company is the lessee under leases for certain land, buildings and office equipment. Total minimum payments of approximately $9.7 million are to be made under non-cancelable leases for approximately $1.7 million in 2008 and 2009, $1.2 million in 2010, $1.1 million in 2011 and 2012 and approximately $2.9 million thereafter.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Condensed Consolidating Financial Information of Guarantors and Issuers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2007 and 2006, and for each of the three years in the period ended December 31, 2007.</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146,556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135,094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58,612</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360,218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88,379</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2,825,608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205,795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3,031,403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19,381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41,536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59,174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28,811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44,516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88,299</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(148,607)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189,121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191,450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1,914,184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1,954,084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55,618</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2,017,103</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231,350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2,272,236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Member’s equity:</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1,461,949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(12,530)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Accumulated earnings (deficit)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(86,929)</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(21,972)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member’s equity</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60" w:type="dxa"/>
            <w:vAlign w:val="bottom"/>
            <w:gridSpan w:val="4"/>
          </w:tcPr>
          <w:p>
            <w:pPr>
              <w:jc w:val="right"/>
              <w:ind w:right="1040"/>
              <w:spacing w:after="0"/>
              <w:rPr>
                <w:sz w:val="20"/>
                <w:szCs w:val="20"/>
                <w:color w:val="auto"/>
              </w:rPr>
            </w:pPr>
            <w:r>
              <w:rPr>
                <w:rFonts w:ascii="Arial" w:cs="Arial" w:eastAsia="Arial" w:hAnsi="Arial"/>
                <w:sz w:val="18"/>
                <w:szCs w:val="18"/>
                <w:color w:val="auto"/>
              </w:rPr>
              <w:t>F-28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93,825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Restricted cash and investments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24,621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120,489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49,451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21,321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309,707</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118,965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82,379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2,219,360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199,801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22,058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45,215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56,243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2,855,972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212,030</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28,364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8,833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36,235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expenses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18,078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Customer deposits and other liabilities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67,317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affiliates,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(161,022)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175,664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182,163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18,553</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1,613,892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1,647,092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1,613,202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Contributed capital</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1,453,918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1,453,918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earnings (deficit)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(211,148)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(15,863)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(211,148)</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member’s equity</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1,242,770</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1,242,770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member’s equity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2,855,972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2540" w:type="dxa"/>
            <w:vAlign w:val="bottom"/>
            <w:gridSpan w:val="4"/>
          </w:tcPr>
          <w:p>
            <w:pPr>
              <w:jc w:val="right"/>
              <w:ind w:right="1020"/>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Issuers</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642,327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285,702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311,032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210,304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1,449,365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1,448,569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(152,718)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1,296,647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1,295,851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276,523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75,808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192,497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145,460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202,135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19,473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147,413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1,092,910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1,096,026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199,519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(3,111)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200,621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12,321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(4,372)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(75,300)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(76,402)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124,219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F-30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5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Issuers</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Casino</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535,561</w:t>
            </w:r>
          </w:p>
        </w:tc>
        <w:tc>
          <w:tcPr>
            <w:tcW w:w="34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295,205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1,295,012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1,293,603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(154,255)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(154,255)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1,140,757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1,139,348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Casino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250,447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185,382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183,166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142,713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1,021,916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115,751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(114,584)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(117,787)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(12,533)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(105,943)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(106,648)</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9,808</w:t>
            </w:r>
          </w:p>
        </w:tc>
        <w:tc>
          <w:tcPr>
            <w:tcW w:w="34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(5,588)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2,498</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F-31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Subsidiary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125,797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823,475</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(100,923)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722,552</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110,931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90,355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3,942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706,881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12,773</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(85,072)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(58,047)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(45,274)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(4,283)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80" w:type="dxa"/>
            <w:vAlign w:val="bottom"/>
            <w:gridSpan w:val="3"/>
          </w:tcPr>
          <w:p>
            <w:pPr>
              <w:jc w:val="right"/>
              <w:ind w:right="900"/>
              <w:spacing w:after="0"/>
              <w:rPr>
                <w:sz w:val="20"/>
                <w:szCs w:val="20"/>
                <w:color w:val="auto"/>
              </w:rPr>
            </w:pPr>
            <w:r>
              <w:rPr>
                <w:rFonts w:ascii="Arial" w:cs="Arial" w:eastAsia="Arial" w:hAnsi="Arial"/>
                <w:sz w:val="18"/>
                <w:szCs w:val="18"/>
                <w:color w:val="auto"/>
                <w:w w:val="97"/>
              </w:rPr>
              <w:t>F-32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$ 124,219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1,891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4,218</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(loss) to net cash provided by</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147,413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Amortization and writeoff of deferred financing costs and other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10,795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4,218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(4,218)</w:t>
            </w: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6,005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swap fair value</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(41,744)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(7,252)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35,963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4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7,642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(7,177)</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320,801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Capital expenditures, net of construction payables and retentions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(667,060)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(11,420)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143,586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22,879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(20,585)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20,634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(24,770)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(564,637)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(243,352)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(39,559)</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543,460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4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(3,541)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296,567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52,731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4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93,825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$ 146,556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8"/>
                <w:szCs w:val="18"/>
                <w:color w:val="auto"/>
              </w:rPr>
              <w:t>F-33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Issuers</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9,808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(5,588)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2,498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8"/>
                <w:szCs w:val="18"/>
                <w:color w:val="auto"/>
              </w:rPr>
            </w:pPr>
          </w:p>
        </w:tc>
      </w:tr>
      <w:tr>
        <w:trPr>
          <w:trHeight w:val="20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(used in) operating activities: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142,713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4,895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147,608</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11,316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0" w:type="dxa"/>
            <w:vAlign w:val="bottom"/>
            <w:shd w:val="clear" w:color="auto" w:fill="CCEEFF"/>
          </w:tcPr>
          <w:p>
            <w:pPr>
              <w:spacing w:after="0"/>
              <w:rPr>
                <w:sz w:val="18"/>
                <w:szCs w:val="18"/>
                <w:color w:val="auto"/>
              </w:rPr>
            </w:pPr>
          </w:p>
        </w:tc>
      </w:tr>
      <w:tr>
        <w:trPr>
          <w:trHeight w:val="208"/>
        </w:trPr>
        <w:tc>
          <w:tcPr>
            <w:tcW w:w="4980" w:type="dxa"/>
            <w:vAlign w:val="bottom"/>
          </w:tcPr>
          <w:p>
            <w:pPr>
              <w:ind w:left="22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98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3,090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(1,159)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(1,159)</w:t>
            </w: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14,399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swap fair value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(52,909)</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Inventories and prepaid expenses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(7,546)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(7,550)</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accrued expenses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32,985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32,985</w:t>
            </w:r>
          </w:p>
        </w:tc>
        <w:tc>
          <w:tcPr>
            <w:tcW w:w="60" w:type="dxa"/>
            <w:vAlign w:val="bottom"/>
          </w:tcPr>
          <w:p>
            <w:pPr>
              <w:spacing w:after="0"/>
              <w:rPr>
                <w:sz w:val="18"/>
                <w:szCs w:val="18"/>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204,419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205,628</w:t>
            </w:r>
          </w:p>
        </w:tc>
        <w:tc>
          <w:tcPr>
            <w:tcW w:w="60" w:type="dxa"/>
            <w:vAlign w:val="bottom"/>
            <w:shd w:val="clear" w:color="auto" w:fill="CCEEFF"/>
          </w:tcPr>
          <w:p>
            <w:pPr>
              <w:spacing w:after="0"/>
              <w:rPr>
                <w:sz w:val="18"/>
                <w:szCs w:val="18"/>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Capital expenditures, net of construction payables and retention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(212,455)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(37,071)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(249,526)</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199,738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197,240</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intangibles and other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(21,437)</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(60,024)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43,406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(16,618)</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(90,341)</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(435,142)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(440,169)</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328,892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328,892</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termination of interest rate swap</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Payments of deferred financing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(4,572)</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(104,217)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(109,244)</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87,787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8"/>
                <w:szCs w:val="18"/>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93,825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F-34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Issuers</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(45,274)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(4,283)</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1,385</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2,898</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90,355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2,898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14,203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(107,092)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(54,901)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130,679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13,273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retentions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(648,527)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(8,916)</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385,223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(29,723)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(373,999)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(42,355)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(1,385)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(417,739)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(120,000)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503,436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44,750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(7,638)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375,798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43,282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62,095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25,692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87,787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F-35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2007 and 2006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rPr>
              <w:t>Year Ended December 31, 2007</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$ 330,934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$ 335,181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$ 305,798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$ 323,938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$ 1,295,851</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income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59,014</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63,420</w:t>
            </w:r>
          </w:p>
        </w:tc>
        <w:tc>
          <w:tcPr>
            <w:tcW w:w="700" w:type="dxa"/>
            <w:vAlign w:val="bottom"/>
          </w:tcPr>
          <w:p>
            <w:pPr>
              <w:jc w:val="right"/>
              <w:spacing w:after="0"/>
              <w:rPr>
                <w:sz w:val="20"/>
                <w:szCs w:val="20"/>
                <w:color w:val="auto"/>
              </w:rPr>
            </w:pPr>
            <w:r>
              <w:rPr>
                <w:rFonts w:ascii="Arial" w:cs="Arial" w:eastAsia="Arial" w:hAnsi="Arial"/>
                <w:sz w:val="18"/>
                <w:szCs w:val="18"/>
                <w:color w:val="auto"/>
              </w:rPr>
              <w:t>35,803</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42,384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200,621</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45,354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20" w:type="dxa"/>
            <w:vAlign w:val="bottom"/>
          </w:tcPr>
          <w:p>
            <w:pPr>
              <w:spacing w:after="0"/>
              <w:rPr>
                <w:sz w:val="18"/>
                <w:szCs w:val="18"/>
                <w:color w:val="auto"/>
              </w:rPr>
            </w:pPr>
          </w:p>
        </w:tc>
      </w:tr>
      <w:tr>
        <w:trPr>
          <w:trHeight w:val="365"/>
        </w:trPr>
        <w:tc>
          <w:tcPr>
            <w:tcW w:w="3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rPr>
              <w:t>Year Ended December 31, 2006</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$ 277,361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$ 273,562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$ 273,228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$ 315,197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$ 1,139,348</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income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22,248</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22,140</w:t>
            </w:r>
          </w:p>
        </w:tc>
        <w:tc>
          <w:tcPr>
            <w:tcW w:w="700" w:type="dxa"/>
            <w:vAlign w:val="bottom"/>
          </w:tcPr>
          <w:p>
            <w:pPr>
              <w:jc w:val="right"/>
              <w:spacing w:after="0"/>
              <w:rPr>
                <w:sz w:val="20"/>
                <w:szCs w:val="20"/>
                <w:color w:val="auto"/>
              </w:rPr>
            </w:pPr>
            <w:r>
              <w:rPr>
                <w:rFonts w:ascii="Arial" w:cs="Arial" w:eastAsia="Arial" w:hAnsi="Arial"/>
                <w:sz w:val="18"/>
                <w:szCs w:val="18"/>
                <w:color w:val="auto"/>
              </w:rPr>
              <w:t>22,440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49,628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116,456</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20" w:type="dxa"/>
            <w:vAlign w:val="bottom"/>
          </w:tcPr>
          <w:p>
            <w:pPr>
              <w:spacing w:after="0"/>
              <w:rPr>
                <w:sz w:val="18"/>
                <w:szCs w:val="18"/>
                <w:color w:val="auto"/>
              </w:rPr>
            </w:pPr>
          </w:p>
        </w:tc>
      </w:tr>
      <w:tr>
        <w:trPr>
          <w:trHeight w:val="363"/>
        </w:trPr>
        <w:tc>
          <w:tcPr>
            <w:tcW w:w="3400" w:type="dxa"/>
            <w:vAlign w:val="bottom"/>
          </w:tcPr>
          <w:p>
            <w:pPr>
              <w:spacing w:after="0"/>
              <w:rPr>
                <w:sz w:val="24"/>
                <w:szCs w:val="24"/>
                <w:color w:val="auto"/>
              </w:rPr>
            </w:pPr>
          </w:p>
        </w:tc>
        <w:tc>
          <w:tcPr>
            <w:tcW w:w="3960" w:type="dxa"/>
            <w:vAlign w:val="bottom"/>
            <w:gridSpan w:val="3"/>
          </w:tcPr>
          <w:p>
            <w:pPr>
              <w:jc w:val="right"/>
              <w:ind w:right="1480"/>
              <w:spacing w:after="0"/>
              <w:rPr>
                <w:sz w:val="20"/>
                <w:szCs w:val="20"/>
                <w:color w:val="auto"/>
              </w:rPr>
            </w:pPr>
            <w:r>
              <w:rPr>
                <w:rFonts w:ascii="Arial" w:cs="Arial" w:eastAsia="Arial" w:hAnsi="Arial"/>
                <w:sz w:val="18"/>
                <w:szCs w:val="18"/>
                <w:color w:val="auto"/>
              </w:rPr>
              <w:t>F-36</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2007</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520" w:type="dxa"/>
            <w:vAlign w:val="bottom"/>
            <w:gridSpan w:val="4"/>
            <w:shd w:val="clear" w:color="auto" w:fill="CCEEFF"/>
          </w:tcPr>
          <w:p>
            <w:pPr>
              <w:jc w:val="center"/>
              <w:ind w:left="2712"/>
              <w:spacing w:after="0"/>
              <w:rPr>
                <w:sz w:val="20"/>
                <w:szCs w:val="20"/>
                <w:color w:val="auto"/>
              </w:rPr>
            </w:pPr>
            <w:r>
              <w:rPr>
                <w:rFonts w:ascii="Arial" w:cs="Arial" w:eastAsia="Arial" w:hAnsi="Arial"/>
                <w:sz w:val="18"/>
                <w:szCs w:val="18"/>
                <w:color w:val="auto"/>
                <w:w w:val="91"/>
              </w:rPr>
              <w:t>$ 35,002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tcPr>
          <w:p>
            <w:pPr>
              <w:spacing w:after="0"/>
              <w:rPr>
                <w:sz w:val="18"/>
                <w:szCs w:val="18"/>
                <w:color w:val="auto"/>
              </w:rPr>
            </w:pPr>
          </w:p>
        </w:tc>
      </w:tr>
      <w:tr>
        <w:trPr>
          <w:trHeight w:val="352"/>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520" w:type="dxa"/>
            <w:vAlign w:val="bottom"/>
            <w:gridSpan w:val="4"/>
            <w:shd w:val="clear" w:color="auto" w:fill="CCEEFF"/>
          </w:tcPr>
          <w:p>
            <w:pPr>
              <w:jc w:val="center"/>
              <w:ind w:left="2712"/>
              <w:spacing w:after="0"/>
              <w:rPr>
                <w:sz w:val="20"/>
                <w:szCs w:val="20"/>
                <w:color w:val="auto"/>
              </w:rPr>
            </w:pPr>
            <w:r>
              <w:rPr>
                <w:rFonts w:ascii="Arial" w:cs="Arial" w:eastAsia="Arial" w:hAnsi="Arial"/>
                <w:sz w:val="18"/>
                <w:szCs w:val="18"/>
                <w:color w:val="auto"/>
                <w:w w:val="91"/>
              </w:rPr>
              <w:t>$ 15,812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20" w:type="dxa"/>
            <w:vAlign w:val="bottom"/>
          </w:tcPr>
          <w:p>
            <w:pPr>
              <w:spacing w:after="0"/>
              <w:rPr>
                <w:sz w:val="18"/>
                <w:szCs w:val="18"/>
                <w:color w:val="auto"/>
              </w:rPr>
            </w:pPr>
          </w:p>
        </w:tc>
      </w:tr>
      <w:tr>
        <w:trPr>
          <w:trHeight w:val="352"/>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48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20" w:type="dxa"/>
            <w:vAlign w:val="bottom"/>
          </w:tcPr>
          <w:p>
            <w:pPr>
              <w:spacing w:after="0"/>
              <w:rPr>
                <w:sz w:val="18"/>
                <w:szCs w:val="18"/>
                <w:color w:val="auto"/>
              </w:rPr>
            </w:pPr>
          </w:p>
        </w:tc>
      </w:tr>
      <w:tr>
        <w:trPr>
          <w:trHeight w:val="363"/>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gridSpan w:val="2"/>
          </w:tcPr>
          <w:p>
            <w:pPr>
              <w:ind w:left="2020"/>
              <w:spacing w:after="0"/>
              <w:rPr>
                <w:sz w:val="20"/>
                <w:szCs w:val="20"/>
                <w:color w:val="auto"/>
              </w:rPr>
            </w:pPr>
            <w:r>
              <w:rPr>
                <w:rFonts w:ascii="Arial" w:cs="Arial" w:eastAsia="Arial" w:hAnsi="Arial"/>
                <w:sz w:val="18"/>
                <w:szCs w:val="18"/>
                <w:color w:val="auto"/>
              </w:rPr>
              <w:t>F-37</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$400,000,000</w:t>
      </w:r>
    </w:p>
    <w:p>
      <w:pPr>
        <w:spacing w:after="0" w:line="200" w:lineRule="exact"/>
        <w:rPr>
          <w:sz w:val="20"/>
          <w:szCs w:val="20"/>
          <w:color w:val="auto"/>
        </w:rPr>
      </w:pPr>
    </w:p>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1203325</wp:posOffset>
            </wp:positionV>
            <wp:extent cx="15176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880"/>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jc w:val="right"/>
        <w:ind w:right="4900"/>
        <w:spacing w:after="0"/>
        <w:rPr>
          <w:sz w:val="20"/>
          <w:szCs w:val="20"/>
          <w:color w:val="auto"/>
        </w:rPr>
      </w:pPr>
      <w:r>
        <w:rPr>
          <w:rFonts w:ascii="Arial" w:cs="Arial" w:eastAsia="Arial" w:hAnsi="Arial"/>
          <w:sz w:val="18"/>
          <w:szCs w:val="18"/>
          <w:b w:val="1"/>
          <w:bCs w:val="1"/>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2008,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180"/>
          </w:cols>
          <w:pgMar w:left="24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Officers, Managers and Members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or having served in certain capacities at the request of the corporation. Indemnification may include attorneys’ fees, judgments, fines and amounts paid in settlement actually and reasonably incurred by the person to be indemnified in connection with the action, suit or proceeding.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or having served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such person must have had no reasonable cause to believe his or her conduct was unlawful.</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suit or proceeding he or she must be indemnified by the corporation against expenses, including attorneys’ fees actually and reasonably incurred in connection with the defense.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corporation.</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78.752 of the NRS permits a corporation to purchase and maintain insurance or make other financial arrangements on behalf of the corporation’s current and former officers, directors, employees or agents, or any persons serving or who have served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certain circumstances in which indemnification would be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 reason of being or having been a manager, member, employee or agent of the limited liability company or serving or having served in certain capacities at the request of the limited liability company. As with corporations, indemnification may include attorneys’ fees, judgments, fines and amounts paid in settlement actually and reasonably incurred by the person to be indemnified in connection with the action, suit or proceeding.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or having served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have acted in good faith and in a manner which he or she reasonably believed to be in or not opposed to the best interests of the limited liability company and, with respect to any criminal action or proceeding, such person must have had no reasonable cause to believe his or her conduct was unlawful.</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current and former managers, members employees or agents, or any persons serving or who have served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21(a).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240" w:type="dxa"/>
            <w:vAlign w:val="bottom"/>
          </w:tcPr>
          <w:p>
            <w:pPr>
              <w:spacing w:after="0"/>
              <w:rPr>
                <w:sz w:val="14"/>
                <w:szCs w:val="14"/>
                <w:color w:val="auto"/>
              </w:rPr>
            </w:pPr>
          </w:p>
        </w:tc>
      </w:tr>
      <w:tr>
        <w:trPr>
          <w:trHeight w:val="216"/>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3.1</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89"/>
              </w:rPr>
              <w:t>Second Amended and Restated Articles of Organization of Wynn Las Vegas,</w:t>
            </w:r>
          </w:p>
        </w:tc>
        <w:tc>
          <w:tcPr>
            <w:tcW w:w="1240" w:type="dxa"/>
            <w:vAlign w:val="bottom"/>
          </w:tcPr>
          <w:p>
            <w:pPr>
              <w:spacing w:after="0"/>
              <w:rPr>
                <w:sz w:val="20"/>
                <w:szCs w:val="20"/>
                <w:color w:val="auto"/>
              </w:rPr>
            </w:pPr>
            <w:r>
              <w:rPr>
                <w:rFonts w:ascii="Arial" w:cs="Arial" w:eastAsia="Arial" w:hAnsi="Arial"/>
                <w:sz w:val="18"/>
                <w:szCs w:val="18"/>
                <w:color w:val="auto"/>
              </w:rPr>
              <w:t>LLC. (1)</w:t>
            </w:r>
          </w:p>
        </w:tc>
      </w:tr>
      <w:tr>
        <w:trPr>
          <w:trHeight w:val="316"/>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3.2</w:t>
            </w:r>
          </w:p>
        </w:tc>
        <w:tc>
          <w:tcPr>
            <w:tcW w:w="740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3.3</w:t>
            </w:r>
          </w:p>
        </w:tc>
        <w:tc>
          <w:tcPr>
            <w:tcW w:w="7400" w:type="dxa"/>
            <w:vAlign w:val="bottom"/>
            <w:gridSpan w:val="3"/>
          </w:tcPr>
          <w:p>
            <w:pPr>
              <w:ind w:left="660"/>
              <w:spacing w:after="0"/>
              <w:rPr>
                <w:sz w:val="20"/>
                <w:szCs w:val="20"/>
                <w:color w:val="auto"/>
              </w:rPr>
            </w:pPr>
            <w:r>
              <w:rPr>
                <w:rFonts w:ascii="Arial" w:cs="Arial" w:eastAsia="Arial" w:hAnsi="Arial"/>
                <w:sz w:val="18"/>
                <w:szCs w:val="18"/>
                <w:color w:val="auto"/>
                <w:w w:val="93"/>
              </w:rPr>
              <w:t>First Amended and Restated Articles of Incorporation of Wynn Las Vegas Capital Corp. (1)</w:t>
            </w:r>
          </w:p>
        </w:tc>
      </w:tr>
      <w:tr>
        <w:trPr>
          <w:trHeight w:val="324"/>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3.4</w:t>
            </w:r>
          </w:p>
        </w:tc>
        <w:tc>
          <w:tcPr>
            <w:tcW w:w="7400" w:type="dxa"/>
            <w:vAlign w:val="bottom"/>
            <w:gridSpan w:val="3"/>
          </w:tcPr>
          <w:p>
            <w:pPr>
              <w:ind w:left="660"/>
              <w:spacing w:after="0"/>
              <w:rPr>
                <w:sz w:val="20"/>
                <w:szCs w:val="20"/>
                <w:color w:val="auto"/>
              </w:rPr>
            </w:pPr>
            <w:r>
              <w:rPr>
                <w:rFonts w:ascii="Arial" w:cs="Arial" w:eastAsia="Arial" w:hAnsi="Arial"/>
                <w:sz w:val="18"/>
                <w:szCs w:val="18"/>
                <w:color w:val="auto"/>
                <w:w w:val="90"/>
              </w:rPr>
              <w:t>Certificate of Amendment of the Articles of Incorporation of Wynn Las Vegas Capital Corp. (1)</w:t>
            </w:r>
          </w:p>
        </w:tc>
      </w:tr>
      <w:tr>
        <w:trPr>
          <w:trHeight w:val="324"/>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3.5</w:t>
            </w:r>
          </w:p>
        </w:tc>
        <w:tc>
          <w:tcPr>
            <w:tcW w:w="740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65"/>
        </w:trPr>
        <w:tc>
          <w:tcPr>
            <w:tcW w:w="460" w:type="dxa"/>
            <w:vAlign w:val="bottom"/>
          </w:tcPr>
          <w:p>
            <w:pPr>
              <w:spacing w:after="0"/>
              <w:rPr>
                <w:sz w:val="24"/>
                <w:szCs w:val="24"/>
                <w:color w:val="auto"/>
              </w:rPr>
            </w:pPr>
          </w:p>
        </w:tc>
        <w:tc>
          <w:tcPr>
            <w:tcW w:w="7400" w:type="dxa"/>
            <w:vAlign w:val="bottom"/>
            <w:gridSpan w:val="3"/>
          </w:tcPr>
          <w:p>
            <w:pPr>
              <w:ind w:left="512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6"/>
              </w:rPr>
              <w:t>First Amendment to the First Amended and Restated Bylaws of Wynn</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 w:type="dxa"/>
            <w:vAlign w:val="bottom"/>
          </w:tcPr>
          <w:p>
            <w:pPr>
              <w:ind w:left="80"/>
              <w:spacing w:after="0"/>
              <w:rPr>
                <w:sz w:val="20"/>
                <w:szCs w:val="20"/>
                <w:color w:val="auto"/>
              </w:rPr>
            </w:pPr>
            <w:r>
              <w:rPr>
                <w:rFonts w:ascii="Arial" w:cs="Arial" w:eastAsia="Arial" w:hAnsi="Arial"/>
                <w:sz w:val="18"/>
                <w:szCs w:val="18"/>
                <w:color w:val="auto"/>
              </w:rPr>
              <w:t>3.6</w:t>
            </w:r>
          </w:p>
        </w:tc>
        <w:tc>
          <w:tcPr>
            <w:tcW w:w="5420" w:type="dxa"/>
            <w:vAlign w:val="bottom"/>
            <w:vMerge w:val="continue"/>
          </w:tcPr>
          <w:p>
            <w:pPr>
              <w:spacing w:after="0"/>
              <w:rPr>
                <w:sz w:val="18"/>
                <w:szCs w:val="18"/>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Las Vegas Capital Corp. (1)</w:t>
            </w:r>
          </w:p>
        </w:tc>
        <w:tc>
          <w:tcPr>
            <w:tcW w:w="0" w:type="dxa"/>
            <w:vAlign w:val="bottom"/>
          </w:tcPr>
          <w:p>
            <w:pPr>
              <w:spacing w:after="0"/>
              <w:rPr>
                <w:sz w:val="1"/>
                <w:szCs w:val="1"/>
                <w:color w:val="auto"/>
              </w:rPr>
            </w:pPr>
          </w:p>
        </w:tc>
      </w:tr>
      <w:tr>
        <w:trPr>
          <w:trHeight w:val="316"/>
        </w:trPr>
        <w:tc>
          <w:tcPr>
            <w:tcW w:w="440" w:type="dxa"/>
            <w:vAlign w:val="bottom"/>
          </w:tcPr>
          <w:p>
            <w:pPr>
              <w:ind w:left="80"/>
              <w:spacing w:after="0"/>
              <w:rPr>
                <w:sz w:val="20"/>
                <w:szCs w:val="20"/>
                <w:color w:val="auto"/>
              </w:rPr>
            </w:pPr>
            <w:r>
              <w:rPr>
                <w:rFonts w:ascii="Arial" w:cs="Arial" w:eastAsia="Arial" w:hAnsi="Arial"/>
                <w:sz w:val="18"/>
                <w:szCs w:val="18"/>
                <w:color w:val="auto"/>
              </w:rPr>
              <w:t>3.7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rPr>
              <w:t>3.8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Kevyn, LLC. (2)</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rPr>
              <w:t>3.9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Operating Agreement of Kevyn, LLC. (2)</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Indenture, dated as of December 14, 2004,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as trustee. (3)</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First Supplemental Indenture, dated as of December 14, 2004, among Wynn Las Vegas, LLC, Wynn Las Vegas Capital Corp., the Guarantors set</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forth therein and Wells Fargo Bank, National Association, as trustee. (3)</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therein and U.S. Bank National Association, as trustee. (4)</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Supplemental Indenture, dated as of July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therein and U.S. Bank National Association, as trustee. (2)</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Guarantor signatories thereto and Deutsche Bank Securities Inc., Banc of America Securities LLC, Bear, Stearns &amp; Co. Inc., J.P. Morgan Securities</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Inc. and SG Americas Securities, LLC. (5)</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4"/>
              </w:rPr>
              <w:t>Registration Rights Agreement, dated as of November 6, 2007, by and among Wynn Las Vegas, LLC, Wynn Las Vegas Capital Corp., the</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guarantors party thereto, Deutsche Bank Securities Inc. and Banc of America Securities LLC. (6)</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Skadden, Arps, Slate, Meagher &amp; Flom LLP. (22)</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(22)</w:t>
            </w:r>
          </w:p>
        </w:tc>
        <w:tc>
          <w:tcPr>
            <w:tcW w:w="0" w:type="dxa"/>
            <w:vAlign w:val="bottom"/>
          </w:tcPr>
          <w:p>
            <w:pPr>
              <w:spacing w:after="0"/>
              <w:rPr>
                <w:sz w:val="1"/>
                <w:szCs w:val="1"/>
                <w:color w:val="auto"/>
              </w:rPr>
            </w:pPr>
          </w:p>
        </w:tc>
      </w:tr>
      <w:tr>
        <w:trPr>
          <w:trHeight w:val="318"/>
        </w:trPr>
        <w:tc>
          <w:tcPr>
            <w:tcW w:w="440" w:type="dxa"/>
            <w:vAlign w:val="bottom"/>
          </w:tcPr>
          <w:p>
            <w:pPr>
              <w:ind w:left="20"/>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Master Disbursement Agreement, dated as of December 14, 2004, among Wynn Las Vegas, LLC, Wynn Las Vegas Capital Corp., Deutsche Bank</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Trust Company Americas and U.S. Bank National Association. (3)</w:t>
            </w:r>
          </w:p>
        </w:tc>
        <w:tc>
          <w:tcPr>
            <w:tcW w:w="0" w:type="dxa"/>
            <w:vAlign w:val="bottom"/>
          </w:tcPr>
          <w:p>
            <w:pPr>
              <w:spacing w:after="0"/>
              <w:rPr>
                <w:sz w:val="1"/>
                <w:szCs w:val="1"/>
                <w:color w:val="auto"/>
              </w:rPr>
            </w:pPr>
          </w:p>
        </w:tc>
      </w:tr>
      <w:tr>
        <w:trPr>
          <w:trHeight w:val="318"/>
        </w:trPr>
        <w:tc>
          <w:tcPr>
            <w:tcW w:w="440" w:type="dxa"/>
            <w:vAlign w:val="bottom"/>
          </w:tcPr>
          <w:p>
            <w:pPr>
              <w:ind w:left="20"/>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First Amendment to Master Disbursement Agreement, dated April 26, 2005, among Wynn Las Vegas, LLC, Deutsche Bank Trust Company</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Americas, as bank agent and Deutsche Bank Trust Company Americas, as disbursement agent. (8)</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40" w:type="dxa"/>
            <w:vAlign w:val="bottom"/>
          </w:tcPr>
          <w:p>
            <w:pPr>
              <w:jc w:val="center"/>
              <w:ind w:right="22"/>
              <w:spacing w:after="0" w:line="201" w:lineRule="exact"/>
              <w:rPr>
                <w:sz w:val="20"/>
                <w:szCs w:val="20"/>
                <w:color w:val="auto"/>
              </w:rPr>
            </w:pPr>
            <w:r>
              <w:rPr>
                <w:rFonts w:ascii="Arial" w:cs="Arial" w:eastAsia="Arial" w:hAnsi="Arial"/>
                <w:sz w:val="18"/>
                <w:szCs w:val="18"/>
                <w:color w:val="auto"/>
                <w:w w:val="85"/>
              </w:rPr>
              <w:t>10.3</w:t>
            </w:r>
          </w:p>
        </w:tc>
        <w:tc>
          <w:tcPr>
            <w:tcW w:w="6060" w:type="dxa"/>
            <w:vAlign w:val="bottom"/>
            <w:gridSpan w:val="2"/>
          </w:tcPr>
          <w:p>
            <w:pPr>
              <w:ind w:left="580"/>
              <w:spacing w:after="0" w:line="201" w:lineRule="exact"/>
              <w:rPr>
                <w:sz w:val="20"/>
                <w:szCs w:val="20"/>
                <w:color w:val="auto"/>
              </w:rPr>
            </w:pPr>
            <w:r>
              <w:rPr>
                <w:rFonts w:ascii="Arial" w:cs="Arial" w:eastAsia="Arial" w:hAnsi="Arial"/>
                <w:sz w:val="18"/>
                <w:szCs w:val="18"/>
                <w:color w:val="auto"/>
                <w:w w:val="87"/>
              </w:rPr>
              <w:t>Second Amendment to Master Disbursement Agreement, dated as of June 29,</w:t>
            </w:r>
          </w:p>
        </w:tc>
        <w:tc>
          <w:tcPr>
            <w:tcW w:w="4780" w:type="dxa"/>
            <w:vAlign w:val="bottom"/>
          </w:tcPr>
          <w:p>
            <w:pPr>
              <w:ind w:left="20"/>
              <w:spacing w:after="0" w:line="201" w:lineRule="exact"/>
              <w:rPr>
                <w:sz w:val="20"/>
                <w:szCs w:val="20"/>
                <w:color w:val="auto"/>
              </w:rPr>
            </w:pPr>
            <w:r>
              <w:rPr>
                <w:rFonts w:ascii="Arial" w:cs="Arial" w:eastAsia="Arial" w:hAnsi="Arial"/>
                <w:sz w:val="18"/>
                <w:szCs w:val="18"/>
                <w:color w:val="auto"/>
                <w:w w:val="92"/>
              </w:rPr>
              <w:t>2005, between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Company Americas. (9)</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10.4</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Master Disbursement Agreement, dated as of March 15, 2006, between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Company Americas. (10)</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10.5</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Fourth Amendment to Master Disbursement Agreement, dated as of August 15, 2006, among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Company America, as both agent and disbursement agent. (11)</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10.6</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Fifth Amendment to Master Disbursement Agreement, dated as of April 9, 2007 among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Company Americas. (12)</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10.7</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Master Disbursement Agreement, dated as of October 25, 2007, by and among Wynn Las Vegas, LLC, Deutsche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Trust Company Americas, as the initial Bank Agent, and Deutsche Bank Trust Company America, as the initial Disbursement Agent. (13)</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10.8</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First Amendment to Amended and Restated Master Disbursement Agreement, dated as of October 31, 2007, by and among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7"/>
              </w:rPr>
              <w:t>LLC, Deutsche Bank Trust Company Americas, as the initial Bank Agent, and Deutsche Bank Trust Company America, as the initial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Disbursement Agent. (14)</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10.9</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7"/>
              </w:rPr>
              <w:t>Second Amendment to Amended and Restated Master Disbursement Agreement, dated as of November 6, 2007, by and among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as owner trustee, and World Travel, LLC; and accepted and agreed to by Bank of America, N.A., as lender and Wells Fargo Bank, National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(15)</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as owner trustee, and World Travel, LLC; and accepted and agreed to by The CIT Group / Equipment Financing, Inc., as lender and Wells Fargo</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(15)</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10.12</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as owner trustee, World Travel, LLC and Wells Fargo Bank, National Association, not in its individual capacity but solely as collateral agent. (15)</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10.13</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Guaranty, dated May 24, 2005, by Wynn Las Vegas, LLC in favor of The CIT Group / Equipment Financing, Inc., Bank of America, N.A.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(15)</w:t>
            </w:r>
          </w:p>
        </w:tc>
      </w:tr>
      <w:tr>
        <w:trPr>
          <w:trHeight w:val="324"/>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10.14</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(16)</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10.15</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Fourth Amended and Restated Art Rental and Licensing Agreement, dated as of June 30, 2005, between Stephen A. Wynn, as lessor, Wynn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(16)</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10.16</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Lump Sum Agreement, by and between Wynn Las Vegas, LLC and Wadsworth Golf Construction Company, effective as of February 18, 2003.</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10.17</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Completion Guaranty, dated December 14, 2004, by Wynn Completion Guarantor, LLC in favor of Deutsche Bank Trust Company Americas, 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(5)</w:t>
            </w:r>
          </w:p>
        </w:tc>
      </w:tr>
      <w:tr>
        <w:trPr>
          <w:trHeight w:val="324"/>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10.18</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Purchase Agreement, dated October 25, 2002, by and among Wynn Las Vegas, LLC, Wynn Las Vegas Capital Corp. and Stephen A. Wynn. (18)</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40" w:type="dxa"/>
            <w:vAlign w:val="bottom"/>
            <w:gridSpan w:val="3"/>
          </w:tcPr>
          <w:p>
            <w:pPr>
              <w:ind w:left="500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8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Aruze USA, Inc. (18)</w:t>
      </w:r>
    </w:p>
    <w:p>
      <w:pPr>
        <w:spacing w:after="0" w:line="109" w:lineRule="exact"/>
        <w:rPr>
          <w:sz w:val="20"/>
          <w:szCs w:val="20"/>
          <w:color w:val="auto"/>
        </w:rPr>
      </w:pPr>
    </w:p>
    <w:p>
      <w:pPr>
        <w:ind w:left="1040" w:hanging="961"/>
        <w:spacing w:after="0" w:line="268"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Acknowledgement and Agreement, dated as of September 1, 2004, among Wynn Las Vegas, LLC, Wells Fargo Bank, National Association and the lenders named therein. (19)</w:t>
      </w:r>
    </w:p>
    <w:p>
      <w:pPr>
        <w:spacing w:after="0" w:line="78" w:lineRule="exact"/>
        <w:rPr>
          <w:sz w:val="20"/>
          <w:szCs w:val="20"/>
          <w:color w:val="auto"/>
        </w:rPr>
      </w:pPr>
    </w:p>
    <w:p>
      <w:pPr>
        <w:ind w:left="1040" w:right="120" w:hanging="961"/>
        <w:spacing w:after="0" w:line="268"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Third Amended and Restated Art Rental and Licensing Agreement, dated as of August 6, 2004, by and between Stephen A. Wynn and Wynn Las Vegas, LLC. (20)</w:t>
      </w:r>
    </w:p>
    <w:p>
      <w:pPr>
        <w:spacing w:after="0" w:line="78" w:lineRule="exact"/>
        <w:rPr>
          <w:sz w:val="20"/>
          <w:szCs w:val="20"/>
          <w:color w:val="auto"/>
        </w:rPr>
      </w:pPr>
    </w:p>
    <w:p>
      <w:pPr>
        <w:ind w:left="1040" w:right="240" w:hanging="961"/>
        <w:spacing w:after="0" w:line="370"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Las Vegas, LLC, as trustor, to Nevada Title Company, as trustee, for the benefit of Deutsche Bank Trust Company Americas, as collateral agent. (5)</w:t>
      </w:r>
    </w:p>
    <w:p>
      <w:pPr>
        <w:spacing w:after="0" w:line="8" w:lineRule="exact"/>
        <w:rPr>
          <w:sz w:val="20"/>
          <w:szCs w:val="20"/>
          <w:color w:val="auto"/>
        </w:rPr>
      </w:pPr>
    </w:p>
    <w:p>
      <w:pPr>
        <w:ind w:left="1040" w:right="140" w:hanging="961"/>
        <w:spacing w:after="0" w:line="370"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Sunrise, LLC, as trustor, to Nevada Title Company, as trustee, for the benefit of Deutsche Bank Trust Company Americas, as collateral agent. (5)</w:t>
      </w:r>
    </w:p>
    <w:p>
      <w:pPr>
        <w:spacing w:after="0" w:line="8" w:lineRule="exact"/>
        <w:rPr>
          <w:sz w:val="20"/>
          <w:szCs w:val="20"/>
          <w:color w:val="auto"/>
        </w:rPr>
      </w:pPr>
    </w:p>
    <w:p>
      <w:pPr>
        <w:ind w:left="1040" w:right="340" w:hanging="961"/>
        <w:spacing w:after="0" w:line="370"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Golf, LLC, as trustor, to Nevada Title Company, as trustee, for the benefit of Deutsche Bank Trust Company Americas, as collateral agent. (5)</w:t>
      </w:r>
    </w:p>
    <w:p>
      <w:pPr>
        <w:spacing w:after="0" w:line="8" w:lineRule="exact"/>
        <w:rPr>
          <w:sz w:val="20"/>
          <w:szCs w:val="20"/>
          <w:color w:val="auto"/>
        </w:rPr>
      </w:pPr>
    </w:p>
    <w:p>
      <w:pPr>
        <w:ind w:left="1040" w:right="20" w:hanging="961"/>
        <w:spacing w:after="0" w:line="306" w:lineRule="auto"/>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Guarantee and Collateral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(5)</w:t>
      </w:r>
    </w:p>
    <w:p>
      <w:pPr>
        <w:spacing w:after="0" w:line="53" w:lineRule="exact"/>
        <w:rPr>
          <w:sz w:val="20"/>
          <w:szCs w:val="20"/>
          <w:color w:val="auto"/>
        </w:rPr>
      </w:pPr>
    </w:p>
    <w:p>
      <w:pPr>
        <w:ind w:left="1040" w:right="220" w:hanging="961"/>
        <w:spacing w:after="0" w:line="268"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Intercreditor Agreement, dated as of December 14, 2004, among Deutsche Bank Trust Company Americas, as bank agent, Deutsche Bank Trust Company Americas, as collateral agent, and U.S. Bank National Association, as trustee. (3)</w:t>
      </w:r>
    </w:p>
    <w:p>
      <w:pPr>
        <w:spacing w:after="0" w:line="78" w:lineRule="exact"/>
        <w:rPr>
          <w:sz w:val="20"/>
          <w:szCs w:val="20"/>
          <w:color w:val="auto"/>
        </w:rPr>
      </w:pPr>
    </w:p>
    <w:p>
      <w:pPr>
        <w:ind w:left="1040" w:right="240" w:hanging="961"/>
        <w:spacing w:after="0" w:line="306" w:lineRule="auto"/>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Pledge and Security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(5)</w:t>
      </w:r>
    </w:p>
    <w:p>
      <w:pPr>
        <w:spacing w:after="0" w:line="53" w:lineRule="exact"/>
        <w:rPr>
          <w:sz w:val="20"/>
          <w:szCs w:val="20"/>
          <w:color w:val="auto"/>
        </w:rPr>
      </w:pPr>
    </w:p>
    <w:p>
      <w:pPr>
        <w:jc w:val="both"/>
        <w:ind w:left="1040" w:right="20" w:hanging="961"/>
        <w:spacing w:after="0" w:line="259" w:lineRule="auto"/>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Management Fees Subordination Agreement, dated as of December 14, 2004, by Wynn Resorts, Limited, Wynn Las Vegas, LLC, Wynn Las Vegas Capital Corp., and those subsidiaries of Wynn Las Vegas, LLC listed on Exhibit A hereto in favor of Deutsche Bank Trust Company Americas, as administrative agent, and U.S. Bank National Association, as trustee. (5)</w:t>
      </w:r>
    </w:p>
    <w:p>
      <w:pPr>
        <w:spacing w:after="0" w:line="86" w:lineRule="exact"/>
        <w:rPr>
          <w:sz w:val="20"/>
          <w:szCs w:val="20"/>
          <w:color w:val="auto"/>
        </w:rPr>
      </w:pPr>
    </w:p>
    <w:p>
      <w:pPr>
        <w:ind w:left="1040" w:right="140" w:hanging="961"/>
        <w:spacing w:after="0" w:line="332"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Management Agreement, made as of December 14, 2004, by and among Wynn Las Vegas, LLC, Wynn Show Performers, LLC, Wynn Las Vegas Capital Corp., Wynn Golf, LLC, World Travel, LLC, Las Vegas Jet, LLC, Wynn Sunrise, LLC, and Wynn Resorts, Limited. (5)</w:t>
      </w:r>
    </w:p>
    <w:p>
      <w:pPr>
        <w:spacing w:after="0" w:line="31" w:lineRule="exact"/>
        <w:rPr>
          <w:sz w:val="20"/>
          <w:szCs w:val="20"/>
          <w:color w:val="auto"/>
        </w:rPr>
      </w:pPr>
    </w:p>
    <w:p>
      <w:pPr>
        <w:ind w:left="1040" w:right="260" w:hanging="961"/>
        <w:spacing w:after="0" w:line="268" w:lineRule="auto"/>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Irrevocable Trust Agreement, dated as of December 14, 2004, by and among Wynn Las Vegas, LLC, Wynn Las Vegas Capital Corp., and Wells Fargo Bank, National Association, as Trustee. (5)</w:t>
      </w:r>
    </w:p>
    <w:p>
      <w:pPr>
        <w:spacing w:after="0" w:line="78" w:lineRule="exact"/>
        <w:rPr>
          <w:sz w:val="20"/>
          <w:szCs w:val="20"/>
          <w:color w:val="auto"/>
        </w:rPr>
      </w:pPr>
    </w:p>
    <w:p>
      <w:pPr>
        <w:ind w:left="1040" w:right="80" w:hanging="961"/>
        <w:spacing w:after="0" w:line="268"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Amended and Restated Project Administration Services Agreement, dated December 14, 2004, between Wynn Las Vegas, LLC and Wynn Design &amp; Development, LLC. (5)</w:t>
      </w:r>
    </w:p>
    <w:p>
      <w:pPr>
        <w:spacing w:after="0" w:line="78" w:lineRule="exact"/>
        <w:rPr>
          <w:sz w:val="20"/>
          <w:szCs w:val="20"/>
          <w:color w:val="auto"/>
        </w:rPr>
      </w:pPr>
    </w:p>
    <w:p>
      <w:pPr>
        <w:ind w:left="1040" w:right="380" w:hanging="961"/>
        <w:spacing w:after="0" w:line="268"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Intellectual Property License Agreement, dated as of December 14, 2004, by and among Wynn Resorts Holdings, Wynn Resorts, Limited and Wynn Las Vegas, LLC. (5)</w:t>
      </w:r>
    </w:p>
    <w:p>
      <w:pPr>
        <w:spacing w:after="0" w:line="7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Employment Agreement, dated as of August 31, 2005 by and between Wynn Las Vegas, LLC and Andrew Pascal. (21)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340" w:type="dxa"/>
            <w:vAlign w:val="bottom"/>
            <w:vMerge w:val="restart"/>
          </w:tcPr>
          <w:p>
            <w:pPr>
              <w:ind w:left="500"/>
              <w:spacing w:after="0"/>
              <w:rPr>
                <w:sz w:val="20"/>
                <w:szCs w:val="20"/>
                <w:color w:val="auto"/>
              </w:rPr>
            </w:pPr>
            <w:r>
              <w:rPr>
                <w:rFonts w:ascii="Arial" w:cs="Arial" w:eastAsia="Arial" w:hAnsi="Arial"/>
                <w:sz w:val="18"/>
                <w:szCs w:val="18"/>
                <w:color w:val="auto"/>
                <w:w w:val="87"/>
              </w:rPr>
              <w:t>Employment Agreement, dated as of March 3, 2008, by and between</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10.34</w:t>
            </w:r>
          </w:p>
        </w:tc>
        <w:tc>
          <w:tcPr>
            <w:tcW w:w="5340" w:type="dxa"/>
            <w:vAlign w:val="bottom"/>
            <w:vMerge w:val="continue"/>
          </w:tcPr>
          <w:p>
            <w:pPr>
              <w:spacing w:after="0"/>
              <w:rPr>
                <w:sz w:val="18"/>
                <w:szCs w:val="18"/>
                <w:color w:val="auto"/>
              </w:rPr>
            </w:pPr>
          </w:p>
        </w:tc>
        <w:tc>
          <w:tcPr>
            <w:tcW w:w="5540" w:type="dxa"/>
            <w:vAlign w:val="bottom"/>
            <w:gridSpan w:val="2"/>
          </w:tcPr>
          <w:p>
            <w:pPr>
              <w:ind w:left="60"/>
              <w:spacing w:after="0"/>
              <w:rPr>
                <w:sz w:val="20"/>
                <w:szCs w:val="20"/>
                <w:color w:val="auto"/>
              </w:rPr>
            </w:pPr>
            <w:r>
              <w:rPr>
                <w:rFonts w:ascii="Arial" w:cs="Arial" w:eastAsia="Arial" w:hAnsi="Arial"/>
                <w:sz w:val="18"/>
                <w:szCs w:val="18"/>
                <w:color w:val="auto"/>
              </w:rPr>
              <w:t>Wynn Las Vegas, LLC and David Sisk. (23)</w:t>
            </w:r>
          </w:p>
        </w:tc>
        <w:tc>
          <w:tcPr>
            <w:tcW w:w="0" w:type="dxa"/>
            <w:vAlign w:val="bottom"/>
          </w:tcPr>
          <w:p>
            <w:pPr>
              <w:spacing w:after="0"/>
              <w:rPr>
                <w:sz w:val="1"/>
                <w:szCs w:val="1"/>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w w:val="97"/>
              </w:rPr>
              <w:t>10.35</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and Deutsche Bank Trust Company Americas, as Administrative Agent. (11)</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10.36</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89"/>
              </w:rPr>
              <w:t>First Amendment to Amended and Restated Credit Agreement dated April 9, 2007 among Wynn Las Vegas, LLC, Wynn Las Vegas Capital Corp.,</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to Wynn Las Vegas LLC’s Amended and Restated Credit Agreement, dated as of August 15, 2006. (12)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10.37</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Agreement, dated as of August 15, 2006. (14)</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Statements re Computation of Ratios. (22)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Subsidiaries of the Registrant. (22)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Consent of Ernst &amp; Young LLP. (7)</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Consent of Deloitte &amp; Touche LLP. (7)</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Consent of Skadden, Arps, Slate, Meagher &amp; Flom LLP (included in Exhibit 5.1). (22)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23.4</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Consent of Brownstein Hyatt Farber Schreck, LLP (included in Exhibit 5.2). (22)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Powers of Attorney (included in the signature pages to the Registration Statement). (22)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25.1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2"/>
              </w:rPr>
              <w:t>Statement of Eligibility and Qualification on Form T-1 of U.S. Bank National Association, as trustee under the Indenture for Wynn Las Vegas,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LLC and Wynn Las Vegas Capital Corp.’s 6 5/8% First Mortgage Notes due 2014. (22)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Form of Letter of Transmittal. (22)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Form of Notice of Guaranteed Delivery. (22)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Form of Letter to Clients. (22)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99.4</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Form of Letter to Brokers, Dealers, Commercial Banks, Trust Companies and Other Nominees. (22)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right="80" w:hanging="572"/>
        <w:spacing w:after="0" w:line="254" w:lineRule="auto"/>
        <w:tabs>
          <w:tab w:leader="none" w:pos="5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 and incorporated herein by reference.</w:t>
      </w:r>
    </w:p>
    <w:p>
      <w:pPr>
        <w:ind w:left="580" w:hanging="572"/>
        <w:spacing w:after="0"/>
        <w:tabs>
          <w:tab w:leader="none" w:pos="5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the Registrant on February 22, 2008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December 17,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Wynn Resorts, Limited on March 15, 2005 and incorporated herein by reference.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November 13, 2007 and incorporated herein by reference.</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April 27,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Wynn Resorts, Limited on March 16,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November 9,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October 31, 2007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November 1, 2007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25,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August 3,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May 15, 2003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November 18, 2002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September 8,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November 4,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September 1, 2005 and incorporated herein by reference.</w:t>
      </w:r>
    </w:p>
    <w:p>
      <w:pPr>
        <w:spacing w:after="0" w:line="3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333-149556) filed by the Registrant on March 5, 2008 and incorporated herein by reference.</w:t>
      </w: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March 4, 2008 and incorporated herein by reference.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jc w:val="both"/>
        <w:ind w:left="920" w:firstLine="421"/>
        <w:spacing w:after="0" w:line="256" w:lineRule="auto"/>
        <w:tabs>
          <w:tab w:leader="none" w:pos="1598"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59" w:lineRule="exact"/>
        <w:rPr>
          <w:sz w:val="20"/>
          <w:szCs w:val="20"/>
          <w:color w:val="auto"/>
        </w:rPr>
      </w:pPr>
    </w:p>
    <w:p>
      <w:pPr>
        <w:ind w:left="920" w:right="280" w:firstLine="421"/>
        <w:spacing w:after="0" w:line="268" w:lineRule="auto"/>
        <w:tabs>
          <w:tab w:leader="none" w:pos="164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60" w:firstLine="443"/>
        <w:spacing w:after="0" w:line="286" w:lineRule="auto"/>
        <w:tabs>
          <w:tab w:leader="none" w:pos="114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of 1933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and or made in any such document immediately prior to such effective date; and</w:t>
      </w:r>
    </w:p>
    <w:p>
      <w:pPr>
        <w:spacing w:after="0" w:line="39" w:lineRule="exact"/>
        <w:rPr>
          <w:rFonts w:ascii="Arial" w:cs="Arial" w:eastAsia="Arial" w:hAnsi="Arial"/>
          <w:sz w:val="16"/>
          <w:szCs w:val="16"/>
          <w:color w:val="auto"/>
        </w:rPr>
      </w:pPr>
    </w:p>
    <w:p>
      <w:pPr>
        <w:ind w:left="460" w:right="80" w:firstLine="443"/>
        <w:spacing w:after="0" w:line="255"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560" w:hanging="219"/>
        <w:spacing w:after="0"/>
        <w:tabs>
          <w:tab w:leader="none" w:pos="156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undersigned registrants hereby undertake that:</w:t>
      </w:r>
    </w:p>
    <w:p>
      <w:pPr>
        <w:spacing w:after="0" w:line="90" w:lineRule="exact"/>
        <w:rPr>
          <w:rFonts w:ascii="Arial" w:cs="Arial" w:eastAsia="Arial" w:hAnsi="Arial"/>
          <w:sz w:val="18"/>
          <w:szCs w:val="18"/>
          <w:color w:val="auto"/>
        </w:rPr>
      </w:pPr>
    </w:p>
    <w:p>
      <w:pPr>
        <w:ind w:left="460" w:firstLine="443"/>
        <w:spacing w:after="0" w:line="289" w:lineRule="auto"/>
        <w:tabs>
          <w:tab w:leader="none" w:pos="1147"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7" w:lineRule="exact"/>
        <w:rPr>
          <w:rFonts w:ascii="Arial" w:cs="Arial" w:eastAsia="Arial" w:hAnsi="Arial"/>
          <w:sz w:val="16"/>
          <w:szCs w:val="16"/>
          <w:color w:val="auto"/>
        </w:rPr>
      </w:pPr>
    </w:p>
    <w:p>
      <w:pPr>
        <w:ind w:left="460" w:firstLine="443"/>
        <w:spacing w:after="0" w:line="256" w:lineRule="auto"/>
        <w:tabs>
          <w:tab w:leader="none" w:pos="114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2" w:lineRule="exact"/>
        <w:rPr>
          <w:rFonts w:ascii="Arial" w:cs="Arial" w:eastAsia="Arial" w:hAnsi="Arial"/>
          <w:sz w:val="18"/>
          <w:szCs w:val="18"/>
          <w:color w:val="auto"/>
        </w:rPr>
      </w:pPr>
    </w:p>
    <w:p>
      <w:pPr>
        <w:ind w:left="460" w:firstLine="443"/>
        <w:spacing w:after="0" w:line="332" w:lineRule="auto"/>
        <w:tabs>
          <w:tab w:leader="none" w:pos="1147"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March 31,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4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8"/>
              </w:rPr>
              <w:t>Chairman of Board and Chief Executive Officer of Wynn</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9"/>
              </w:rPr>
              <w:t>Chief Financial Officer and Treasurer of Wynn Resorts,</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3"/>
              </w:rPr>
              <w:t>Matt Maddox</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Limited (Principal Financial and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Linda Chen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Robert J. Miller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John A. Moran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Alvin V. Shoemaker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5"/>
              </w:rPr>
              <w:t>D. Boone Wayson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72"/>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40" w:type="dxa"/>
            <w:vAlign w:val="bottom"/>
            <w:gridSpan w:val="3"/>
          </w:tcPr>
          <w:p>
            <w:pPr>
              <w:ind w:left="740"/>
              <w:spacing w:after="0"/>
              <w:rPr>
                <w:sz w:val="20"/>
                <w:szCs w:val="20"/>
                <w:color w:val="auto"/>
              </w:rPr>
            </w:pPr>
            <w:r>
              <w:rPr>
                <w:rFonts w:ascii="Arial" w:cs="Arial" w:eastAsia="Arial" w:hAnsi="Arial"/>
                <w:sz w:val="18"/>
                <w:szCs w:val="18"/>
                <w:color w:val="auto"/>
              </w:rPr>
              <w:t>II-10</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gridSpan w:val="2"/>
          </w:tcPr>
          <w:p>
            <w:pPr>
              <w:spacing w:after="0"/>
              <w:rPr>
                <w:sz w:val="14"/>
                <w:szCs w:val="14"/>
                <w:color w:val="auto"/>
              </w:rPr>
            </w:pPr>
          </w:p>
        </w:tc>
        <w:tc>
          <w:tcPr>
            <w:tcW w:w="2440" w:type="dxa"/>
            <w:vAlign w:val="bottom"/>
            <w:gridSpan w:val="2"/>
          </w:tcPr>
          <w:p>
            <w:pPr>
              <w:ind w:left="216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Elaine P. Wynn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Allan Zeman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Dr. Ray R. Irani</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520" w:type="dxa"/>
            <w:vAlign w:val="bottom"/>
          </w:tcPr>
          <w:p>
            <w:pPr>
              <w:spacing w:after="0"/>
              <w:rPr>
                <w:sz w:val="20"/>
                <w:szCs w:val="20"/>
                <w:color w:val="auto"/>
              </w:rPr>
            </w:pPr>
            <w:r>
              <w:rPr>
                <w:rFonts w:ascii="Arial" w:cs="Arial" w:eastAsia="Arial" w:hAnsi="Arial"/>
                <w:sz w:val="18"/>
                <w:szCs w:val="18"/>
                <w:color w:val="auto"/>
              </w:rPr>
              <w:t>* By:</w:t>
            </w:r>
          </w:p>
        </w:tc>
        <w:tc>
          <w:tcPr>
            <w:tcW w:w="4280" w:type="dxa"/>
            <w:vAlign w:val="bottom"/>
            <w:gridSpan w:val="4"/>
          </w:tcPr>
          <w:p>
            <w:pPr>
              <w:jc w:val="center"/>
              <w:ind w:right="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0"/>
        </w:trPr>
        <w:tc>
          <w:tcPr>
            <w:tcW w:w="5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2"/>
          </w:tcPr>
          <w:p>
            <w:pPr>
              <w:jc w:val="center"/>
              <w:ind w:right="158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4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Attorney-in-fact</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3"/>
        </w:trPr>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ind w:left="740"/>
              <w:spacing w:after="0"/>
              <w:rPr>
                <w:sz w:val="20"/>
                <w:szCs w:val="20"/>
                <w:color w:val="auto"/>
              </w:rPr>
            </w:pPr>
            <w:r>
              <w:rPr>
                <w:rFonts w:ascii="Arial" w:cs="Arial" w:eastAsia="Arial" w:hAnsi="Arial"/>
                <w:sz w:val="18"/>
                <w:szCs w:val="18"/>
                <w:color w:val="auto"/>
              </w:rPr>
              <w:t>II-11</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March 31,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18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6"/>
              </w:rPr>
              <w:t>John Strzemp</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7"/>
              </w:rPr>
              <w:t>Executive Vice President, Chief Financial Officer and Treasurer</w:t>
            </w:r>
          </w:p>
        </w:tc>
      </w:tr>
    </w:tbl>
    <w:p>
      <w:pPr>
        <w:spacing w:after="0" w:line="14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gridSpan w:val="2"/>
          </w:tcPr>
          <w:p>
            <w:pPr>
              <w:spacing w:after="0"/>
              <w:rPr>
                <w:sz w:val="14"/>
                <w:szCs w:val="14"/>
                <w:color w:val="auto"/>
              </w:rPr>
            </w:pPr>
          </w:p>
        </w:tc>
        <w:tc>
          <w:tcPr>
            <w:tcW w:w="470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3"/>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w w:val="97"/>
              </w:rPr>
              <w:t>Chairman of Board and Chief Executive Officer (Principal</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8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7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Executive Officer)</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85"/>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8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Chief Financial Officer and</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80" w:type="dxa"/>
            <w:vAlign w:val="bottom"/>
            <w:gridSpan w:val="4"/>
          </w:tcPr>
          <w:p>
            <w:pPr>
              <w:jc w:val="center"/>
              <w:ind w:right="1720"/>
              <w:spacing w:after="0"/>
              <w:rPr>
                <w:sz w:val="20"/>
                <w:szCs w:val="20"/>
                <w:color w:val="auto"/>
              </w:rPr>
            </w:pPr>
            <w:r>
              <w:rPr>
                <w:rFonts w:ascii="Arial" w:cs="Arial" w:eastAsia="Arial" w:hAnsi="Arial"/>
                <w:sz w:val="14"/>
                <w:szCs w:val="14"/>
                <w:b w:val="1"/>
                <w:bCs w:val="1"/>
                <w:color w:val="auto"/>
                <w:w w:val="86"/>
              </w:rPr>
              <w:t>John Strzemp</w:t>
            </w:r>
          </w:p>
        </w:tc>
        <w:tc>
          <w:tcPr>
            <w:tcW w:w="4700" w:type="dxa"/>
            <w:vAlign w:val="bottom"/>
            <w:gridSpan w:val="3"/>
          </w:tcPr>
          <w:p>
            <w:pPr>
              <w:ind w:left="440"/>
              <w:spacing w:after="0" w:line="202" w:lineRule="exact"/>
              <w:rPr>
                <w:sz w:val="20"/>
                <w:szCs w:val="20"/>
                <w:color w:val="auto"/>
              </w:rPr>
            </w:pPr>
            <w:r>
              <w:rPr>
                <w:rFonts w:ascii="Arial" w:cs="Arial" w:eastAsia="Arial" w:hAnsi="Arial"/>
                <w:sz w:val="18"/>
                <w:szCs w:val="18"/>
                <w:color w:val="auto"/>
                <w:w w:val="99"/>
              </w:rPr>
              <w:t>Treasurer (Principal Financial and Accounting Officer)</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86"/>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169"/>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gridSpan w:val="4"/>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78"/>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169"/>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gridSpan w:val="4"/>
          </w:tcPr>
          <w:p>
            <w:pPr>
              <w:jc w:val="center"/>
              <w:ind w:right="1720"/>
              <w:spacing w:after="0"/>
              <w:rPr>
                <w:sz w:val="20"/>
                <w:szCs w:val="20"/>
                <w:color w:val="auto"/>
              </w:rPr>
            </w:pPr>
            <w:r>
              <w:rPr>
                <w:rFonts w:ascii="Arial" w:cs="Arial" w:eastAsia="Arial" w:hAnsi="Arial"/>
                <w:sz w:val="14"/>
                <w:szCs w:val="14"/>
                <w:b w:val="1"/>
                <w:bCs w:val="1"/>
                <w:color w:val="auto"/>
                <w:w w:val="89"/>
              </w:rPr>
              <w:t>Linda Chen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78"/>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169"/>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92"/>
              </w:rPr>
              <w:t>Robert J. Miller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78"/>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169"/>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gridSpan w:val="4"/>
          </w:tcPr>
          <w:p>
            <w:pPr>
              <w:jc w:val="center"/>
              <w:ind w:right="1720"/>
              <w:spacing w:after="0"/>
              <w:rPr>
                <w:sz w:val="20"/>
                <w:szCs w:val="20"/>
                <w:color w:val="auto"/>
              </w:rPr>
            </w:pPr>
            <w:r>
              <w:rPr>
                <w:rFonts w:ascii="Arial" w:cs="Arial" w:eastAsia="Arial" w:hAnsi="Arial"/>
                <w:sz w:val="14"/>
                <w:szCs w:val="14"/>
                <w:b w:val="1"/>
                <w:bCs w:val="1"/>
                <w:color w:val="auto"/>
                <w:w w:val="90"/>
              </w:rPr>
              <w:t>John A. Moran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78"/>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169"/>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7"/>
              </w:rPr>
              <w:t>Alvin V. Shoemaker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78"/>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169"/>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5"/>
              </w:rPr>
              <w:t>D. Boone Wayson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78"/>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169"/>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gridSpan w:val="4"/>
          </w:tcPr>
          <w:p>
            <w:pPr>
              <w:jc w:val="center"/>
              <w:ind w:right="1720"/>
              <w:spacing w:after="0"/>
              <w:rPr>
                <w:sz w:val="20"/>
                <w:szCs w:val="20"/>
                <w:color w:val="auto"/>
              </w:rPr>
            </w:pPr>
            <w:r>
              <w:rPr>
                <w:rFonts w:ascii="Arial" w:cs="Arial" w:eastAsia="Arial" w:hAnsi="Arial"/>
                <w:sz w:val="14"/>
                <w:szCs w:val="14"/>
                <w:b w:val="1"/>
                <w:bCs w:val="1"/>
                <w:color w:val="auto"/>
                <w:w w:val="87"/>
              </w:rPr>
              <w:t>Elaine P. Wynn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78"/>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169"/>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gridSpan w:val="4"/>
          </w:tcPr>
          <w:p>
            <w:pPr>
              <w:jc w:val="center"/>
              <w:ind w:right="1720"/>
              <w:spacing w:after="0"/>
              <w:rPr>
                <w:sz w:val="20"/>
                <w:szCs w:val="20"/>
                <w:color w:val="auto"/>
              </w:rPr>
            </w:pPr>
            <w:r>
              <w:rPr>
                <w:rFonts w:ascii="Arial" w:cs="Arial" w:eastAsia="Arial" w:hAnsi="Arial"/>
                <w:sz w:val="14"/>
                <w:szCs w:val="14"/>
                <w:b w:val="1"/>
                <w:bCs w:val="1"/>
                <w:color w:val="auto"/>
                <w:w w:val="91"/>
              </w:rPr>
              <w:t>Allan Zeman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78"/>
        </w:trPr>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March 31, 2008</w:t>
            </w:r>
          </w:p>
        </w:tc>
      </w:tr>
      <w:tr>
        <w:trPr>
          <w:trHeight w:val="169"/>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93"/>
              </w:rPr>
              <w:t>Dr. Ray R. Irani</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05"/>
        </w:trPr>
        <w:tc>
          <w:tcPr>
            <w:tcW w:w="1720" w:type="dxa"/>
            <w:vAlign w:val="bottom"/>
            <w:gridSpan w:val="2"/>
          </w:tcPr>
          <w:p>
            <w:pPr>
              <w:spacing w:after="0"/>
              <w:rPr>
                <w:sz w:val="20"/>
                <w:szCs w:val="20"/>
                <w:color w:val="auto"/>
              </w:rPr>
            </w:pPr>
            <w:r>
              <w:rPr>
                <w:rFonts w:ascii="Arial" w:cs="Arial" w:eastAsia="Arial" w:hAnsi="Arial"/>
                <w:sz w:val="18"/>
                <w:szCs w:val="18"/>
                <w:color w:val="auto"/>
              </w:rPr>
              <w:t>* By:</w:t>
            </w:r>
          </w:p>
        </w:tc>
        <w:tc>
          <w:tcPr>
            <w:tcW w:w="3080" w:type="dxa"/>
            <w:vAlign w:val="bottom"/>
            <w:gridSpan w:val="4"/>
          </w:tcPr>
          <w:p>
            <w:pPr>
              <w:jc w:val="center"/>
              <w:ind w:righ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0"/>
        </w:trPr>
        <w:tc>
          <w:tcPr>
            <w:tcW w:w="52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2"/>
          </w:tcPr>
          <w:p>
            <w:pPr>
              <w:jc w:val="center"/>
              <w:ind w:right="158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8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90"/>
              </w:rPr>
              <w:t>Attorney-in-fact</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3"/>
        </w:trPr>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3"/>
          </w:tcPr>
          <w:p>
            <w:pPr>
              <w:ind w:left="740"/>
              <w:spacing w:after="0"/>
              <w:rPr>
                <w:sz w:val="20"/>
                <w:szCs w:val="20"/>
                <w:color w:val="auto"/>
              </w:rPr>
            </w:pPr>
            <w:r>
              <w:rPr>
                <w:rFonts w:ascii="Arial" w:cs="Arial" w:eastAsia="Arial" w:hAnsi="Arial"/>
                <w:sz w:val="18"/>
                <w:szCs w:val="18"/>
                <w:color w:val="auto"/>
              </w:rPr>
              <w:t>II-12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March 31,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4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8"/>
              </w:rPr>
              <w:t>Chairman of Board and Chief Executive Officer of Wynn</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9"/>
              </w:rPr>
              <w:t>Chief Financial Officer and Treasurer of Wynn Resorts,</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3"/>
              </w:rPr>
              <w:t>Matt Maddox</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Limited (Principal Financial and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Linda Chen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Robert J. Miller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John A. Moran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Alvin V. Shoemaker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5"/>
              </w:rPr>
              <w:t>D. Boone Wayson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72"/>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40" w:type="dxa"/>
            <w:vAlign w:val="bottom"/>
            <w:gridSpan w:val="3"/>
          </w:tcPr>
          <w:p>
            <w:pPr>
              <w:ind w:left="740"/>
              <w:spacing w:after="0"/>
              <w:rPr>
                <w:sz w:val="20"/>
                <w:szCs w:val="20"/>
                <w:color w:val="auto"/>
              </w:rPr>
            </w:pPr>
            <w:r>
              <w:rPr>
                <w:rFonts w:ascii="Arial" w:cs="Arial" w:eastAsia="Arial" w:hAnsi="Arial"/>
                <w:sz w:val="18"/>
                <w:szCs w:val="18"/>
                <w:color w:val="auto"/>
              </w:rPr>
              <w:t>II-13</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gridSpan w:val="2"/>
          </w:tcPr>
          <w:p>
            <w:pPr>
              <w:spacing w:after="0"/>
              <w:rPr>
                <w:sz w:val="14"/>
                <w:szCs w:val="14"/>
                <w:color w:val="auto"/>
              </w:rPr>
            </w:pPr>
          </w:p>
        </w:tc>
        <w:tc>
          <w:tcPr>
            <w:tcW w:w="2440" w:type="dxa"/>
            <w:vAlign w:val="bottom"/>
            <w:gridSpan w:val="2"/>
          </w:tcPr>
          <w:p>
            <w:pPr>
              <w:ind w:left="216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Elaine P. Wynn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Allan Zeman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Dr. Ray R. Irani</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520" w:type="dxa"/>
            <w:vAlign w:val="bottom"/>
          </w:tcPr>
          <w:p>
            <w:pPr>
              <w:spacing w:after="0"/>
              <w:rPr>
                <w:sz w:val="20"/>
                <w:szCs w:val="20"/>
                <w:color w:val="auto"/>
              </w:rPr>
            </w:pPr>
            <w:r>
              <w:rPr>
                <w:rFonts w:ascii="Arial" w:cs="Arial" w:eastAsia="Arial" w:hAnsi="Arial"/>
                <w:sz w:val="18"/>
                <w:szCs w:val="18"/>
                <w:color w:val="auto"/>
              </w:rPr>
              <w:t>* By:</w:t>
            </w:r>
          </w:p>
        </w:tc>
        <w:tc>
          <w:tcPr>
            <w:tcW w:w="4280" w:type="dxa"/>
            <w:vAlign w:val="bottom"/>
            <w:gridSpan w:val="4"/>
          </w:tcPr>
          <w:p>
            <w:pPr>
              <w:jc w:val="center"/>
              <w:ind w:right="48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0"/>
        </w:trPr>
        <w:tc>
          <w:tcPr>
            <w:tcW w:w="5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2"/>
          </w:tcPr>
          <w:p>
            <w:pPr>
              <w:jc w:val="center"/>
              <w:ind w:right="158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4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Attorney-in-fact</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3"/>
        </w:trPr>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ind w:left="740"/>
              <w:spacing w:after="0"/>
              <w:rPr>
                <w:sz w:val="20"/>
                <w:szCs w:val="20"/>
                <w:color w:val="auto"/>
              </w:rPr>
            </w:pPr>
            <w:r>
              <w:rPr>
                <w:rFonts w:ascii="Arial" w:cs="Arial" w:eastAsia="Arial" w:hAnsi="Arial"/>
                <w:sz w:val="18"/>
                <w:szCs w:val="18"/>
                <w:color w:val="auto"/>
              </w:rPr>
              <w:t>II-14</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March 31,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KEVYN,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4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8"/>
              </w:rPr>
              <w:t>Chairman of Board and Chief Executive Officer of Wynn</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9"/>
              </w:rPr>
              <w:t>Chief Financial Officer and Treasurer of Wynn Resorts,</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3"/>
              </w:rPr>
              <w:t>Matt Maddox</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Limited (Principal Financial and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Linda Chen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Robert J. Miller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John A. Moran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Alvin V. Shoemaker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5"/>
              </w:rPr>
              <w:t>D. Boone Wayson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72"/>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40" w:type="dxa"/>
            <w:vAlign w:val="bottom"/>
            <w:gridSpan w:val="3"/>
          </w:tcPr>
          <w:p>
            <w:pPr>
              <w:ind w:left="740"/>
              <w:spacing w:after="0"/>
              <w:rPr>
                <w:sz w:val="20"/>
                <w:szCs w:val="20"/>
                <w:color w:val="auto"/>
              </w:rPr>
            </w:pPr>
            <w:r>
              <w:rPr>
                <w:rFonts w:ascii="Arial" w:cs="Arial" w:eastAsia="Arial" w:hAnsi="Arial"/>
                <w:sz w:val="18"/>
                <w:szCs w:val="18"/>
                <w:color w:val="auto"/>
              </w:rPr>
              <w:t>II-15</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gridSpan w:val="2"/>
          </w:tcPr>
          <w:p>
            <w:pPr>
              <w:spacing w:after="0"/>
              <w:rPr>
                <w:sz w:val="14"/>
                <w:szCs w:val="14"/>
                <w:color w:val="auto"/>
              </w:rPr>
            </w:pPr>
          </w:p>
        </w:tc>
        <w:tc>
          <w:tcPr>
            <w:tcW w:w="2440" w:type="dxa"/>
            <w:vAlign w:val="bottom"/>
            <w:gridSpan w:val="2"/>
          </w:tcPr>
          <w:p>
            <w:pPr>
              <w:ind w:left="216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Elaine P. Wynn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Allan Zeman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Dr. Ray R. Irani</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520" w:type="dxa"/>
            <w:vAlign w:val="bottom"/>
          </w:tcPr>
          <w:p>
            <w:pPr>
              <w:spacing w:after="0"/>
              <w:rPr>
                <w:sz w:val="20"/>
                <w:szCs w:val="20"/>
                <w:color w:val="auto"/>
              </w:rPr>
            </w:pPr>
            <w:r>
              <w:rPr>
                <w:rFonts w:ascii="Arial" w:cs="Arial" w:eastAsia="Arial" w:hAnsi="Arial"/>
                <w:sz w:val="18"/>
                <w:szCs w:val="18"/>
                <w:color w:val="auto"/>
              </w:rPr>
              <w:t>* By:</w:t>
            </w:r>
          </w:p>
        </w:tc>
        <w:tc>
          <w:tcPr>
            <w:tcW w:w="4280" w:type="dxa"/>
            <w:vAlign w:val="bottom"/>
            <w:gridSpan w:val="4"/>
          </w:tcPr>
          <w:p>
            <w:pPr>
              <w:jc w:val="center"/>
              <w:ind w:right="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0"/>
        </w:trPr>
        <w:tc>
          <w:tcPr>
            <w:tcW w:w="5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2"/>
          </w:tcPr>
          <w:p>
            <w:pPr>
              <w:jc w:val="center"/>
              <w:ind w:right="158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4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Attorney-in-fact</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3"/>
        </w:trPr>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ind w:left="740"/>
              <w:spacing w:after="0"/>
              <w:rPr>
                <w:sz w:val="20"/>
                <w:szCs w:val="20"/>
                <w:color w:val="auto"/>
              </w:rPr>
            </w:pPr>
            <w:r>
              <w:rPr>
                <w:rFonts w:ascii="Arial" w:cs="Arial" w:eastAsia="Arial" w:hAnsi="Arial"/>
                <w:sz w:val="18"/>
                <w:szCs w:val="18"/>
                <w:color w:val="auto"/>
              </w:rPr>
              <w:t>II-16</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March 31,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4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8"/>
              </w:rPr>
              <w:t>Chairman of Board and Chief Executive Officer of Wynn</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9"/>
              </w:rPr>
              <w:t>Chief Financial Officer and Treasurer of Wynn Resorts,</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3"/>
              </w:rPr>
              <w:t>Matt Maddox</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Limited (Principal Financial and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Linda Chen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Robert J. Miller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John A. Moran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Alvin V. Shoemaker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5"/>
              </w:rPr>
              <w:t>D. Boone Wayson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72"/>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40" w:type="dxa"/>
            <w:vAlign w:val="bottom"/>
            <w:gridSpan w:val="3"/>
          </w:tcPr>
          <w:p>
            <w:pPr>
              <w:ind w:left="740"/>
              <w:spacing w:after="0"/>
              <w:rPr>
                <w:sz w:val="20"/>
                <w:szCs w:val="20"/>
                <w:color w:val="auto"/>
              </w:rPr>
            </w:pPr>
            <w:r>
              <w:rPr>
                <w:rFonts w:ascii="Arial" w:cs="Arial" w:eastAsia="Arial" w:hAnsi="Arial"/>
                <w:sz w:val="18"/>
                <w:szCs w:val="18"/>
                <w:color w:val="auto"/>
              </w:rPr>
              <w:t>II-17</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gridSpan w:val="2"/>
          </w:tcPr>
          <w:p>
            <w:pPr>
              <w:spacing w:after="0"/>
              <w:rPr>
                <w:sz w:val="14"/>
                <w:szCs w:val="14"/>
                <w:color w:val="auto"/>
              </w:rPr>
            </w:pPr>
          </w:p>
        </w:tc>
        <w:tc>
          <w:tcPr>
            <w:tcW w:w="2440" w:type="dxa"/>
            <w:vAlign w:val="bottom"/>
            <w:gridSpan w:val="2"/>
          </w:tcPr>
          <w:p>
            <w:pPr>
              <w:ind w:left="216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Elaine P. Wynn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Allan Zeman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Dr. Ray R. Irani</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520" w:type="dxa"/>
            <w:vAlign w:val="bottom"/>
          </w:tcPr>
          <w:p>
            <w:pPr>
              <w:spacing w:after="0"/>
              <w:rPr>
                <w:sz w:val="20"/>
                <w:szCs w:val="20"/>
                <w:color w:val="auto"/>
              </w:rPr>
            </w:pPr>
            <w:r>
              <w:rPr>
                <w:rFonts w:ascii="Arial" w:cs="Arial" w:eastAsia="Arial" w:hAnsi="Arial"/>
                <w:sz w:val="18"/>
                <w:szCs w:val="18"/>
                <w:color w:val="auto"/>
              </w:rPr>
              <w:t>* By:</w:t>
            </w:r>
          </w:p>
        </w:tc>
        <w:tc>
          <w:tcPr>
            <w:tcW w:w="4280" w:type="dxa"/>
            <w:vAlign w:val="bottom"/>
            <w:gridSpan w:val="4"/>
          </w:tcPr>
          <w:p>
            <w:pPr>
              <w:jc w:val="center"/>
              <w:ind w:right="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0"/>
        </w:trPr>
        <w:tc>
          <w:tcPr>
            <w:tcW w:w="5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2"/>
          </w:tcPr>
          <w:p>
            <w:pPr>
              <w:jc w:val="center"/>
              <w:ind w:right="158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4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Attorney-in-fact</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3"/>
        </w:trPr>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ind w:left="740"/>
              <w:spacing w:after="0"/>
              <w:rPr>
                <w:sz w:val="20"/>
                <w:szCs w:val="20"/>
                <w:color w:val="auto"/>
              </w:rPr>
            </w:pPr>
            <w:r>
              <w:rPr>
                <w:rFonts w:ascii="Arial" w:cs="Arial" w:eastAsia="Arial" w:hAnsi="Arial"/>
                <w:sz w:val="18"/>
                <w:szCs w:val="18"/>
                <w:color w:val="auto"/>
              </w:rPr>
              <w:t>II-18</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March 31,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SUNRISE,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4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8"/>
              </w:rPr>
              <w:t>Chairman of Board and Chief Executive Officer of Wynn</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9"/>
              </w:rPr>
              <w:t>Chief Financial Officer and Treasurer of Wynn Resorts,</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3"/>
              </w:rPr>
              <w:t>Matt Maddox</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Limited (Principal Financial and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Linda Chen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Robert J. Miller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John A. Moran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Alvin V. Shoemaker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5"/>
              </w:rPr>
              <w:t>D. Boone Wayson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72"/>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40" w:type="dxa"/>
            <w:vAlign w:val="bottom"/>
            <w:gridSpan w:val="3"/>
          </w:tcPr>
          <w:p>
            <w:pPr>
              <w:ind w:left="740"/>
              <w:spacing w:after="0"/>
              <w:rPr>
                <w:sz w:val="20"/>
                <w:szCs w:val="20"/>
                <w:color w:val="auto"/>
              </w:rPr>
            </w:pPr>
            <w:r>
              <w:rPr>
                <w:rFonts w:ascii="Arial" w:cs="Arial" w:eastAsia="Arial" w:hAnsi="Arial"/>
                <w:sz w:val="18"/>
                <w:szCs w:val="18"/>
                <w:color w:val="auto"/>
              </w:rPr>
              <w:t>II-19</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gridSpan w:val="2"/>
          </w:tcPr>
          <w:p>
            <w:pPr>
              <w:spacing w:after="0"/>
              <w:rPr>
                <w:sz w:val="14"/>
                <w:szCs w:val="14"/>
                <w:color w:val="auto"/>
              </w:rPr>
            </w:pPr>
          </w:p>
        </w:tc>
        <w:tc>
          <w:tcPr>
            <w:tcW w:w="2440" w:type="dxa"/>
            <w:vAlign w:val="bottom"/>
            <w:gridSpan w:val="2"/>
          </w:tcPr>
          <w:p>
            <w:pPr>
              <w:ind w:left="216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Elaine P. Wynn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Allan Zeman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Dr. Ray R. Irani</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520" w:type="dxa"/>
            <w:vAlign w:val="bottom"/>
          </w:tcPr>
          <w:p>
            <w:pPr>
              <w:spacing w:after="0"/>
              <w:rPr>
                <w:sz w:val="20"/>
                <w:szCs w:val="20"/>
                <w:color w:val="auto"/>
              </w:rPr>
            </w:pPr>
            <w:r>
              <w:rPr>
                <w:rFonts w:ascii="Arial" w:cs="Arial" w:eastAsia="Arial" w:hAnsi="Arial"/>
                <w:sz w:val="18"/>
                <w:szCs w:val="18"/>
                <w:color w:val="auto"/>
              </w:rPr>
              <w:t>* By:</w:t>
            </w:r>
          </w:p>
        </w:tc>
        <w:tc>
          <w:tcPr>
            <w:tcW w:w="4280" w:type="dxa"/>
            <w:vAlign w:val="bottom"/>
            <w:gridSpan w:val="4"/>
          </w:tcPr>
          <w:p>
            <w:pPr>
              <w:jc w:val="center"/>
              <w:ind w:right="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0"/>
        </w:trPr>
        <w:tc>
          <w:tcPr>
            <w:tcW w:w="5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2"/>
          </w:tcPr>
          <w:p>
            <w:pPr>
              <w:jc w:val="center"/>
              <w:ind w:right="158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4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Attorney-in-fact</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3"/>
        </w:trPr>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ind w:left="740"/>
              <w:spacing w:after="0"/>
              <w:rPr>
                <w:sz w:val="20"/>
                <w:szCs w:val="20"/>
                <w:color w:val="auto"/>
              </w:rPr>
            </w:pPr>
            <w:r>
              <w:rPr>
                <w:rFonts w:ascii="Arial" w:cs="Arial" w:eastAsia="Arial" w:hAnsi="Arial"/>
                <w:sz w:val="18"/>
                <w:szCs w:val="18"/>
                <w:color w:val="auto"/>
              </w:rPr>
              <w:t>II-20</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March 31,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SHOW PERFORMERS,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4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8"/>
              </w:rPr>
              <w:t>Chairman of Board and Chief Executive Officer of Wynn</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9"/>
              </w:rPr>
              <w:t>Chief Financial Officer and Treasurer of Wynn Resorts,</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3"/>
              </w:rPr>
              <w:t>Matt Maddox</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Limited (Principal Financial and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Linda Chen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Robert J. Miller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John A. Moran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Alvin V. Shoemaker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5"/>
              </w:rPr>
              <w:t>D. Boone Wayson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72"/>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40" w:type="dxa"/>
            <w:vAlign w:val="bottom"/>
            <w:gridSpan w:val="3"/>
          </w:tcPr>
          <w:p>
            <w:pPr>
              <w:ind w:left="740"/>
              <w:spacing w:after="0"/>
              <w:rPr>
                <w:sz w:val="20"/>
                <w:szCs w:val="20"/>
                <w:color w:val="auto"/>
              </w:rPr>
            </w:pPr>
            <w:r>
              <w:rPr>
                <w:rFonts w:ascii="Arial" w:cs="Arial" w:eastAsia="Arial" w:hAnsi="Arial"/>
                <w:sz w:val="18"/>
                <w:szCs w:val="18"/>
                <w:color w:val="auto"/>
              </w:rPr>
              <w:t>II-21</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gridSpan w:val="2"/>
          </w:tcPr>
          <w:p>
            <w:pPr>
              <w:spacing w:after="0"/>
              <w:rPr>
                <w:sz w:val="14"/>
                <w:szCs w:val="14"/>
                <w:color w:val="auto"/>
              </w:rPr>
            </w:pPr>
          </w:p>
        </w:tc>
        <w:tc>
          <w:tcPr>
            <w:tcW w:w="2440" w:type="dxa"/>
            <w:vAlign w:val="bottom"/>
            <w:gridSpan w:val="2"/>
          </w:tcPr>
          <w:p>
            <w:pPr>
              <w:ind w:left="216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Elaine P. Wynn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Allan Zeman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Dr. Ray R. Irani</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520" w:type="dxa"/>
            <w:vAlign w:val="bottom"/>
          </w:tcPr>
          <w:p>
            <w:pPr>
              <w:spacing w:after="0"/>
              <w:rPr>
                <w:sz w:val="20"/>
                <w:szCs w:val="20"/>
                <w:color w:val="auto"/>
              </w:rPr>
            </w:pPr>
            <w:r>
              <w:rPr>
                <w:rFonts w:ascii="Arial" w:cs="Arial" w:eastAsia="Arial" w:hAnsi="Arial"/>
                <w:sz w:val="18"/>
                <w:szCs w:val="18"/>
                <w:color w:val="auto"/>
              </w:rPr>
              <w:t>* By:</w:t>
            </w:r>
          </w:p>
        </w:tc>
        <w:tc>
          <w:tcPr>
            <w:tcW w:w="4280" w:type="dxa"/>
            <w:vAlign w:val="bottom"/>
            <w:gridSpan w:val="4"/>
          </w:tcPr>
          <w:p>
            <w:pPr>
              <w:jc w:val="center"/>
              <w:ind w:right="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0"/>
        </w:trPr>
        <w:tc>
          <w:tcPr>
            <w:tcW w:w="5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2"/>
          </w:tcPr>
          <w:p>
            <w:pPr>
              <w:jc w:val="center"/>
              <w:ind w:right="158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4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Attorney-in-fact</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3"/>
        </w:trPr>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ind w:left="740"/>
              <w:spacing w:after="0"/>
              <w:rPr>
                <w:sz w:val="20"/>
                <w:szCs w:val="20"/>
                <w:color w:val="auto"/>
              </w:rPr>
            </w:pPr>
            <w:r>
              <w:rPr>
                <w:rFonts w:ascii="Arial" w:cs="Arial" w:eastAsia="Arial" w:hAnsi="Arial"/>
                <w:sz w:val="18"/>
                <w:szCs w:val="18"/>
                <w:color w:val="auto"/>
              </w:rPr>
              <w:t>II-22</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March 31,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GOLF,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4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8"/>
              </w:rPr>
              <w:t>Chairman of Board and Chief Executive Officer of Wynn</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w w:val="99"/>
              </w:rPr>
              <w:t>Chief Financial Officer and Treasurer of Wynn Resorts,</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3"/>
              </w:rPr>
              <w:t>Matt Maddox</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Limited (Principal Financial and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Linda Chen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Robert J. Miller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John A. Moran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Alvin V. Shoemaker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March 31,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5"/>
              </w:rPr>
              <w:t>D. Boone Wayson</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72"/>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40" w:type="dxa"/>
            <w:vAlign w:val="bottom"/>
            <w:gridSpan w:val="3"/>
          </w:tcPr>
          <w:p>
            <w:pPr>
              <w:ind w:left="740"/>
              <w:spacing w:after="0"/>
              <w:rPr>
                <w:sz w:val="20"/>
                <w:szCs w:val="20"/>
                <w:color w:val="auto"/>
              </w:rPr>
            </w:pPr>
            <w:r>
              <w:rPr>
                <w:rFonts w:ascii="Arial" w:cs="Arial" w:eastAsia="Arial" w:hAnsi="Arial"/>
                <w:sz w:val="18"/>
                <w:szCs w:val="18"/>
                <w:color w:val="auto"/>
              </w:rPr>
              <w:t>II-23</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gridSpan w:val="2"/>
          </w:tcPr>
          <w:p>
            <w:pPr>
              <w:spacing w:after="0"/>
              <w:rPr>
                <w:sz w:val="14"/>
                <w:szCs w:val="14"/>
                <w:color w:val="auto"/>
              </w:rPr>
            </w:pPr>
          </w:p>
        </w:tc>
        <w:tc>
          <w:tcPr>
            <w:tcW w:w="2440" w:type="dxa"/>
            <w:vAlign w:val="bottom"/>
            <w:gridSpan w:val="2"/>
          </w:tcPr>
          <w:p>
            <w:pPr>
              <w:ind w:left="216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Elaine P. Wynn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Allan Zeman</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left="150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512"/>
              <w:spacing w:after="0"/>
              <w:rPr>
                <w:sz w:val="20"/>
                <w:szCs w:val="20"/>
                <w:color w:val="auto"/>
              </w:rPr>
            </w:pPr>
            <w:r>
              <w:rPr>
                <w:rFonts w:ascii="Arial" w:cs="Arial" w:eastAsia="Arial" w:hAnsi="Arial"/>
                <w:sz w:val="18"/>
                <w:szCs w:val="18"/>
                <w:color w:val="auto"/>
                <w:w w:val="89"/>
              </w:rPr>
              <w:t>March 31, 2008</w:t>
            </w:r>
          </w:p>
        </w:tc>
      </w:tr>
      <w:tr>
        <w:trPr>
          <w:trHeight w:val="202"/>
        </w:trPr>
        <w:tc>
          <w:tcPr>
            <w:tcW w:w="520" w:type="dxa"/>
            <w:vAlign w:val="bottom"/>
          </w:tcPr>
          <w:p>
            <w:pPr>
              <w:spacing w:after="0"/>
              <w:rPr>
                <w:sz w:val="17"/>
                <w:szCs w:val="17"/>
                <w:color w:val="auto"/>
              </w:rPr>
            </w:pPr>
          </w:p>
        </w:tc>
        <w:tc>
          <w:tcPr>
            <w:tcW w:w="42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Dr. Ray R. Irani</w:t>
            </w:r>
          </w:p>
        </w:tc>
        <w:tc>
          <w:tcPr>
            <w:tcW w:w="2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520" w:type="dxa"/>
            <w:vAlign w:val="bottom"/>
          </w:tcPr>
          <w:p>
            <w:pPr>
              <w:spacing w:after="0"/>
              <w:rPr>
                <w:sz w:val="20"/>
                <w:szCs w:val="20"/>
                <w:color w:val="auto"/>
              </w:rPr>
            </w:pPr>
            <w:r>
              <w:rPr>
                <w:rFonts w:ascii="Arial" w:cs="Arial" w:eastAsia="Arial" w:hAnsi="Arial"/>
                <w:sz w:val="18"/>
                <w:szCs w:val="18"/>
                <w:color w:val="auto"/>
              </w:rPr>
              <w:t>* By:</w:t>
            </w:r>
          </w:p>
        </w:tc>
        <w:tc>
          <w:tcPr>
            <w:tcW w:w="4280" w:type="dxa"/>
            <w:vAlign w:val="bottom"/>
            <w:gridSpan w:val="4"/>
          </w:tcPr>
          <w:p>
            <w:pPr>
              <w:jc w:val="center"/>
              <w:ind w:right="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0"/>
        </w:trPr>
        <w:tc>
          <w:tcPr>
            <w:tcW w:w="5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2"/>
          </w:tcPr>
          <w:p>
            <w:pPr>
              <w:jc w:val="center"/>
              <w:ind w:right="1580"/>
              <w:spacing w:after="0" w:line="131" w:lineRule="exact"/>
              <w:rPr>
                <w:sz w:val="20"/>
                <w:szCs w:val="20"/>
                <w:color w:val="auto"/>
              </w:rPr>
            </w:pPr>
            <w:r>
              <w:rPr>
                <w:rFonts w:ascii="Arial" w:cs="Arial" w:eastAsia="Arial" w:hAnsi="Arial"/>
                <w:sz w:val="14"/>
                <w:szCs w:val="14"/>
                <w:b w:val="1"/>
                <w:bCs w:val="1"/>
                <w:color w:val="auto"/>
                <w:w w:val="92"/>
              </w:rPr>
              <w:t>Kim Sinatra</w:t>
            </w: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4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Attorney-in-fact</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63"/>
        </w:trPr>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ind w:left="740"/>
              <w:spacing w:after="0"/>
              <w:rPr>
                <w:sz w:val="20"/>
                <w:szCs w:val="20"/>
                <w:color w:val="auto"/>
              </w:rPr>
            </w:pPr>
            <w:r>
              <w:rPr>
                <w:rFonts w:ascii="Arial" w:cs="Arial" w:eastAsia="Arial" w:hAnsi="Arial"/>
                <w:sz w:val="18"/>
                <w:szCs w:val="18"/>
                <w:color w:val="auto"/>
              </w:rPr>
              <w:t>II-24</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43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7"/>
              </w:rPr>
              <w:t>Second Amended and Restated Articles of Organization of Wynn Las</w:t>
            </w: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20" w:type="dxa"/>
            <w:vAlign w:val="bottom"/>
            <w:vMerge w:val="continue"/>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3.1</w:t>
            </w:r>
          </w:p>
        </w:tc>
        <w:tc>
          <w:tcPr>
            <w:tcW w:w="5420" w:type="dxa"/>
            <w:vAlign w:val="bottom"/>
            <w:vMerge w:val="continue"/>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Arial" w:cs="Arial" w:eastAsia="Arial" w:hAnsi="Arial"/>
                <w:sz w:val="18"/>
                <w:szCs w:val="18"/>
                <w:color w:val="auto"/>
              </w:rPr>
              <w:t>Vegas, LLC. (1)</w:t>
            </w:r>
          </w:p>
        </w:tc>
        <w:tc>
          <w:tcPr>
            <w:tcW w:w="0" w:type="dxa"/>
            <w:vAlign w:val="bottom"/>
          </w:tcPr>
          <w:p>
            <w:pPr>
              <w:spacing w:after="0"/>
              <w:rPr>
                <w:sz w:val="1"/>
                <w:szCs w:val="1"/>
                <w:color w:val="auto"/>
              </w:rPr>
            </w:pPr>
          </w:p>
        </w:tc>
      </w:tr>
      <w:tr>
        <w:trPr>
          <w:trHeight w:val="316"/>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Kevyn, LLC. (2)</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Operating Agreement of Kevyn, LLC. (2)</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Indenture, dated as of December 14, 2004,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First Supplemental Indenture, dated as of December 14, 2004, among Wynn Las Vegas, LLC, Wynn Las Vegas Capital Corp., the Guarantors set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forth therein and Wells Fargo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therein and U.S. Bank National Association, as trustee. (4)</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Supplemental Indenture, dated as of July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therein and U.S. Bank National Association, as trustee. (2)</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Guarantor signatories thereto and Deutsche Bank Securities Inc., Banc of America Securities LLC, Bear, Stearns &amp; Co. Inc., J.P. Morgan Securities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Inc. and SG Americas Securities, LLC. (5)</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Exhibit</w:t>
            </w:r>
          </w:p>
        </w:tc>
        <w:tc>
          <w:tcPr>
            <w:tcW w:w="5100" w:type="dxa"/>
            <w:vAlign w:val="bottom"/>
          </w:tcPr>
          <w:p>
            <w:pPr>
              <w:spacing w:after="0"/>
              <w:rPr>
                <w:sz w:val="14"/>
                <w:szCs w:val="14"/>
                <w:color w:val="auto"/>
              </w:rPr>
            </w:pP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Wynn Las Vegas, LLC, Wynn Las Vegas Capital Corp., the</w:t>
            </w: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4.6</w:t>
            </w:r>
          </w:p>
        </w:tc>
        <w:tc>
          <w:tcPr>
            <w:tcW w:w="320" w:type="dxa"/>
            <w:vAlign w:val="bottom"/>
          </w:tcPr>
          <w:p>
            <w:pPr>
              <w:spacing w:after="0"/>
              <w:rPr>
                <w:sz w:val="17"/>
                <w:szCs w:val="17"/>
                <w:color w:val="auto"/>
              </w:rPr>
            </w:pPr>
          </w:p>
        </w:tc>
        <w:tc>
          <w:tcPr>
            <w:tcW w:w="58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88"/>
              </w:rPr>
              <w:t>Registration Rights Agreement, dated as of November 6, 2007, by and among</w:t>
            </w:r>
          </w:p>
        </w:tc>
        <w:tc>
          <w:tcPr>
            <w:tcW w:w="4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guarantors party thereto, Deutsche Bank Securities Inc. and Banc of America Securities LLC. (6)</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Opinion of Skadden, Arps, Slate, Meagher &amp; Flom LLP. (22)</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Opinion of Brownstein Hyatt Farber Schreck, LLP (22)</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8"/>
              </w:rPr>
              <w:t>Master Disbursement Agreement, dated as of December 14, 2004, among Wynn Las Vegas, LLC, Wynn Las Vegas Capital Corp.,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Trust Company Americas and U.S. Bank National Association. (3)</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3"/>
              </w:rPr>
              <w:t>First Amendment to Master Disbursement Agreement, dated April 26, 2005, among Wynn Las Vegas, LLC, Deutsche Bank Trust Company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Americas, as bank agent and Deutsche Bank Trust Company Americas, as disbursement agent. (8)</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0"/>
              </w:rPr>
              <w:t>Second Amendment to Master Disbursement Agreement, dated as of June 29, 2005, between Wynn Las Vegas, LLC and Deutsche Bank 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Company Americas. (9)</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1"/>
              </w:rPr>
              <w:t>Third Amendment to Master Disbursement Agreement, dated as of March 15, 2006, between Wynn Las Vegas, LLC and Deutsche Bank 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Company Americas. (10)</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1"/>
              </w:rPr>
              <w:t>Fourth Amendment to Master Disbursement Agreement, dated as of August 15, 2006, among Wynn Las Vegas, LLC and Deutsche Bank 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Company America, as both agent and disbursement agent. (11)</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8"/>
              </w:rPr>
              <w:t>Fifth Amendment to Master Disbursement Agreement, dated as of April 9, 2007 among Wynn Las Vegas, LLC and Deutsche Bank Trust Company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Americas. (12)</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(13)</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Agent. (14)</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8"/>
              </w:rPr>
              <w:t>LLC, Deutsche Bank Trust Company Americas, as the Bank Agent, and Deutsche Bank Trust Company Americas, as the Disbursement Agent. (6)</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10.10</w:t>
            </w: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Association, not in its individual capacity but solely as collateral agent. (15)</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10.11</w:t>
            </w: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Bank, National Association, not in its individual capacity but solely as collateral agent. (15)</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10.12</w:t>
            </w: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0"/>
              </w:rPr>
              <w:t>as owner trustee, World Travel, LLC and Wells Fargo Bank, National Association, not in its individual capacity but solely as collateral agent. (15)</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Exhibit</w:t>
            </w:r>
          </w:p>
        </w:tc>
        <w:tc>
          <w:tcPr>
            <w:tcW w:w="5080" w:type="dxa"/>
            <w:vAlign w:val="bottom"/>
          </w:tcPr>
          <w:p>
            <w:pPr>
              <w:spacing w:after="0"/>
              <w:rPr>
                <w:sz w:val="14"/>
                <w:szCs w:val="14"/>
                <w:color w:val="auto"/>
              </w:rPr>
            </w:pPr>
          </w:p>
        </w:tc>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vMerge w:val="restart"/>
          </w:tcPr>
          <w:p>
            <w:pPr>
              <w:ind w:left="20"/>
              <w:spacing w:after="0"/>
              <w:rPr>
                <w:sz w:val="20"/>
                <w:szCs w:val="20"/>
                <w:color w:val="auto"/>
              </w:rPr>
            </w:pPr>
            <w:r>
              <w:rPr>
                <w:rFonts w:ascii="Arial" w:cs="Arial" w:eastAsia="Arial" w:hAnsi="Arial"/>
                <w:sz w:val="18"/>
                <w:szCs w:val="18"/>
                <w:color w:val="auto"/>
                <w:w w:val="94"/>
              </w:rPr>
              <w:t>Group / Equipment Financing, Inc., Bank of America, N.A. and</w:t>
            </w: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10.13</w:t>
            </w:r>
          </w:p>
        </w:tc>
        <w:tc>
          <w:tcPr>
            <w:tcW w:w="578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89"/>
              </w:rPr>
              <w:t>Guaranty, dated May 24, 2005, by Wynn Las Vegas, LLC in favor of The CIT</w:t>
            </w:r>
          </w:p>
        </w:tc>
        <w:tc>
          <w:tcPr>
            <w:tcW w:w="4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(15)</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10.14</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(16)</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10.15</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Gallery, LLC, as lessee. (16)</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10.16</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Lump Sum Agreement, by and between Wynn Las Vegas, LLC and Wadsworth Golf Construction Company, effective as of February 18, 2003.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10.17</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the Bank Agent, and U.S. Bank National Association, as Indenture Trustee. (5)</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10.18</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Purchase Agreement, dated October 25, 2002, by and among Wynn Las Vegas, LLC, Wynn Las Vegas Capital Corp. and Stephen A. Wynn. (18)</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10.19</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Aruze USA, Inc. (18)</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10.20</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Acknowledgement and Agreement, dated as of September 1, 2004, among Wynn Las Vegas, LLC, Wells Fargo Bank, National Association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the lenders named therein. (19)</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10.21</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Third Amended and Restated Art Rental and Licensing Agreement, dated as of August 6, 2004, by and between Stephen A. Wynn and Wynn Las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Vegas, LLC. (20)</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10.22</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Deed of Trust, Assignment of Rents and Leases, Security Agreement and Fixture Filing, dated as of December 14, 2004, made by Wynn Las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Vegas, LLC, as trustor, to Nevada Title Company, as trustee, for the benefit of Deutsche Bank Trust Company Americas, as collateral agent. (5)</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10.23</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7"/>
              </w:rPr>
              <w:t>Deed of Trust, Assignment of Rents and Leases, Security Agreement and Fixture Filing, dated as of December 14, 2004, made by Wynn Sunrise,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LLC, as trustor, to Nevada Title Company, as trustee, for the benefit of Deutsche Bank Trust Company Americas, as collateral agent. (5)</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10.24</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Deed of Trust, Assignment of Rents and Leases, Security Agreement and Fixture Filing, dated as of December 14, 2004, made by Wynn Golf,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LLC, as trustor, to Nevada Title Company, as trustee, for the benefit of Deutsche Bank Trust Company Americas, as collateral agent. (5)</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10.25</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1"/>
              </w:rPr>
              <w:t>Guarantee and Collateral Agreement, dated as of December 14, 2004, made by Wynn Resorts Holdings, LLC, Wynn Las Vegas, LLC,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Show Performers, LLC, Wynn Las Vegas Capital Corp., Wynn Golf, LLC, World Travel, LLC, Las Vegas Jet, LLC, Wynn Sunrise, LLC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other Grantors from time to time party thereto in favor of Deutsche Bank Trust Company Americas, as administrative agent. (5)</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10.26</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Intercreditor Agreement, dated as of December 14, 2004, among Deutsche Bank Trust Company Americas, as bank agent, Deutsche Bank 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10.27</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Pledge and Security Agreement, dated as of December 14, 2004, made by Wynn Resorts Holdings, LLC, Wynn Las Vegas, LLC, Wynn Show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Performers, LLC, Wynn Las Vegas Capital Corp., Wynn Golf, LLC, World Travel, LLC, Las Vegas Jet, LLC, Wynn Sunrise, LLC and the other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(5)</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100" w:type="dxa"/>
            <w:vAlign w:val="bottom"/>
          </w:tcPr>
          <w:p>
            <w:pPr>
              <w:spacing w:after="0"/>
              <w:rPr>
                <w:sz w:val="14"/>
                <w:szCs w:val="14"/>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5"/>
              </w:rPr>
              <w:t>10.28</w:t>
            </w:r>
          </w:p>
        </w:tc>
        <w:tc>
          <w:tcPr>
            <w:tcW w:w="320" w:type="dxa"/>
            <w:vAlign w:val="bottom"/>
          </w:tcPr>
          <w:p>
            <w:pPr>
              <w:spacing w:after="0"/>
              <w:rPr>
                <w:sz w:val="17"/>
                <w:szCs w:val="17"/>
                <w:color w:val="auto"/>
              </w:rPr>
            </w:pPr>
          </w:p>
        </w:tc>
        <w:tc>
          <w:tcPr>
            <w:tcW w:w="5100" w:type="dxa"/>
            <w:vAlign w:val="bottom"/>
          </w:tcPr>
          <w:p>
            <w:pPr>
              <w:ind w:left="260"/>
              <w:spacing w:after="0" w:line="201" w:lineRule="exact"/>
              <w:rPr>
                <w:sz w:val="20"/>
                <w:szCs w:val="20"/>
                <w:color w:val="auto"/>
              </w:rPr>
            </w:pPr>
            <w:r>
              <w:rPr>
                <w:rFonts w:ascii="Arial" w:cs="Arial" w:eastAsia="Arial" w:hAnsi="Arial"/>
                <w:sz w:val="18"/>
                <w:szCs w:val="18"/>
                <w:color w:val="auto"/>
                <w:w w:val="88"/>
              </w:rPr>
              <w:t>Management Fees Subordination Agreement, dated as of December</w:t>
            </w: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14, 2004,</w:t>
            </w:r>
          </w:p>
        </w:tc>
        <w:tc>
          <w:tcPr>
            <w:tcW w:w="4840" w:type="dxa"/>
            <w:vAlign w:val="bottom"/>
          </w:tcPr>
          <w:p>
            <w:pPr>
              <w:spacing w:after="0" w:line="201" w:lineRule="exact"/>
              <w:rPr>
                <w:sz w:val="20"/>
                <w:szCs w:val="20"/>
                <w:color w:val="auto"/>
              </w:rPr>
            </w:pPr>
            <w:r>
              <w:rPr>
                <w:rFonts w:ascii="Arial" w:cs="Arial" w:eastAsia="Arial" w:hAnsi="Arial"/>
                <w:sz w:val="18"/>
                <w:szCs w:val="18"/>
                <w:color w:val="auto"/>
                <w:w w:val="89"/>
              </w:rPr>
              <w:t>by Wynn Resorts, Limited,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0"/>
              </w:rPr>
              <w:t>Capital Corp., and those subsidiaries of Wynn Las Vegas, LLC listed on Exhibit A hereto in favor of Deutsche Bank Trust Company Americas, 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administrative agent, and U.S. Bank National Association, as trustee. (5)</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10.29</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(5)</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10.30</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Fargo Bank, National Association, as Trustee. (5)</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10.31</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Amended and Restated Project Administration Services Agreement, dated December 14, 2004, between Wynn Las Vegas, LLC and Wynn Design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&amp; Development, LLC. (5)</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10.32</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Wynn Las Vegas, LLC. (5)</w:t>
            </w:r>
          </w:p>
        </w:tc>
      </w:tr>
      <w:tr>
        <w:trPr>
          <w:trHeight w:val="324"/>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10.33</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August 31, 2005 by and between Wynn Las Vegas, LLC and Andrew Pascal. (21)</w:t>
            </w:r>
          </w:p>
        </w:tc>
      </w:tr>
      <w:tr>
        <w:trPr>
          <w:trHeight w:val="324"/>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10.34</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March 3, 2008, by and between Wynn Las Vegas, LLC and David Sisk. (23)</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10.35</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and Deutsche Bank Trust Company Americas, as Administrative Agent. (11)</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10.36</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First Amendment to Amended and Restated Credit Agreement dated April 9, 2007 among Wynn Las Vegas, LLC, Wynn Las Vegas Capital Corp.,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to Wynn Las Vegas LLC’s Amended and Restated Credit Agreement, dated as of August 15, 2006. (12)</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10.37</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Agreement, dated as of August 15, 2006. (14)</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12.1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Statements re Computation of Ratios. (22)</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21.1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Subsidiaries of the Registrant. (22)</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23.1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Consent of Ernst &amp; Young LLP. (7)</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23.2</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Consent of Deloitte &amp; Touche LLP. (7)</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23.3</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Consent of Skadden, Arps, Slate, Meagher &amp; Flom LLP (included in Exhibit 5.1). (22)</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23.4</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Consent of Brownstein Hyatt Farber Schreck, LLP (included in Exhibit 5.2). (22)</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24.1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Powers of Attorney (included in the signature pages to the Registration Statement). (22)</w:t>
            </w:r>
          </w:p>
        </w:tc>
      </w:tr>
      <w:tr>
        <w:trPr>
          <w:trHeight w:val="318"/>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25.1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Statement of Eligibility and Qualification on Form T-1 of U.S. Bank National Association, as trustee under the Indenture for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LLC and Wynn Las Vegas Capital Corp.’s 6 5/8% First Mortgage Notes due 2014. (22)</w:t>
            </w:r>
          </w:p>
        </w:tc>
      </w:tr>
    </w:tbl>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rPr>
              <w:t>Form of Letter of Transmittal. (22)</w:t>
            </w:r>
          </w:p>
        </w:tc>
        <w:tc>
          <w:tcPr>
            <w:tcW w:w="2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542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7620" w:type="dxa"/>
            <w:vAlign w:val="bottom"/>
            <w:gridSpan w:val="3"/>
          </w:tcPr>
          <w:p>
            <w:pPr>
              <w:ind w:left="580"/>
              <w:spacing w:after="0"/>
              <w:rPr>
                <w:sz w:val="20"/>
                <w:szCs w:val="20"/>
                <w:color w:val="auto"/>
              </w:rPr>
            </w:pPr>
            <w:r>
              <w:rPr>
                <w:rFonts w:ascii="Arial" w:cs="Arial" w:eastAsia="Arial" w:hAnsi="Arial"/>
                <w:sz w:val="18"/>
                <w:szCs w:val="18"/>
                <w:color w:val="auto"/>
              </w:rPr>
              <w:t>Form of Notice of Guaranteed Delivery. (22)</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7620" w:type="dxa"/>
            <w:vAlign w:val="bottom"/>
            <w:gridSpan w:val="3"/>
          </w:tcPr>
          <w:p>
            <w:pPr>
              <w:ind w:left="580"/>
              <w:spacing w:after="0"/>
              <w:rPr>
                <w:sz w:val="20"/>
                <w:szCs w:val="20"/>
                <w:color w:val="auto"/>
              </w:rPr>
            </w:pPr>
            <w:r>
              <w:rPr>
                <w:rFonts w:ascii="Arial" w:cs="Arial" w:eastAsia="Arial" w:hAnsi="Arial"/>
                <w:sz w:val="18"/>
                <w:szCs w:val="18"/>
                <w:color w:val="auto"/>
              </w:rPr>
              <w:t>Form of Letter to Clients. (22)</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7620" w:type="dxa"/>
            <w:vAlign w:val="bottom"/>
            <w:gridSpan w:val="3"/>
          </w:tcPr>
          <w:p>
            <w:pPr>
              <w:ind w:left="580"/>
              <w:spacing w:after="0"/>
              <w:rPr>
                <w:sz w:val="20"/>
                <w:szCs w:val="20"/>
                <w:color w:val="auto"/>
              </w:rPr>
            </w:pPr>
            <w:r>
              <w:rPr>
                <w:rFonts w:ascii="Arial" w:cs="Arial" w:eastAsia="Arial" w:hAnsi="Arial"/>
                <w:sz w:val="18"/>
                <w:szCs w:val="18"/>
                <w:color w:val="auto"/>
                <w:w w:val="88"/>
              </w:rPr>
              <w:t>Form of Letter to Brokers, Dealers, Commercial Banks, Trust Companies and Other Nominees. (22)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line="254" w:lineRule="auto"/>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 and incorporated herein by reference.</w:t>
      </w: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the Registrant on February 22, 2008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December 17,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Wynn Resorts, Limited on March 15,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November 13,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April 27,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Wynn Resorts, Limited on March 16,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November 9,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August 9,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October 31, 2007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November 1,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25,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August 3,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May 15, 2003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November 18, 2002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September 8,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November 4,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September 1, 2005 and incorporated herein by reference.</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333-149556) filed by the Registrant on March 5, 2008 and incorporated herein by reference.</w:t>
      </w:r>
    </w:p>
    <w:p>
      <w:pPr>
        <w:ind w:left="580" w:hanging="572"/>
        <w:spacing w:after="0"/>
        <w:tabs>
          <w:tab w:leader="none" w:pos="5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March 4, 2008 and incorporated herein by reference.</w:t>
      </w:r>
    </w:p>
    <w:p>
      <w:pPr>
        <w:sectPr>
          <w:pgSz w:w="11900" w:h="16838" w:orient="portrait"/>
          <w:cols w:equalWidth="0" w:num="1">
            <w:col w:w="11340"/>
          </w:cols>
          <w:pgMar w:left="240" w:top="460" w:right="3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 xml:space="preserve">We consent to the reference to our firm under the caption “Experts” and to the use of our report dated February 22, 2008, in the Registration Statement (Form S-4) and related Prospectus of Wynn Las Vegas, LLC for the offer to exchange $400 million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2008</w:t>
      </w:r>
    </w:p>
    <w:p>
      <w:pPr>
        <w:sectPr>
          <w:pgSz w:w="11900" w:h="16838" w:orient="portrait"/>
          <w:cols w:equalWidth="0" w:num="1">
            <w:col w:w="11420"/>
          </w:cols>
          <w:pgMar w:left="240" w:top="125"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use in this Amendment No. 1 to Registration Statement No. 333-149556 of our report dated March 15, 2006 relating to the financial statements of Wynn Las Vegas, LLC and subsidiaries appearing in the Prospectus, which is a part of such Registration Statement, and to the reference to us under the heading “Experts” in such Prospectus.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2008</w:t>
      </w:r>
    </w:p>
    <w:p>
      <w:pPr>
        <w:sectPr>
          <w:pgSz w:w="11900" w:h="16838" w:orient="portrait"/>
          <w:cols w:equalWidth="0" w:num="1">
            <w:col w:w="11420"/>
          </w:cols>
          <w:pgMar w:left="240" w:top="125" w:right="239" w:bottom="1440" w:gutter="0" w:footer="0" w:header="0"/>
        </w:sectPr>
      </w:pPr>
    </w:p>
    <w:bookmarkStart w:id="250" w:name="page251"/>
    <w:bookmarkEnd w:id="250"/>
    <w:p>
      <w:pPr>
        <w:jc w:val="center"/>
        <w:ind w:right="-39"/>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CAPITAL CORP.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3131 Las Vegas Boulevard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South Las Vegas, Nevada 89109</w:t>
      </w:r>
    </w:p>
    <w:p>
      <w:pPr>
        <w:spacing w:after="0" w:line="9" w:lineRule="exact"/>
        <w:rPr>
          <w:sz w:val="20"/>
          <w:szCs w:val="20"/>
          <w:color w:val="auto"/>
        </w:rPr>
      </w:pPr>
    </w:p>
    <w:p>
      <w:pPr>
        <w:jc w:val="both"/>
        <w:ind w:left="5160" w:right="5100" w:firstLine="5"/>
        <w:spacing w:after="0" w:line="485" w:lineRule="auto"/>
        <w:tabs>
          <w:tab w:leader="none" w:pos="559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770-7555 March 31, 2008</w:t>
      </w:r>
    </w:p>
    <w:p>
      <w:pPr>
        <w:spacing w:after="0"/>
        <w:rPr>
          <w:sz w:val="20"/>
          <w:szCs w:val="20"/>
          <w:color w:val="auto"/>
        </w:rPr>
      </w:pPr>
      <w:r>
        <w:rPr>
          <w:rFonts w:ascii="Arial" w:cs="Arial" w:eastAsia="Arial" w:hAnsi="Arial"/>
          <w:sz w:val="18"/>
          <w:szCs w:val="18"/>
          <w:b w:val="1"/>
          <w:bCs w:val="1"/>
          <w:u w:val="single" w:color="auto"/>
          <w:color w:val="auto"/>
        </w:rPr>
        <w:t>VIA FACSIMILE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Karen J. Garnett, Assistant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ind w:left="920"/>
              <w:spacing w:after="0"/>
              <w:rPr>
                <w:sz w:val="20"/>
                <w:szCs w:val="20"/>
                <w:color w:val="auto"/>
              </w:rPr>
            </w:pPr>
            <w:r>
              <w:rPr>
                <w:rFonts w:ascii="Arial" w:cs="Arial" w:eastAsia="Arial" w:hAnsi="Arial"/>
                <w:sz w:val="18"/>
                <w:szCs w:val="18"/>
                <w:color w:val="auto"/>
              </w:rPr>
              <w:t>Re:</w:t>
            </w:r>
          </w:p>
        </w:tc>
        <w:tc>
          <w:tcPr>
            <w:tcW w:w="4340" w:type="dxa"/>
            <w:vAlign w:val="bottom"/>
          </w:tcPr>
          <w:p>
            <w:pPr>
              <w:spacing w:after="0"/>
              <w:rPr>
                <w:sz w:val="20"/>
                <w:szCs w:val="20"/>
                <w:color w:val="auto"/>
              </w:rPr>
            </w:pPr>
            <w:r>
              <w:rPr>
                <w:rFonts w:ascii="Arial" w:cs="Arial" w:eastAsia="Arial" w:hAnsi="Arial"/>
                <w:sz w:val="18"/>
                <w:szCs w:val="18"/>
                <w:color w:val="auto"/>
              </w:rPr>
              <w:t>Wynn Las Vegas, LLC; Wynn Las Vegas Capital Corp</w:t>
            </w:r>
          </w:p>
        </w:tc>
      </w:tr>
      <w:tr>
        <w:trPr>
          <w:trHeight w:val="216"/>
        </w:trPr>
        <w:tc>
          <w:tcPr>
            <w:tcW w:w="14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4"/>
              </w:rPr>
              <w:t>Registration Statement on Form S-4 File No. 333-149556</w:t>
            </w:r>
          </w:p>
        </w:tc>
      </w:tr>
      <w:tr>
        <w:trPr>
          <w:trHeight w:val="184"/>
        </w:trPr>
        <w:tc>
          <w:tcPr>
            <w:tcW w:w="1480" w:type="dxa"/>
            <w:vAlign w:val="bottom"/>
          </w:tcPr>
          <w:p>
            <w:pPr>
              <w:spacing w:after="0"/>
              <w:rPr>
                <w:sz w:val="15"/>
                <w:szCs w:val="15"/>
                <w:color w:val="auto"/>
              </w:rPr>
            </w:pPr>
          </w:p>
        </w:tc>
        <w:tc>
          <w:tcPr>
            <w:tcW w:w="43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rPr>
              <w:t>Filed on March 5, 2008</w:t>
            </w:r>
          </w:p>
        </w:tc>
      </w:tr>
      <w:tr>
        <w:trPr>
          <w:trHeight w:val="397"/>
        </w:trPr>
        <w:tc>
          <w:tcPr>
            <w:tcW w:w="1480" w:type="dxa"/>
            <w:vAlign w:val="bottom"/>
          </w:tcPr>
          <w:p>
            <w:pPr>
              <w:spacing w:after="0"/>
              <w:rPr>
                <w:sz w:val="20"/>
                <w:szCs w:val="20"/>
                <w:color w:val="auto"/>
              </w:rPr>
            </w:pPr>
            <w:r>
              <w:rPr>
                <w:rFonts w:ascii="Arial" w:cs="Arial" w:eastAsia="Arial" w:hAnsi="Arial"/>
                <w:sz w:val="18"/>
                <w:szCs w:val="18"/>
                <w:color w:val="auto"/>
              </w:rPr>
              <w:t>Dear Ms. Garnett:</w:t>
            </w:r>
          </w:p>
        </w:tc>
        <w:tc>
          <w:tcPr>
            <w:tcW w:w="4340" w:type="dxa"/>
            <w:vAlign w:val="bottom"/>
          </w:tcPr>
          <w:p>
            <w:pPr>
              <w:spacing w:after="0"/>
              <w:rPr>
                <w:sz w:val="24"/>
                <w:szCs w:val="24"/>
                <w:color w:val="auto"/>
              </w:rPr>
            </w:pPr>
          </w:p>
        </w:tc>
      </w:tr>
    </w:tbl>
    <w:p>
      <w:pPr>
        <w:spacing w:after="0" w:line="156" w:lineRule="exact"/>
        <w:rPr>
          <w:sz w:val="20"/>
          <w:szCs w:val="20"/>
          <w:color w:val="auto"/>
        </w:rPr>
      </w:pPr>
    </w:p>
    <w:p>
      <w:pPr>
        <w:ind w:firstLine="456"/>
        <w:spacing w:after="0" w:line="324" w:lineRule="auto"/>
        <w:rPr>
          <w:sz w:val="20"/>
          <w:szCs w:val="20"/>
          <w:color w:val="auto"/>
        </w:rPr>
      </w:pPr>
      <w:r>
        <w:rPr>
          <w:rFonts w:ascii="Arial" w:cs="Arial" w:eastAsia="Arial" w:hAnsi="Arial"/>
          <w:sz w:val="15"/>
          <w:szCs w:val="15"/>
          <w:color w:val="auto"/>
        </w:rPr>
        <w:t xml:space="preserve">Wynn Las Vegas, LLC, a Nevada limited liability company, Wynn Las Vegas Capital Corp., a Nevada corporation, and each of the guarantors set forth on the signature page hereto (collectively, the “Registrants”) are registering an exchange offer of 6 </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w:t>
      </w:r>
      <w:r>
        <w:rPr>
          <w:rFonts w:ascii="Arial" w:cs="Arial" w:eastAsia="Arial" w:hAnsi="Arial"/>
          <w:sz w:val="19"/>
          <w:szCs w:val="19"/>
          <w:color w:val="auto"/>
          <w:vertAlign w:val="subscript"/>
        </w:rPr>
        <w:t>8</w:t>
      </w:r>
      <w:r>
        <w:rPr>
          <w:rFonts w:ascii="Arial" w:cs="Arial" w:eastAsia="Arial" w:hAnsi="Arial"/>
          <w:sz w:val="15"/>
          <w:szCs w:val="15"/>
          <w:color w:val="auto"/>
        </w:rPr>
        <w:t>% First Mortgage Notes due 2014 issued on November 6, 2007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“Old Notes”) for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20"/>
          <w:szCs w:val="20"/>
          <w:color w:val="auto"/>
          <w:vertAlign w:val="subscript"/>
        </w:rPr>
        <w:t>8</w:t>
      </w:r>
      <w:r>
        <w:rPr>
          <w:rFonts w:ascii="Arial" w:cs="Arial" w:eastAsia="Arial" w:hAnsi="Arial"/>
          <w:sz w:val="16"/>
          <w:szCs w:val="16"/>
          <w:color w:val="auto"/>
        </w:rPr>
        <w:t>% First Mortgage Notes due 2014 that have been registered under the Securities Act of 1933, as amended (the “Securities Act” and,</w:t>
      </w:r>
    </w:p>
    <w:p>
      <w:pPr>
        <w:spacing w:after="0" w:line="52" w:lineRule="exact"/>
        <w:rPr>
          <w:sz w:val="20"/>
          <w:szCs w:val="20"/>
          <w:color w:val="auto"/>
        </w:rPr>
      </w:pPr>
    </w:p>
    <w:p>
      <w:pPr>
        <w:ind w:right="340"/>
        <w:spacing w:after="0" w:line="280" w:lineRule="auto"/>
        <w:rPr>
          <w:sz w:val="20"/>
          <w:szCs w:val="20"/>
          <w:color w:val="auto"/>
        </w:rPr>
      </w:pPr>
      <w:r>
        <w:rPr>
          <w:rFonts w:ascii="Arial" w:cs="Arial" w:eastAsia="Arial" w:hAnsi="Arial"/>
          <w:sz w:val="16"/>
          <w:szCs w:val="16"/>
          <w:color w:val="auto"/>
        </w:rPr>
        <w:t xml:space="preserve">such notes, the “New Notes”), pursuant to a Registration Statement on Form S-4 (File No. 333-149556) (the “Exchange Offer”) in reliance on the staff of the Securities and Exchange Commission’s position set forth in </w:t>
      </w:r>
      <w:r>
        <w:rPr>
          <w:rFonts w:ascii="Arial" w:cs="Arial" w:eastAsia="Arial" w:hAnsi="Arial"/>
          <w:sz w:val="16"/>
          <w:szCs w:val="16"/>
          <w:u w:val="single" w:color="auto"/>
          <w:color w:val="auto"/>
        </w:rPr>
        <w:t>Exxon Capital Holdings Corporation</w:t>
      </w:r>
      <w:r>
        <w:rPr>
          <w:rFonts w:ascii="Arial" w:cs="Arial" w:eastAsia="Arial" w:hAnsi="Arial"/>
          <w:sz w:val="16"/>
          <w:szCs w:val="16"/>
          <w:color w:val="auto"/>
        </w:rPr>
        <w:t xml:space="preserve"> (publicly available May 13, 1988), </w:t>
      </w:r>
      <w:r>
        <w:rPr>
          <w:rFonts w:ascii="Arial" w:cs="Arial" w:eastAsia="Arial" w:hAnsi="Arial"/>
          <w:sz w:val="16"/>
          <w:szCs w:val="16"/>
          <w:u w:val="single" w:color="auto"/>
          <w:color w:val="auto"/>
        </w:rPr>
        <w:t>Morgan Stanley &amp; Co.</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Incorporated</w:t>
      </w:r>
      <w:r>
        <w:rPr>
          <w:rFonts w:ascii="Arial" w:cs="Arial" w:eastAsia="Arial" w:hAnsi="Arial"/>
          <w:sz w:val="16"/>
          <w:szCs w:val="16"/>
          <w:color w:val="auto"/>
        </w:rPr>
        <w:t xml:space="preserve"> (publicly available June 5, 1991) and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xml:space="preserve"> (publicly available July 2, 1993). The Registrants represent as follows:</w:t>
      </w:r>
    </w:p>
    <w:p>
      <w:pPr>
        <w:spacing w:after="0" w:line="152" w:lineRule="exact"/>
        <w:rPr>
          <w:sz w:val="20"/>
          <w:szCs w:val="20"/>
          <w:color w:val="auto"/>
        </w:rPr>
      </w:pPr>
    </w:p>
    <w:p>
      <w:pPr>
        <w:ind w:firstLine="464"/>
        <w:spacing w:after="0" w:line="306" w:lineRule="auto"/>
        <w:tabs>
          <w:tab w:leader="none" w:pos="63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Registrants have not entered into any arrangement or understanding with any person to distribute the New Notes to be received in the Exchange Offer and, to the best of the Registrants’ information and belief, each person participating in the Exchange Offer is acquiring the New Notes in its ordinary course of business and has no arrangement or understanding with any person to participate in the distribution of the New Notes to be received in the Exchange Offer.</w:t>
      </w:r>
    </w:p>
    <w:p>
      <w:pPr>
        <w:spacing w:after="0" w:line="106" w:lineRule="exact"/>
        <w:rPr>
          <w:rFonts w:ascii="Arial" w:cs="Arial" w:eastAsia="Arial" w:hAnsi="Arial"/>
          <w:sz w:val="16"/>
          <w:szCs w:val="16"/>
          <w:color w:val="auto"/>
        </w:rPr>
      </w:pPr>
    </w:p>
    <w:p>
      <w:pPr>
        <w:ind w:right="220" w:firstLine="464"/>
        <w:spacing w:after="0" w:line="268" w:lineRule="auto"/>
        <w:tabs>
          <w:tab w:leader="none" w:pos="63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this regard, the Registrants will make each person participating in the Exchange Offer aware (through the Exchange Offer prospectus or otherwise) that if such person is</w:t>
      </w:r>
    </w:p>
    <w:p>
      <w:pPr>
        <w:sectPr>
          <w:pgSz w:w="11900" w:h="16838" w:orient="portrait"/>
          <w:cols w:equalWidth="0" w:num="1">
            <w:col w:w="11380"/>
          </w:cols>
          <w:pgMar w:left="240" w:top="125" w:right="27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participating in the Exchange Offer for the purpose of distributing the New Notes to be acquired in the Exchange Offer, such person (i) cannot rely on the staff position enunciated in </w:t>
      </w:r>
      <w:r>
        <w:rPr>
          <w:rFonts w:ascii="Arial" w:cs="Arial" w:eastAsia="Arial" w:hAnsi="Arial"/>
          <w:sz w:val="18"/>
          <w:szCs w:val="18"/>
          <w:u w:val="single" w:color="auto"/>
          <w:color w:val="auto"/>
        </w:rPr>
        <w:t>Exxon Capital Holdings Corporation</w:t>
      </w:r>
      <w:r>
        <w:rPr>
          <w:rFonts w:ascii="Arial" w:cs="Arial" w:eastAsia="Arial" w:hAnsi="Arial"/>
          <w:sz w:val="18"/>
          <w:szCs w:val="18"/>
          <w:color w:val="auto"/>
        </w:rPr>
        <w:t xml:space="preserve"> (publicly available May 13, 1988) or similar letters and (ii) must comply with registration and prospectus delivery requirements of the Securities Act in connection with a secondary resale transaction.</w:t>
      </w:r>
    </w:p>
    <w:p>
      <w:pPr>
        <w:spacing w:after="0" w:line="140" w:lineRule="exact"/>
        <w:rPr>
          <w:sz w:val="20"/>
          <w:szCs w:val="20"/>
          <w:color w:val="auto"/>
        </w:rPr>
      </w:pPr>
    </w:p>
    <w:p>
      <w:pPr>
        <w:jc w:val="both"/>
        <w:ind w:right="60" w:firstLine="464"/>
        <w:spacing w:after="0" w:line="259" w:lineRule="auto"/>
        <w:tabs>
          <w:tab w:leader="none" w:pos="63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Registrants acknowledge that such a secondary resale transaction by such person participating in the Exchange Offer for the purpose of distributing the New Notes should be covered by an effective registration statement containing the selling securityholder information required by Item 507 of Regulation S-K under the Securities Act.</w:t>
      </w:r>
    </w:p>
    <w:p>
      <w:pPr>
        <w:spacing w:after="0" w:line="140" w:lineRule="exact"/>
        <w:rPr>
          <w:rFonts w:ascii="Arial" w:cs="Arial" w:eastAsia="Arial" w:hAnsi="Arial"/>
          <w:sz w:val="18"/>
          <w:szCs w:val="18"/>
          <w:color w:val="auto"/>
        </w:rPr>
      </w:pPr>
    </w:p>
    <w:p>
      <w:pPr>
        <w:ind w:right="20" w:firstLine="464"/>
        <w:spacing w:after="0" w:line="298" w:lineRule="auto"/>
        <w:tabs>
          <w:tab w:leader="none" w:pos="63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The Registrants will make each person participating in the Exchange Offer aware (through the Exchange Offer prospectus) that any broker-dealer who holds Old Notes acquired for its own account as a result of market-making activities or other trading activities, and who receives New Notes in exchange for such Old Notes pursuant to the Exchange Offer, may be a statutory underwriter and must deliver a prospectus meeting the requirements of the Securities Act (as described in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xml:space="preserve"> (publicly available July 2, 1993)) in connection with any resale of such New Notes.</w:t>
      </w:r>
    </w:p>
    <w:p>
      <w:pPr>
        <w:spacing w:after="0" w:line="112" w:lineRule="exact"/>
        <w:rPr>
          <w:rFonts w:ascii="Arial" w:cs="Arial" w:eastAsia="Arial" w:hAnsi="Arial"/>
          <w:sz w:val="16"/>
          <w:szCs w:val="16"/>
          <w:color w:val="auto"/>
        </w:rPr>
      </w:pPr>
    </w:p>
    <w:p>
      <w:pPr>
        <w:ind w:right="600" w:firstLine="464"/>
        <w:spacing w:after="0" w:line="268" w:lineRule="auto"/>
        <w:tabs>
          <w:tab w:leader="none" w:pos="63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Registrants will include in the transmittal letter or similar documentation to be executed by an exchange offeree in order to participate in the Exchange Offer the following additional provisions:</w:t>
      </w:r>
    </w:p>
    <w:p>
      <w:pPr>
        <w:spacing w:after="0" w:line="51" w:lineRule="exact"/>
        <w:rPr>
          <w:sz w:val="20"/>
          <w:szCs w:val="20"/>
          <w:color w:val="auto"/>
        </w:rPr>
      </w:pPr>
    </w:p>
    <w:p>
      <w:pPr>
        <w:ind w:left="900" w:right="260" w:hanging="446"/>
        <w:spacing w:after="0" w:line="268"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the exchange offeree is not a broker-dealer, an acknowledgement that it is not engaged in, and does not intend to engage in, a distribution of the New Notes.</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the exchange offeree is a broker-dealer holding Old Notes acquired for its own account as a result of market-making activities or other trading activities, an acknowledgment that it will deliver a prospectus meeting the requirements of the Securities Act in connection with any resale of New Notes received in respect of such Old Notes pursuant to the Exchange Offer, and a statement to the effect that by so acknowledging and by delivering a prospectus, such broker-dealer will not be deemed to admit that it is an “underwriter” within the meaning of the Securities Act.</w:t>
      </w:r>
    </w:p>
    <w:p>
      <w:pPr>
        <w:spacing w:after="0" w:line="113" w:lineRule="exact"/>
        <w:rPr>
          <w:sz w:val="20"/>
          <w:szCs w:val="20"/>
          <w:color w:val="auto"/>
        </w:rPr>
      </w:pPr>
    </w:p>
    <w:p>
      <w:pPr>
        <w:ind w:right="40" w:firstLine="464"/>
        <w:spacing w:after="0" w:line="268" w:lineRule="auto"/>
        <w:tabs>
          <w:tab w:leader="none" w:pos="6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None of the Registrants nor any affiliate of the Registrants has entered into any arrangement or understanding with any broker-dealer participating in the Exchange Offer to distribute the New Notes.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400"/>
          </w:cols>
          <w:pgMar w:left="240" w:top="280" w:right="2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96" w:lineRule="exact"/>
        <w:rPr>
          <w:sz w:val="20"/>
          <w:szCs w:val="20"/>
          <w:color w:val="auto"/>
        </w:rPr>
      </w:pPr>
    </w:p>
    <w:p>
      <w:pPr>
        <w:jc w:val="right"/>
        <w:ind w:right="1420"/>
        <w:spacing w:after="0"/>
        <w:tabs>
          <w:tab w:leader="none" w:pos="4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424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r>
      <w:tr>
        <w:trPr>
          <w:trHeight w:val="44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Kim Sinatra</w:t>
            </w:r>
          </w:p>
        </w:tc>
      </w:tr>
      <w:tr>
        <w:trPr>
          <w:trHeight w:val="202"/>
        </w:trPr>
        <w:tc>
          <w:tcPr>
            <w:tcW w:w="32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8"/>
              </w:rPr>
              <w:t>Name:</w:t>
            </w:r>
          </w:p>
        </w:tc>
        <w:tc>
          <w:tcPr>
            <w:tcW w:w="3640" w:type="dxa"/>
            <w:vAlign w:val="bottom"/>
          </w:tcPr>
          <w:p>
            <w:pPr>
              <w:ind w:left="80"/>
              <w:spacing w:after="0" w:line="202" w:lineRule="exact"/>
              <w:rPr>
                <w:sz w:val="20"/>
                <w:szCs w:val="20"/>
                <w:color w:val="auto"/>
              </w:rPr>
            </w:pPr>
            <w:r>
              <w:rPr>
                <w:rFonts w:ascii="Arial" w:cs="Arial" w:eastAsia="Arial" w:hAnsi="Arial"/>
                <w:sz w:val="18"/>
                <w:szCs w:val="18"/>
                <w:color w:val="auto"/>
              </w:rPr>
              <w:t>Kim Sinatra</w:t>
            </w:r>
          </w:p>
        </w:tc>
      </w:tr>
      <w:tr>
        <w:trPr>
          <w:trHeight w:val="216"/>
        </w:trPr>
        <w:tc>
          <w:tcPr>
            <w:tcW w:w="3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r>
        <w:trPr>
          <w:trHeight w:val="446"/>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WYNN LAS VEGAS CAPITAL CORP.</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Kim Sinatra</w:t>
            </w:r>
          </w:p>
        </w:tc>
      </w:tr>
      <w:tr>
        <w:trPr>
          <w:trHeight w:val="202"/>
        </w:trPr>
        <w:tc>
          <w:tcPr>
            <w:tcW w:w="320" w:type="dxa"/>
            <w:vAlign w:val="bottom"/>
          </w:tcPr>
          <w:p>
            <w:pPr>
              <w:spacing w:after="0"/>
              <w:rPr>
                <w:sz w:val="17"/>
                <w:szCs w:val="17"/>
                <w:color w:val="auto"/>
              </w:rPr>
            </w:pP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w w:val="98"/>
              </w:rPr>
              <w:t>Name:</w:t>
            </w:r>
          </w:p>
        </w:tc>
        <w:tc>
          <w:tcPr>
            <w:tcW w:w="3640" w:type="dxa"/>
            <w:vAlign w:val="bottom"/>
          </w:tcPr>
          <w:p>
            <w:pPr>
              <w:ind w:left="80"/>
              <w:spacing w:after="0" w:line="202" w:lineRule="exact"/>
              <w:rPr>
                <w:sz w:val="20"/>
                <w:szCs w:val="20"/>
                <w:color w:val="auto"/>
              </w:rPr>
            </w:pPr>
            <w:r>
              <w:rPr>
                <w:rFonts w:ascii="Arial" w:cs="Arial" w:eastAsia="Arial" w:hAnsi="Arial"/>
                <w:sz w:val="18"/>
                <w:szCs w:val="18"/>
                <w:color w:val="auto"/>
              </w:rPr>
              <w:t>Kim Sinatra</w:t>
            </w:r>
          </w:p>
        </w:tc>
      </w:tr>
      <w:tr>
        <w:trPr>
          <w:trHeight w:val="222"/>
        </w:trPr>
        <w:tc>
          <w:tcPr>
            <w:tcW w:w="3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Assistant Secretary</w:t>
            </w:r>
          </w:p>
        </w:tc>
      </w:tr>
    </w:tbl>
    <w:p>
      <w:pPr>
        <w:sectPr>
          <w:pgSz w:w="11900" w:h="16838" w:orient="portrait"/>
          <w:cols w:equalWidth="0" w:num="1">
            <w:col w:w="11420"/>
          </w:cols>
          <w:pgMar w:left="240" w:top="280" w:right="2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LAS VEGAS JET, LLC</w:t>
      </w:r>
    </w:p>
    <w:p>
      <w:pPr>
        <w:spacing w:after="0" w:line="96"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LAS VEGAS, LLC,</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jc w:val="right"/>
        <w:ind w:right="1420"/>
        <w:spacing w:after="0"/>
        <w:tabs>
          <w:tab w:leader="none" w:pos="4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15" w:lineRule="exact"/>
        <w:rPr>
          <w:sz w:val="20"/>
          <w:szCs w:val="20"/>
          <w:color w:val="auto"/>
        </w:rPr>
      </w:pPr>
    </w:p>
    <w:tbl>
      <w:tblPr>
        <w:tblLayout w:type="fixed"/>
        <w:tblInd w:w="7180" w:type="dxa"/>
        <w:tblCellMar>
          <w:top w:w="0" w:type="dxa"/>
          <w:left w:w="0" w:type="dxa"/>
          <w:bottom w:w="0" w:type="dxa"/>
          <w:right w:w="0" w:type="dxa"/>
        </w:tblCellMar>
      </w:tblPr>
      <w:tr>
        <w:trPr>
          <w:trHeight w:val="203"/>
        </w:trPr>
        <w:tc>
          <w:tcPr>
            <w:tcW w:w="60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80"/>
              <w:spacing w:after="0" w:line="203" w:lineRule="exact"/>
              <w:rPr>
                <w:sz w:val="20"/>
                <w:szCs w:val="20"/>
                <w:color w:val="auto"/>
              </w:rPr>
            </w:pPr>
            <w:r>
              <w:rPr>
                <w:rFonts w:ascii="Arial" w:cs="Arial" w:eastAsia="Arial" w:hAnsi="Arial"/>
                <w:sz w:val="18"/>
                <w:szCs w:val="18"/>
                <w:color w:val="auto"/>
              </w:rPr>
              <w:t>Kim Sinatra</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6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KEVYN, LLC</w:t>
      </w:r>
    </w:p>
    <w:p>
      <w:pPr>
        <w:spacing w:after="0" w:line="231"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LAS VEGAS, LLC,</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jc w:val="right"/>
        <w:ind w:right="1420"/>
        <w:spacing w:after="0"/>
        <w:tabs>
          <w:tab w:leader="none" w:pos="4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15" w:lineRule="exact"/>
        <w:rPr>
          <w:sz w:val="20"/>
          <w:szCs w:val="20"/>
          <w:color w:val="auto"/>
        </w:rPr>
      </w:pPr>
    </w:p>
    <w:tbl>
      <w:tblPr>
        <w:tblLayout w:type="fixed"/>
        <w:tblInd w:w="7180" w:type="dxa"/>
        <w:tblCellMar>
          <w:top w:w="0" w:type="dxa"/>
          <w:left w:w="0" w:type="dxa"/>
          <w:bottom w:w="0" w:type="dxa"/>
          <w:right w:w="0" w:type="dxa"/>
        </w:tblCellMar>
      </w:tblPr>
      <w:tr>
        <w:trPr>
          <w:trHeight w:val="203"/>
        </w:trPr>
        <w:tc>
          <w:tcPr>
            <w:tcW w:w="60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80"/>
              <w:spacing w:after="0" w:line="203" w:lineRule="exact"/>
              <w:rPr>
                <w:sz w:val="20"/>
                <w:szCs w:val="20"/>
                <w:color w:val="auto"/>
              </w:rPr>
            </w:pPr>
            <w:r>
              <w:rPr>
                <w:rFonts w:ascii="Arial" w:cs="Arial" w:eastAsia="Arial" w:hAnsi="Arial"/>
                <w:sz w:val="18"/>
                <w:szCs w:val="18"/>
                <w:color w:val="auto"/>
              </w:rPr>
              <w:t>Kim Sinatra</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6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420"/>
          </w:cols>
          <w:pgMar w:left="240" w:top="280" w:right="2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WORLD TRAVEL, LLC</w:t>
      </w:r>
    </w:p>
    <w:p>
      <w:pPr>
        <w:spacing w:after="0" w:line="96"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LAS VEGAS, LLC,</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jc w:val="right"/>
        <w:ind w:right="1420"/>
        <w:spacing w:after="0"/>
        <w:tabs>
          <w:tab w:leader="none" w:pos="4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15" w:lineRule="exact"/>
        <w:rPr>
          <w:sz w:val="20"/>
          <w:szCs w:val="20"/>
          <w:color w:val="auto"/>
        </w:rPr>
      </w:pPr>
    </w:p>
    <w:tbl>
      <w:tblPr>
        <w:tblLayout w:type="fixed"/>
        <w:tblInd w:w="7180" w:type="dxa"/>
        <w:tblCellMar>
          <w:top w:w="0" w:type="dxa"/>
          <w:left w:w="0" w:type="dxa"/>
          <w:bottom w:w="0" w:type="dxa"/>
          <w:right w:w="0" w:type="dxa"/>
        </w:tblCellMar>
      </w:tblPr>
      <w:tr>
        <w:trPr>
          <w:trHeight w:val="203"/>
        </w:trPr>
        <w:tc>
          <w:tcPr>
            <w:tcW w:w="60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80"/>
              <w:spacing w:after="0" w:line="203" w:lineRule="exact"/>
              <w:rPr>
                <w:sz w:val="20"/>
                <w:szCs w:val="20"/>
                <w:color w:val="auto"/>
              </w:rPr>
            </w:pPr>
            <w:r>
              <w:rPr>
                <w:rFonts w:ascii="Arial" w:cs="Arial" w:eastAsia="Arial" w:hAnsi="Arial"/>
                <w:sz w:val="18"/>
                <w:szCs w:val="18"/>
                <w:color w:val="auto"/>
              </w:rPr>
              <w:t>Kim Sinatra</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6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SUNRISE, LLC</w:t>
      </w:r>
    </w:p>
    <w:p>
      <w:pPr>
        <w:spacing w:after="0" w:line="231"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LAS VEGAS, LLC,</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jc w:val="right"/>
        <w:ind w:right="1420"/>
        <w:spacing w:after="0"/>
        <w:tabs>
          <w:tab w:leader="none" w:pos="4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15" w:lineRule="exact"/>
        <w:rPr>
          <w:sz w:val="20"/>
          <w:szCs w:val="20"/>
          <w:color w:val="auto"/>
        </w:rPr>
      </w:pPr>
    </w:p>
    <w:tbl>
      <w:tblPr>
        <w:tblLayout w:type="fixed"/>
        <w:tblInd w:w="7180" w:type="dxa"/>
        <w:tblCellMar>
          <w:top w:w="0" w:type="dxa"/>
          <w:left w:w="0" w:type="dxa"/>
          <w:bottom w:w="0" w:type="dxa"/>
          <w:right w:w="0" w:type="dxa"/>
        </w:tblCellMar>
      </w:tblPr>
      <w:tr>
        <w:trPr>
          <w:trHeight w:val="203"/>
        </w:trPr>
        <w:tc>
          <w:tcPr>
            <w:tcW w:w="60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80"/>
              <w:spacing w:after="0" w:line="203" w:lineRule="exact"/>
              <w:rPr>
                <w:sz w:val="20"/>
                <w:szCs w:val="20"/>
                <w:color w:val="auto"/>
              </w:rPr>
            </w:pPr>
            <w:r>
              <w:rPr>
                <w:rFonts w:ascii="Arial" w:cs="Arial" w:eastAsia="Arial" w:hAnsi="Arial"/>
                <w:sz w:val="18"/>
                <w:szCs w:val="18"/>
                <w:color w:val="auto"/>
              </w:rPr>
              <w:t>Kim Sinatra</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6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420"/>
          </w:cols>
          <w:pgMar w:left="240" w:top="280" w:right="239" w:bottom="1440" w:gutter="0" w:footer="0" w:header="0"/>
        </w:sectPr>
      </w:pPr>
    </w:p>
    <w:bookmarkStart w:id="255" w:name="page256"/>
    <w:bookmarkEnd w:id="255"/>
    <w:p>
      <w:pPr>
        <w:ind w:left="68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SHOW PERFORMERS, LLC</w:t>
      </w:r>
    </w:p>
    <w:p>
      <w:pPr>
        <w:spacing w:after="0" w:line="96" w:lineRule="exact"/>
        <w:rPr>
          <w:sz w:val="20"/>
          <w:szCs w:val="20"/>
          <w:color w:val="auto"/>
        </w:rPr>
      </w:pPr>
    </w:p>
    <w:p>
      <w:pPr>
        <w:ind w:left="6852"/>
        <w:spacing w:after="0"/>
        <w:tabs>
          <w:tab w:leader="none" w:pos="721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LAS VEGAS, LLC,</w:t>
      </w:r>
    </w:p>
    <w:p>
      <w:pPr>
        <w:spacing w:after="0" w:line="15" w:lineRule="exact"/>
        <w:rPr>
          <w:sz w:val="20"/>
          <w:szCs w:val="20"/>
          <w:color w:val="auto"/>
        </w:rPr>
      </w:pPr>
    </w:p>
    <w:p>
      <w:pPr>
        <w:ind w:left="7252"/>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ind w:left="6852"/>
        <w:spacing w:after="0"/>
        <w:tabs>
          <w:tab w:leader="none" w:pos="721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7252"/>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ind w:left="6852"/>
        <w:spacing w:after="0"/>
        <w:tabs>
          <w:tab w:leader="none" w:pos="721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7252"/>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  /s/ Kim Sinatra</w:t>
      </w:r>
    </w:p>
    <w:p>
      <w:pPr>
        <w:spacing w:after="0" w:line="15" w:lineRule="exact"/>
        <w:rPr>
          <w:sz w:val="20"/>
          <w:szCs w:val="20"/>
          <w:color w:val="auto"/>
        </w:rPr>
      </w:pPr>
    </w:p>
    <w:tbl>
      <w:tblPr>
        <w:tblLayout w:type="fixed"/>
        <w:tblInd w:w="7172" w:type="dxa"/>
        <w:tblCellMar>
          <w:top w:w="0" w:type="dxa"/>
          <w:left w:w="0" w:type="dxa"/>
          <w:bottom w:w="0" w:type="dxa"/>
          <w:right w:w="0" w:type="dxa"/>
        </w:tblCellMar>
      </w:tblPr>
      <w:tr>
        <w:trPr>
          <w:trHeight w:val="203"/>
        </w:trPr>
        <w:tc>
          <w:tcPr>
            <w:tcW w:w="60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80"/>
              <w:spacing w:after="0" w:line="203" w:lineRule="exact"/>
              <w:rPr>
                <w:sz w:val="20"/>
                <w:szCs w:val="20"/>
                <w:color w:val="auto"/>
              </w:rPr>
            </w:pPr>
            <w:r>
              <w:rPr>
                <w:rFonts w:ascii="Arial" w:cs="Arial" w:eastAsia="Arial" w:hAnsi="Arial"/>
                <w:sz w:val="18"/>
                <w:szCs w:val="18"/>
                <w:color w:val="auto"/>
              </w:rPr>
              <w:t>Kim Sinatra</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6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217"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WYNN GOLF, LLC</w:t>
      </w:r>
    </w:p>
    <w:p>
      <w:pPr>
        <w:spacing w:after="0" w:line="231" w:lineRule="exact"/>
        <w:rPr>
          <w:sz w:val="20"/>
          <w:szCs w:val="20"/>
          <w:color w:val="auto"/>
        </w:rPr>
      </w:pPr>
    </w:p>
    <w:p>
      <w:pPr>
        <w:ind w:left="6852"/>
        <w:spacing w:after="0"/>
        <w:tabs>
          <w:tab w:leader="none" w:pos="721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LAS VEGAS, LLC,</w:t>
      </w:r>
    </w:p>
    <w:p>
      <w:pPr>
        <w:spacing w:after="0" w:line="15" w:lineRule="exact"/>
        <w:rPr>
          <w:sz w:val="20"/>
          <w:szCs w:val="20"/>
          <w:color w:val="auto"/>
        </w:rPr>
      </w:pPr>
    </w:p>
    <w:p>
      <w:pPr>
        <w:ind w:left="7252"/>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jc w:val="right"/>
        <w:ind w:right="1420"/>
        <w:spacing w:after="0"/>
        <w:tabs>
          <w:tab w:leader="none" w:pos="4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7252"/>
        <w:spacing w:after="0"/>
        <w:rPr>
          <w:sz w:val="20"/>
          <w:szCs w:val="20"/>
          <w:color w:val="auto"/>
        </w:rPr>
      </w:pPr>
      <w:r>
        <w:rPr>
          <w:rFonts w:ascii="Arial" w:cs="Arial" w:eastAsia="Arial" w:hAnsi="Arial"/>
          <w:sz w:val="18"/>
          <w:szCs w:val="18"/>
          <w:color w:val="auto"/>
        </w:rPr>
        <w:t>its sole member</w:t>
      </w:r>
    </w:p>
    <w:p>
      <w:pPr>
        <w:spacing w:after="0" w:line="84" w:lineRule="exact"/>
        <w:rPr>
          <w:sz w:val="20"/>
          <w:szCs w:val="20"/>
          <w:color w:val="auto"/>
        </w:rPr>
      </w:pPr>
    </w:p>
    <w:p>
      <w:pPr>
        <w:ind w:left="6852"/>
        <w:spacing w:after="0"/>
        <w:tabs>
          <w:tab w:leader="none" w:pos="721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7252"/>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  /s/ Kim Sinatra</w:t>
      </w:r>
    </w:p>
    <w:p>
      <w:pPr>
        <w:spacing w:after="0" w:line="15" w:lineRule="exact"/>
        <w:rPr>
          <w:sz w:val="20"/>
          <w:szCs w:val="20"/>
          <w:color w:val="auto"/>
        </w:rPr>
      </w:pPr>
    </w:p>
    <w:tbl>
      <w:tblPr>
        <w:tblLayout w:type="fixed"/>
        <w:tblInd w:w="7172" w:type="dxa"/>
        <w:tblCellMar>
          <w:top w:w="0" w:type="dxa"/>
          <w:left w:w="0" w:type="dxa"/>
          <w:bottom w:w="0" w:type="dxa"/>
          <w:right w:w="0" w:type="dxa"/>
        </w:tblCellMar>
      </w:tblPr>
      <w:tr>
        <w:trPr>
          <w:trHeight w:val="203"/>
        </w:trPr>
        <w:tc>
          <w:tcPr>
            <w:tcW w:w="60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80"/>
              <w:spacing w:after="0" w:line="203" w:lineRule="exact"/>
              <w:rPr>
                <w:sz w:val="20"/>
                <w:szCs w:val="20"/>
                <w:color w:val="auto"/>
              </w:rPr>
            </w:pPr>
            <w:r>
              <w:rPr>
                <w:rFonts w:ascii="Arial" w:cs="Arial" w:eastAsia="Arial" w:hAnsi="Arial"/>
                <w:sz w:val="18"/>
                <w:szCs w:val="18"/>
                <w:color w:val="auto"/>
              </w:rPr>
              <w:t>Kim Sinatra</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6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210" w:lineRule="exact"/>
        <w:rPr>
          <w:sz w:val="20"/>
          <w:szCs w:val="20"/>
          <w:color w:val="auto"/>
        </w:rPr>
      </w:pPr>
    </w:p>
    <w:p>
      <w:pPr>
        <w:ind w:left="452" w:hanging="452"/>
        <w:spacing w:after="0"/>
        <w:tabs>
          <w:tab w:leader="none" w:pos="4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Byron N. Cooper</w:t>
      </w:r>
    </w:p>
    <w:p>
      <w:pPr>
        <w:spacing w:after="0" w:line="15" w:lineRule="exact"/>
        <w:rPr>
          <w:sz w:val="20"/>
          <w:szCs w:val="20"/>
          <w:color w:val="auto"/>
        </w:rPr>
      </w:pPr>
    </w:p>
    <w:p>
      <w:pPr>
        <w:ind w:left="572"/>
        <w:spacing w:after="0"/>
        <w:rPr>
          <w:sz w:val="20"/>
          <w:szCs w:val="20"/>
          <w:color w:val="auto"/>
        </w:rPr>
      </w:pPr>
      <w:r>
        <w:rPr>
          <w:rFonts w:ascii="Arial" w:cs="Arial" w:eastAsia="Arial" w:hAnsi="Arial"/>
          <w:sz w:val="18"/>
          <w:szCs w:val="18"/>
          <w:color w:val="auto"/>
        </w:rPr>
        <w:t>Securities and Exchange Commission</w:t>
      </w:r>
    </w:p>
    <w:p>
      <w:pPr>
        <w:spacing w:after="0" w:line="8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Jerry Coben</w:t>
      </w:r>
    </w:p>
    <w:p>
      <w:pPr>
        <w:spacing w:after="0" w:line="1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Casey Fleck</w:t>
      </w:r>
    </w:p>
    <w:p>
      <w:pPr>
        <w:spacing w:after="0" w:line="9" w:lineRule="exact"/>
        <w:rPr>
          <w:sz w:val="20"/>
          <w:szCs w:val="20"/>
          <w:color w:val="auto"/>
        </w:rPr>
      </w:pPr>
    </w:p>
    <w:p>
      <w:pPr>
        <w:ind w:left="532"/>
        <w:spacing w:after="0"/>
        <w:rPr>
          <w:sz w:val="20"/>
          <w:szCs w:val="20"/>
          <w:color w:val="auto"/>
        </w:rPr>
      </w:pPr>
      <w:r>
        <w:rPr>
          <w:rFonts w:ascii="Arial" w:cs="Arial" w:eastAsia="Arial" w:hAnsi="Arial"/>
          <w:sz w:val="18"/>
          <w:szCs w:val="18"/>
          <w:color w:val="auto"/>
        </w:rPr>
        <w:t>Skadden,Arps, Slate, Meagher &amp; Flom LLP</w:t>
      </w:r>
    </w:p>
    <w:sectPr>
      <w:pgSz w:w="11900" w:h="16838" w:orient="portrait"/>
      <w:cols w:equalWidth="0" w:num="1">
        <w:col w:w="11412"/>
      </w:cols>
      <w:pgMar w:left="248"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1)"/>
      <w:numFmt w:val="decimal"/>
      <w:start w:val="213"/>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lvl w:ilvl="1">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
      <w:numFmt w:val="bullet"/>
      <w:start w:val="1"/>
    </w:lvl>
    <w:lvl w:ilvl="1">
      <w:lvlJc w:val="left"/>
      <w:lvlText w:val="•"/>
      <w:numFmt w:val="bullet"/>
      <w:start w:val="1"/>
    </w:lvl>
  </w:abstractNum>
  <w:abstractNum w:abstractNumId="14">
    <w:nsid w:val="69E373"/>
    <w:multiLevelType w:val="hybridMultilevel"/>
    <w:lvl w:ilvl="0">
      <w:lvlJc w:val="left"/>
      <w:lvlText w:val="•"/>
      <w:numFmt w:val="bullet"/>
      <w:start w:val="1"/>
    </w:lvl>
  </w:abstractNum>
  <w:abstractNum w:abstractNumId="15">
    <w:nsid w:val="2C27173B"/>
    <w:multiLevelType w:val="hybridMultilevel"/>
    <w:lvl w:ilvl="0">
      <w:lvlJc w:val="left"/>
      <w:lvlText w:val="•"/>
      <w:numFmt w:val="bullet"/>
      <w:start w:val="1"/>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lvl w:ilvl="1">
      <w:lvlJc w:val="left"/>
      <w:lvlText w:val="•"/>
      <w:numFmt w:val="bullet"/>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
      <w:numFmt w:val="bullet"/>
      <w:start w:val="1"/>
    </w:lvl>
  </w:abstractNum>
  <w:abstractNum w:abstractNumId="21">
    <w:nsid w:val="3DB012B3"/>
    <w:multiLevelType w:val="hybridMultilevel"/>
    <w:lvl w:ilvl="0">
      <w:lvlJc w:val="left"/>
      <w:lvlText w:val="(%1)"/>
      <w:numFmt w:val="decimal"/>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1)"/>
      <w:numFmt w:val="lowerRoman"/>
      <w:start w:val="2"/>
    </w:lvl>
  </w:abstractNum>
  <w:abstractNum w:abstractNumId="28">
    <w:nsid w:val="5915FF32"/>
    <w:multiLevelType w:val="hybridMultilevel"/>
    <w:lvl w:ilvl="0">
      <w:lvlJc w:val="left"/>
      <w:lvlText w:val="(%1)"/>
      <w:numFmt w:val="decimal"/>
      <w:start w:val="1"/>
    </w:lvl>
  </w:abstractNum>
  <w:abstractNum w:abstractNumId="29">
    <w:nsid w:val="56438D15"/>
    <w:multiLevelType w:val="hybridMultilevel"/>
    <w:lvl w:ilvl="0">
      <w:lvlJc w:val="left"/>
      <w:lvlText w:val="•"/>
      <w:numFmt w:val="bullet"/>
      <w:start w:val="1"/>
    </w:lvl>
  </w:abstractNum>
  <w:abstractNum w:abstractNumId="30">
    <w:nsid w:val="519E3149"/>
    <w:multiLevelType w:val="hybridMultilevel"/>
    <w:lvl w:ilvl="0">
      <w:lvlJc w:val="left"/>
      <w:lvlText w:val="•"/>
      <w:numFmt w:val="bullet"/>
      <w:start w:val="1"/>
    </w:lvl>
  </w:abstractNum>
  <w:abstractNum w:abstractNumId="31">
    <w:nsid w:val="2C6E4AFD"/>
    <w:multiLevelType w:val="hybridMultilevel"/>
    <w:lvl w:ilvl="0">
      <w:lvlJc w:val="left"/>
      <w:lvlText w:val="•"/>
      <w:numFmt w:val="bullet"/>
      <w:start w:val="1"/>
    </w:lvl>
  </w:abstractNum>
  <w:abstractNum w:abstractNumId="32">
    <w:nsid w:val="17A1B582"/>
    <w:multiLevelType w:val="hybridMultilevel"/>
    <w:lvl w:ilvl="0">
      <w:lvlJc w:val="left"/>
      <w:lvlText w:val="•"/>
      <w:numFmt w:val="bullet"/>
      <w:start w:val="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
      <w:numFmt w:val="bullet"/>
      <w:start w:val="1"/>
    </w:lvl>
  </w:abstractNum>
  <w:abstractNum w:abstractNumId="35">
    <w:nsid w:val="5D888A08"/>
    <w:multiLevelType w:val="hybridMultilevel"/>
    <w:lvl w:ilvl="0">
      <w:lvlJc w:val="left"/>
      <w:lvlText w:val="•"/>
      <w:numFmt w:val="bullet"/>
      <w:start w:val="1"/>
    </w:lvl>
  </w:abstractNum>
  <w:abstractNum w:abstractNumId="36">
    <w:nsid w:val="2A082C70"/>
    <w:multiLevelType w:val="hybridMultilevel"/>
    <w:lvl w:ilvl="0">
      <w:lvlJc w:val="left"/>
      <w:lvlText w:val="•"/>
      <w:numFmt w:val="bullet"/>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1)"/>
      <w:numFmt w:val="decimal"/>
      <w:start w:val="1"/>
    </w:lvl>
  </w:abstractNum>
  <w:abstractNum w:abstractNumId="39">
    <w:nsid w:val="75E0858A"/>
    <w:multiLevelType w:val="hybridMultilevel"/>
    <w:lvl w:ilvl="0">
      <w:lvlJc w:val="left"/>
      <w:lvlText w:val="(%1)"/>
      <w:numFmt w:val="lowerLetter"/>
      <w:start w:val="4"/>
    </w:lvl>
  </w:abstractNum>
  <w:abstractNum w:abstractNumId="40">
    <w:nsid w:val="57A61A29"/>
    <w:multiLevelType w:val="hybridMultilevel"/>
    <w:lvl w:ilvl="0">
      <w:lvlJc w:val="left"/>
      <w:lvlText w:val="(%1)"/>
      <w:numFmt w:val="decimal"/>
      <w:start w:val="1"/>
    </w:lvl>
    <w:lvl w:ilvl="1">
      <w:lvlJc w:val="left"/>
      <w:lvlText w:val="(%2)"/>
      <w:numFmt w:val="lowerRoman"/>
      <w:start w:val="1"/>
    </w:lvl>
  </w:abstractNum>
  <w:abstractNum w:abstractNumId="41">
    <w:nsid w:val="5399C654"/>
    <w:multiLevelType w:val="hybridMultilevel"/>
    <w:lvl w:ilvl="0">
      <w:lvlJc w:val="left"/>
      <w:lvlText w:val="(%1)"/>
      <w:numFmt w:val="lowerRoman"/>
      <w:start w:val="1"/>
    </w:lvl>
  </w:abstractNum>
  <w:abstractNum w:abstractNumId="42">
    <w:nsid w:val="20EE1348"/>
    <w:multiLevelType w:val="hybridMultilevel"/>
    <w:lvl w:ilvl="0">
      <w:lvlJc w:val="left"/>
      <w:lvlText w:val="(%1)"/>
      <w:numFmt w:val="lowerRoman"/>
      <w:start w:val="1"/>
    </w:lvl>
  </w:abstractNum>
  <w:abstractNum w:abstractNumId="43">
    <w:nsid w:val="4427069A"/>
    <w:multiLevelType w:val="hybridMultilevel"/>
    <w:lvl w:ilvl="0">
      <w:lvlJc w:val="left"/>
      <w:lvlText w:val="(%1)"/>
      <w:numFmt w:val="lowerRoman"/>
      <w:start w:val="1"/>
    </w:lvl>
  </w:abstractNum>
  <w:abstractNum w:abstractNumId="44">
    <w:nsid w:val="B37E80A"/>
    <w:multiLevelType w:val="hybridMultilevel"/>
    <w:lvl w:ilvl="0">
      <w:lvlJc w:val="left"/>
      <w:lvlText w:val="(%1)"/>
      <w:numFmt w:val="lowerRoman"/>
      <w:start w:val="1"/>
    </w:lvl>
  </w:abstractNum>
  <w:abstractNum w:abstractNumId="45">
    <w:nsid w:val="2157F6BC"/>
    <w:multiLevelType w:val="hybridMultilevel"/>
    <w:lvl w:ilvl="0">
      <w:lvlJc w:val="left"/>
      <w:lvlText w:val="(%1)"/>
      <w:numFmt w:val="decimal"/>
      <w:start w:val="1"/>
    </w:lvl>
    <w:lvl w:ilvl="1">
      <w:lvlJc w:val="left"/>
      <w:lvlText w:val="%2."/>
      <w:numFmt w:val="lowerLetter"/>
      <w:start w:val="1"/>
    </w:lvl>
  </w:abstractNum>
  <w:abstractNum w:abstractNumId="46">
    <w:nsid w:val="704E1DD5"/>
    <w:multiLevelType w:val="hybridMultilevel"/>
    <w:lvl w:ilvl="0">
      <w:lvlJc w:val="left"/>
      <w:lvlText w:val="(%1)"/>
      <w:numFmt w:val="decimal"/>
      <w:start w:val="1"/>
    </w:lvl>
  </w:abstractNum>
  <w:abstractNum w:abstractNumId="47">
    <w:nsid w:val="57D2F10E"/>
    <w:multiLevelType w:val="hybridMultilevel"/>
    <w:lvl w:ilvl="0">
      <w:lvlJc w:val="left"/>
      <w:lvlText w:val="(%1)"/>
      <w:numFmt w:val="decimal"/>
      <w:start w:val="1"/>
    </w:lvl>
  </w:abstractNum>
  <w:abstractNum w:abstractNumId="48">
    <w:nsid w:val="BFFAE18"/>
    <w:multiLevelType w:val="hybridMultilevel"/>
    <w:lvl w:ilvl="0">
      <w:lvlJc w:val="left"/>
      <w:lvlText w:val="(%1)"/>
      <w:numFmt w:val="decimal"/>
      <w:start w:val="1"/>
    </w:lvl>
  </w:abstractNum>
  <w:abstractNum w:abstractNumId="49">
    <w:nsid w:val="E3E47A8"/>
    <w:multiLevelType w:val="hybridMultilevel"/>
    <w:lvl w:ilvl="0">
      <w:lvlJc w:val="left"/>
      <w:lvlText w:val="(%1)"/>
      <w:numFmt w:val="decimal"/>
      <w:start w:val="1"/>
    </w:lvl>
  </w:abstractNum>
  <w:abstractNum w:abstractNumId="50">
    <w:nsid w:val="2E48F044"/>
    <w:multiLevelType w:val="hybridMultilevel"/>
    <w:lvl w:ilvl="0">
      <w:lvlJc w:val="left"/>
      <w:lvlText w:val="(%1)"/>
      <w:numFmt w:val="decimal"/>
      <w:start w:val="1"/>
    </w:lvl>
  </w:abstractNum>
  <w:abstractNum w:abstractNumId="51">
    <w:nsid w:val="49D0FEAC"/>
    <w:multiLevelType w:val="hybridMultilevel"/>
    <w:lvl w:ilvl="0">
      <w:lvlJc w:val="left"/>
      <w:lvlText w:val="(%1)"/>
      <w:numFmt w:val="decimal"/>
      <w:start w:val="1"/>
    </w:lvl>
  </w:abstractNum>
  <w:abstractNum w:abstractNumId="52">
    <w:nsid w:val="4BEE5A5B"/>
    <w:multiLevelType w:val="hybridMultilevel"/>
    <w:lvl w:ilvl="0">
      <w:lvlJc w:val="left"/>
      <w:lvlText w:val="*"/>
      <w:numFmt w:val="bullet"/>
      <w:start w:val="1"/>
    </w:lvl>
  </w:abstractNum>
  <w:abstractNum w:abstractNumId="53">
    <w:nsid w:val="5551B9F3"/>
    <w:multiLevelType w:val="hybridMultilevel"/>
    <w:lvl w:ilvl="0">
      <w:lvlJc w:val="left"/>
      <w:lvlText w:val="(%1)"/>
      <w:numFmt w:val="decimal"/>
      <w:start w:val="1"/>
    </w:lvl>
  </w:abstractNum>
  <w:abstractNum w:abstractNumId="54">
    <w:nsid w:val="24F6AB8E"/>
    <w:multiLevelType w:val="hybridMultilevel"/>
    <w:lvl w:ilvl="0">
      <w:lvlJc w:val="left"/>
      <w:lvlText w:val="(%1)"/>
      <w:numFmt w:val="decimal"/>
      <w:start w:val="4"/>
    </w:lvl>
  </w:abstractNum>
  <w:abstractNum w:abstractNumId="55">
    <w:nsid w:val="634C574C"/>
    <w:multiLevelType w:val="hybridMultilevel"/>
    <w:lvl w:ilvl="0">
      <w:lvlJc w:val="left"/>
      <w:lvlText w:val="•"/>
      <w:numFmt w:val="bullet"/>
      <w:start w:val="1"/>
    </w:lvl>
  </w:abstractNum>
  <w:abstractNum w:abstractNumId="56">
    <w:nsid w:val="24E99DD7"/>
    <w:multiLevelType w:val="hybridMultilevel"/>
    <w:lvl w:ilvl="0">
      <w:lvlJc w:val="left"/>
      <w:lvlText w:val="•"/>
      <w:numFmt w:val="bullet"/>
      <w:start w:val="1"/>
    </w:lvl>
  </w:abstractNum>
  <w:abstractNum w:abstractNumId="57">
    <w:nsid w:val="2A31B62D"/>
    <w:multiLevelType w:val="hybridMultilevel"/>
    <w:lvl w:ilvl="0">
      <w:lvlJc w:val="left"/>
      <w:lvlText w:val="•"/>
      <w:numFmt w:val="bullet"/>
      <w:start w:val="1"/>
    </w:lvl>
  </w:abstractNum>
  <w:abstractNum w:abstractNumId="58">
    <w:nsid w:val="1849C29B"/>
    <w:multiLevelType w:val="hybridMultilevel"/>
    <w:lvl w:ilvl="0">
      <w:lvlJc w:val="left"/>
      <w:lvlText w:val="•"/>
      <w:numFmt w:val="bullet"/>
      <w:start w:val="1"/>
    </w:lvl>
  </w:abstractNum>
  <w:abstractNum w:abstractNumId="59">
    <w:nsid w:val="7DFF9D09"/>
    <w:multiLevelType w:val="hybridMultilevel"/>
    <w:lvl w:ilvl="0">
      <w:lvlJc w:val="left"/>
      <w:lvlText w:val="•"/>
      <w:numFmt w:val="bullet"/>
      <w:start w:val="1"/>
    </w:lvl>
  </w:abstractNum>
  <w:abstractNum w:abstractNumId="60">
    <w:nsid w:val="754342"/>
    <w:multiLevelType w:val="hybridMultilevel"/>
    <w:lvl w:ilvl="0">
      <w:lvlJc w:val="left"/>
      <w:lvlText w:val="•"/>
      <w:numFmt w:val="bullet"/>
      <w:start w:val="1"/>
    </w:lvl>
  </w:abstractNum>
  <w:abstractNum w:abstractNumId="61">
    <w:nsid w:val="69E7F3E5"/>
    <w:multiLevelType w:val="hybridMultilevel"/>
    <w:lvl w:ilvl="0">
      <w:lvlJc w:val="left"/>
      <w:lvlText w:val="•"/>
      <w:numFmt w:val="bullet"/>
      <w:start w:val="1"/>
    </w:lvl>
  </w:abstractNum>
  <w:abstractNum w:abstractNumId="62">
    <w:nsid w:val="2A6DE806"/>
    <w:multiLevelType w:val="hybridMultilevel"/>
    <w:lvl w:ilvl="0">
      <w:lvlJc w:val="left"/>
      <w:lvlText w:val="•"/>
      <w:numFmt w:val="bullet"/>
      <w:start w:val="1"/>
    </w:lvl>
  </w:abstractNum>
  <w:abstractNum w:abstractNumId="63">
    <w:nsid w:val="1816F8C4"/>
    <w:multiLevelType w:val="hybridMultilevel"/>
    <w:lvl w:ilvl="0">
      <w:lvlJc w:val="left"/>
      <w:lvlText w:val="•"/>
      <w:numFmt w:val="bullet"/>
      <w:start w:val="1"/>
    </w:lvl>
  </w:abstractNum>
  <w:abstractNum w:abstractNumId="64">
    <w:nsid w:val="37DF2233"/>
    <w:multiLevelType w:val="hybridMultilevel"/>
    <w:lvl w:ilvl="0">
      <w:lvlJc w:val="left"/>
      <w:lvlText w:val="•"/>
      <w:numFmt w:val="bullet"/>
      <w:start w:val="1"/>
    </w:lvl>
  </w:abstractNum>
  <w:abstractNum w:abstractNumId="65">
    <w:nsid w:val="7AB49DAF"/>
    <w:multiLevelType w:val="hybridMultilevel"/>
    <w:lvl w:ilvl="0">
      <w:lvlJc w:val="left"/>
      <w:lvlText w:val="•"/>
      <w:numFmt w:val="bullet"/>
      <w:start w:val="1"/>
    </w:lvl>
  </w:abstractNum>
  <w:abstractNum w:abstractNumId="66">
    <w:nsid w:val="759F82CD"/>
    <w:multiLevelType w:val="hybridMultilevel"/>
    <w:lvl w:ilvl="0">
      <w:lvlJc w:val="left"/>
      <w:lvlText w:val="•"/>
      <w:numFmt w:val="bullet"/>
      <w:start w:val="1"/>
    </w:lvl>
  </w:abstractNum>
  <w:abstractNum w:abstractNumId="67">
    <w:nsid w:val="61E74EA3"/>
    <w:multiLevelType w:val="hybridMultilevel"/>
    <w:lvl w:ilvl="0">
      <w:lvlJc w:val="left"/>
      <w:lvlText w:val="•"/>
      <w:numFmt w:val="bullet"/>
      <w:start w:val="1"/>
    </w:lvl>
  </w:abstractNum>
  <w:abstractNum w:abstractNumId="68">
    <w:nsid w:val="597B4D84"/>
    <w:multiLevelType w:val="hybridMultilevel"/>
    <w:lvl w:ilvl="0">
      <w:lvlJc w:val="left"/>
      <w:lvlText w:val="(%1)"/>
      <w:numFmt w:val="decimal"/>
      <w:start w:val="1"/>
    </w:lvl>
    <w:lvl w:ilvl="1">
      <w:lvlJc w:val="left"/>
      <w:lvlText w:val="(%2)"/>
      <w:numFmt w:val="lowerLetter"/>
      <w:start w:val="1"/>
    </w:lvl>
  </w:abstractNum>
  <w:abstractNum w:abstractNumId="69">
    <w:nsid w:val="F819E7F"/>
    <w:multiLevelType w:val="hybridMultilevel"/>
    <w:lvl w:ilvl="0">
      <w:lvlJc w:val="left"/>
      <w:lvlText w:val="(%1)"/>
      <w:numFmt w:val="decimal"/>
      <w:start w:val="1"/>
    </w:lvl>
  </w:abstractNum>
  <w:abstractNum w:abstractNumId="70">
    <w:nsid w:val="57C7D42D"/>
    <w:multiLevelType w:val="hybridMultilevel"/>
    <w:lvl w:ilvl="0">
      <w:lvlJc w:val="left"/>
      <w:lvlText w:val="(%1)"/>
      <w:numFmt w:val="decimal"/>
      <w:start w:val="1"/>
    </w:lvl>
  </w:abstractNum>
  <w:abstractNum w:abstractNumId="71">
    <w:nsid w:val="312167AD"/>
    <w:multiLevelType w:val="hybridMultilevel"/>
    <w:lvl w:ilvl="0">
      <w:lvlJc w:val="left"/>
      <w:lvlText w:val="(%1)"/>
      <w:numFmt w:val="decimal"/>
      <w:start w:val="3"/>
    </w:lvl>
  </w:abstractNum>
  <w:abstractNum w:abstractNumId="72">
    <w:nsid w:val="631B64D4"/>
    <w:multiLevelType w:val="hybridMultilevel"/>
    <w:lvl w:ilvl="0">
      <w:lvlJc w:val="left"/>
      <w:lvlText w:val="(%1)"/>
      <w:numFmt w:val="decimal"/>
      <w:start w:val="1"/>
    </w:lvl>
  </w:abstractNum>
  <w:abstractNum w:abstractNumId="73">
    <w:nsid w:val="78B5E776"/>
    <w:multiLevelType w:val="hybridMultilevel"/>
    <w:lvl w:ilvl="0">
      <w:lvlJc w:val="left"/>
      <w:lvlText w:val="(%1)"/>
      <w:numFmt w:val="decimal"/>
      <w:start w:val="1"/>
    </w:lvl>
  </w:abstractNum>
  <w:abstractNum w:abstractNumId="74">
    <w:nsid w:val="75486E47"/>
    <w:multiLevelType w:val="hybridMultilevel"/>
    <w:lvl w:ilvl="0">
      <w:lvlJc w:val="left"/>
      <w:lvlText w:val="(%1)"/>
      <w:numFmt w:val="decimal"/>
      <w:start w:val="1"/>
    </w:lvl>
  </w:abstractNum>
  <w:abstractNum w:abstractNumId="75">
    <w:nsid w:val="6E534CDE"/>
    <w:multiLevelType w:val="hybridMultilevel"/>
    <w:lvl w:ilvl="0">
      <w:lvlJc w:val="left"/>
      <w:lvlText w:val="%1"/>
      <w:numFmt w:val="upperLetter"/>
      <w:start w:val="1"/>
    </w:lvl>
    <w:lvl w:ilvl="1">
      <w:lvlJc w:val="left"/>
      <w:lvlText w:val="(%2)"/>
      <w:numFmt w:val="decimal"/>
      <w:start w:val="1"/>
    </w:lvl>
  </w:abstractNum>
  <w:abstractNum w:abstractNumId="76">
    <w:nsid w:val="1A0DDE32"/>
    <w:multiLevelType w:val="hybridMultilevel"/>
    <w:lvl w:ilvl="0">
      <w:lvlJc w:val="left"/>
      <w:lvlText w:val="(%1)"/>
      <w:numFmt w:val="upperLetter"/>
      <w:start w:val="1"/>
    </w:lvl>
    <w:lvl w:ilvl="1">
      <w:lvlJc w:val="left"/>
      <w:lvlText w:val="%2"/>
      <w:numFmt w:val="decimal"/>
      <w:start w:val="1"/>
    </w:lvl>
  </w:abstractNum>
  <w:abstractNum w:abstractNumId="77">
    <w:nsid w:val="65968C1C"/>
    <w:multiLevelType w:val="hybridMultilevel"/>
    <w:lvl w:ilvl="0">
      <w:lvlJc w:val="left"/>
      <w:lvlText w:val="%1"/>
      <w:numFmt w:val="decimal"/>
      <w:start w:val="1"/>
    </w:lvl>
    <w:lvl w:ilvl="1">
      <w:lvlJc w:val="left"/>
      <w:lvlText w:val="(%2)"/>
      <w:numFmt w:val="decimal"/>
      <w:start w:val="7"/>
    </w:lvl>
  </w:abstractNum>
  <w:abstractNum w:abstractNumId="78">
    <w:nsid w:val="46263DEC"/>
    <w:multiLevelType w:val="hybridMultilevel"/>
    <w:lvl w:ilvl="0">
      <w:lvlJc w:val="left"/>
      <w:lvlText w:val="(%1)"/>
      <w:numFmt w:val="decimal"/>
      <w:start w:val="6"/>
    </w:lvl>
    <w:lvl w:ilvl="1">
      <w:lvlJc w:val="left"/>
      <w:lvlText w:val="(%2)"/>
      <w:numFmt w:val="decimal"/>
      <w:start w:val="8"/>
    </w:lvl>
  </w:abstractNum>
  <w:abstractNum w:abstractNumId="79">
    <w:nsid w:val="260D8C4A"/>
    <w:multiLevelType w:val="hybridMultilevel"/>
    <w:lvl w:ilvl="0">
      <w:lvlJc w:val="left"/>
      <w:lvlText w:val="(%1)"/>
      <w:numFmt w:val="decimal"/>
      <w:start w:val="6"/>
    </w:lvl>
    <w:lvl w:ilvl="1">
      <w:lvlJc w:val="left"/>
      <w:lvlText w:val="%2"/>
      <w:numFmt w:val="decimal"/>
      <w:start w:val="1"/>
    </w:lvl>
  </w:abstractNum>
  <w:abstractNum w:abstractNumId="80">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1">
    <w:nsid w:val="746F2E30"/>
    <w:multiLevelType w:val="hybridMultilevel"/>
    <w:lvl w:ilvl="0">
      <w:lvlJc w:val="left"/>
      <w:lvlText w:val="(%1)"/>
      <w:numFmt w:val="decimal"/>
      <w:start w:val="1"/>
    </w:lvl>
  </w:abstractNum>
  <w:abstractNum w:abstractNumId="82">
    <w:nsid w:val="6FDE8AF6"/>
    <w:multiLevelType w:val="hybridMultilevel"/>
    <w:lvl w:ilvl="0">
      <w:lvlJc w:val="left"/>
      <w:lvlText w:val="(%1)"/>
      <w:numFmt w:val="decimal"/>
      <w:start w:val="1"/>
    </w:lvl>
  </w:abstractNum>
  <w:abstractNum w:abstractNumId="83">
    <w:nsid w:val="3FC32E20"/>
    <w:multiLevelType w:val="hybridMultilevel"/>
    <w:lvl w:ilvl="0">
      <w:lvlJc w:val="left"/>
      <w:lvlText w:val="(%1)"/>
      <w:numFmt w:val="decimal"/>
      <w:start w:val="3"/>
    </w:lvl>
  </w:abstractNum>
  <w:abstractNum w:abstractNumId="84">
    <w:nsid w:val="49C0E823"/>
    <w:multiLevelType w:val="hybridMultilevel"/>
    <w:lvl w:ilvl="0">
      <w:lvlJc w:val="left"/>
      <w:lvlText w:val="(%1)"/>
      <w:numFmt w:val="decimal"/>
      <w:start w:val="1"/>
    </w:lvl>
    <w:lvl w:ilvl="1">
      <w:lvlJc w:val="left"/>
      <w:lvlText w:val="(%2)"/>
      <w:numFmt w:val="lowerLetter"/>
      <w:start w:val="1"/>
    </w:lvl>
  </w:abstractNum>
  <w:abstractNum w:abstractNumId="85">
    <w:nsid w:val="14D53685"/>
    <w:multiLevelType w:val="hybridMultilevel"/>
    <w:lvl w:ilvl="0">
      <w:lvlJc w:val="left"/>
      <w:lvlText w:val="(%1)"/>
      <w:numFmt w:val="decimal"/>
      <w:start w:val="1"/>
    </w:lvl>
  </w:abstractNum>
  <w:abstractNum w:abstractNumId="86">
    <w:nsid w:val="230F856C"/>
    <w:multiLevelType w:val="hybridMultilevel"/>
    <w:lvl w:ilvl="0">
      <w:lvlJc w:val="left"/>
      <w:lvlText w:val="(%1)"/>
      <w:numFmt w:val="decimal"/>
      <w:start w:val="2"/>
    </w:lvl>
  </w:abstractNum>
  <w:abstractNum w:abstractNumId="87">
    <w:nsid w:val="6EAA85FB"/>
    <w:multiLevelType w:val="hybridMultilevel"/>
    <w:lvl w:ilvl="0">
      <w:lvlJc w:val="left"/>
      <w:lvlText w:val="(%1)"/>
      <w:numFmt w:val="decimal"/>
      <w:start w:val="1"/>
    </w:lvl>
  </w:abstractNum>
  <w:abstractNum w:abstractNumId="88">
    <w:nsid w:val="3F06ECB2"/>
    <w:multiLevelType w:val="hybridMultilevel"/>
    <w:lvl w:ilvl="0">
      <w:lvlJc w:val="left"/>
      <w:lvlText w:val="%1"/>
      <w:numFmt w:val="lowerLetter"/>
      <w:start w:val="1"/>
    </w:lvl>
    <w:lvl w:ilvl="1">
      <w:lvlJc w:val="left"/>
      <w:lvlText w:val="(%2)"/>
      <w:numFmt w:val="decimal"/>
      <w:start w:val="1"/>
    </w:lvl>
  </w:abstractNum>
  <w:abstractNum w:abstractNumId="89">
    <w:nsid w:val="3B594807"/>
    <w:multiLevelType w:val="hybridMultilevel"/>
    <w:lvl w:ilvl="0">
      <w:lvlJc w:val="left"/>
      <w:lvlText w:val="(%1)"/>
      <w:numFmt w:val="lowerLetter"/>
      <w:start w:val="2"/>
    </w:lvl>
    <w:lvl w:ilvl="1">
      <w:lvlJc w:val="left"/>
      <w:lvlText w:val="(%2)"/>
      <w:numFmt w:val="decimal"/>
      <w:start w:val="2"/>
    </w:lvl>
  </w:abstractNum>
  <w:abstractNum w:abstractNumId="90">
    <w:nsid w:val="6CAA2304"/>
    <w:multiLevelType w:val="hybridMultilevel"/>
    <w:lvl w:ilvl="0">
      <w:lvlJc w:val="left"/>
      <w:lvlText w:val="(%1)"/>
      <w:numFmt w:val="decimal"/>
      <w:start w:val="1"/>
    </w:lvl>
  </w:abstractNum>
  <w:abstractNum w:abstractNumId="91">
    <w:nsid w:val="3F7C2FF4"/>
    <w:multiLevelType w:val="hybridMultilevel"/>
    <w:lvl w:ilvl="0">
      <w:lvlJc w:val="left"/>
      <w:lvlText w:val="(%1)"/>
      <w:numFmt w:val="decimal"/>
      <w:start w:val="3"/>
    </w:lvl>
    <w:lvl w:ilvl="1">
      <w:lvlJc w:val="left"/>
      <w:lvlText w:val="(%2)"/>
      <w:numFmt w:val="lowerLetter"/>
      <w:start w:val="1"/>
    </w:lvl>
  </w:abstractNum>
  <w:abstractNum w:abstractNumId="92">
    <w:nsid w:val="25413BEC"/>
    <w:multiLevelType w:val="hybridMultilevel"/>
    <w:lvl w:ilvl="0">
      <w:lvlJc w:val="left"/>
      <w:lvlText w:val="(%1)"/>
      <w:numFmt w:val="decimal"/>
      <w:start w:val="1"/>
    </w:lvl>
  </w:abstractNum>
  <w:abstractNum w:abstractNumId="93">
    <w:nsid w:val="17180B0B"/>
    <w:multiLevelType w:val="hybridMultilevel"/>
    <w:lvl w:ilvl="0">
      <w:lvlJc w:val="left"/>
      <w:lvlText w:val="(%1)"/>
      <w:numFmt w:val="decimal"/>
      <w:start w:val="2"/>
    </w:lvl>
  </w:abstractNum>
  <w:abstractNum w:abstractNumId="94">
    <w:nsid w:val="579328B9"/>
    <w:multiLevelType w:val="hybridMultilevel"/>
    <w:lvl w:ilvl="0">
      <w:lvlJc w:val="left"/>
      <w:lvlText w:val="(%1)"/>
      <w:numFmt w:val="decimal"/>
      <w:start w:val="2"/>
    </w:lvl>
  </w:abstractNum>
  <w:abstractNum w:abstractNumId="95">
    <w:nsid w:val="5D205E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6">
    <w:nsid w:val="11CCA8BA"/>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97">
    <w:nsid w:val="4D32AB86"/>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98">
    <w:nsid w:val="3F07ACC3"/>
    <w:multiLevelType w:val="hybridMultilevel"/>
    <w:lvl w:ilvl="0">
      <w:lvlJc w:val="left"/>
      <w:lvlText w:val="(%1)"/>
      <w:numFmt w:val="decimal"/>
      <w:start w:val="13"/>
    </w:lvl>
  </w:abstractNum>
  <w:abstractNum w:abstractNumId="99">
    <w:nsid w:val="6B47F63E"/>
    <w:multiLevelType w:val="hybridMultilevel"/>
    <w:lvl w:ilvl="0">
      <w:lvlJc w:val="left"/>
      <w:lvlText w:val="(%1)"/>
      <w:numFmt w:val="decimal"/>
      <w:start w:val="1"/>
    </w:lvl>
    <w:lvl w:ilvl="1">
      <w:lvlJc w:val="left"/>
      <w:lvlText w:val="(%2)"/>
      <w:numFmt w:val="lowerLetter"/>
      <w:start w:val="1"/>
    </w:lvl>
  </w:abstractNum>
  <w:abstractNum w:abstractNumId="100">
    <w:nsid w:val="5CB44A05"/>
    <w:multiLevelType w:val="hybridMultilevel"/>
    <w:lvl w:ilvl="0">
      <w:lvlJc w:val="left"/>
      <w:lvlText w:val="(%1)"/>
      <w:numFmt w:val="decimal"/>
      <w:start w:val="1"/>
    </w:lvl>
  </w:abstractNum>
  <w:abstractNum w:abstractNumId="101">
    <w:nsid w:val="16CF80F1"/>
    <w:multiLevelType w:val="hybridMultilevel"/>
    <w:lvl w:ilvl="0">
      <w:lvlJc w:val="left"/>
      <w:lvlText w:val="(%1)"/>
      <w:numFmt w:val="decimal"/>
      <w:start w:val="1"/>
    </w:lvl>
  </w:abstractNum>
  <w:abstractNum w:abstractNumId="102">
    <w:nsid w:val="1C695DEC"/>
    <w:multiLevelType w:val="hybridMultilevel"/>
    <w:lvl w:ilvl="0">
      <w:lvlJc w:val="left"/>
      <w:lvlText w:val="(%1)"/>
      <w:numFmt w:val="decimal"/>
      <w:start w:val="1"/>
    </w:lvl>
    <w:lvl w:ilvl="1">
      <w:lvlJc w:val="left"/>
      <w:lvlText w:val="(%2)"/>
      <w:numFmt w:val="lowerLetter"/>
      <w:start w:val="1"/>
    </w:lvl>
  </w:abstractNum>
  <w:abstractNum w:abstractNumId="103">
    <w:nsid w:val="3FCFAED9"/>
    <w:multiLevelType w:val="hybridMultilevel"/>
    <w:lvl w:ilvl="0">
      <w:lvlJc w:val="left"/>
      <w:lvlText w:val="(%1)"/>
      <w:numFmt w:val="decimal"/>
      <w:start w:val="1"/>
    </w:lvl>
    <w:lvl w:ilvl="1">
      <w:lvlJc w:val="left"/>
      <w:lvlText w:val="(%2)"/>
      <w:numFmt w:val="lowerLetter"/>
      <w:start w:val="1"/>
    </w:lvl>
  </w:abstractNum>
  <w:abstractNum w:abstractNumId="104">
    <w:nsid w:val="F856867"/>
    <w:multiLevelType w:val="hybridMultilevel"/>
    <w:lvl w:ilvl="0">
      <w:lvlJc w:val="left"/>
      <w:lvlText w:val="(%1)"/>
      <w:numFmt w:val="decimal"/>
      <w:start w:val="1"/>
    </w:lvl>
  </w:abstractNum>
  <w:abstractNum w:abstractNumId="105">
    <w:nsid w:val="11B1CC33"/>
    <w:multiLevelType w:val="hybridMultilevel"/>
    <w:lvl w:ilvl="0">
      <w:lvlJc w:val="left"/>
      <w:lvlText w:val="(%1)"/>
      <w:numFmt w:val="decimal"/>
      <w:start w:val="1"/>
    </w:lvl>
  </w:abstractNum>
  <w:abstractNum w:abstractNumId="106">
    <w:nsid w:val="2E22FBB7"/>
    <w:multiLevelType w:val="hybridMultilevel"/>
    <w:lvl w:ilvl="0">
      <w:lvlJc w:val="left"/>
      <w:lvlText w:val="(%1)"/>
      <w:numFmt w:val="decimal"/>
      <w:start w:val="1"/>
    </w:lvl>
  </w:abstractNum>
  <w:abstractNum w:abstractNumId="107">
    <w:nsid w:val="29934699"/>
    <w:multiLevelType w:val="hybridMultilevel"/>
    <w:lvl w:ilvl="0">
      <w:lvlJc w:val="left"/>
      <w:lvlText w:val="(%1)"/>
      <w:numFmt w:val="decimal"/>
      <w:start w:val="1"/>
    </w:lvl>
  </w:abstractNum>
  <w:abstractNum w:abstractNumId="108">
    <w:nsid w:val="77485850"/>
    <w:multiLevelType w:val="hybridMultilevel"/>
    <w:lvl w:ilvl="0">
      <w:lvlJc w:val="left"/>
      <w:lvlText w:val="(%1)"/>
      <w:numFmt w:val="decimal"/>
      <w:start w:val="1"/>
    </w:lvl>
    <w:lvl w:ilvl="1">
      <w:lvlJc w:val="left"/>
      <w:lvlText w:val="(%2)"/>
      <w:numFmt w:val="lowerLetter"/>
      <w:start w:val="1"/>
    </w:lvl>
  </w:abstractNum>
  <w:abstractNum w:abstractNumId="109">
    <w:nsid w:val="744939A3"/>
    <w:multiLevelType w:val="hybridMultilevel"/>
    <w:lvl w:ilvl="0">
      <w:lvlJc w:val="left"/>
      <w:lvlText w:val="(%1)"/>
      <w:numFmt w:val="decimal"/>
      <w:start w:val="1"/>
    </w:lvl>
  </w:abstractNum>
  <w:abstractNum w:abstractNumId="110">
    <w:nsid w:val="4FA0D2E3"/>
    <w:multiLevelType w:val="hybridMultilevel"/>
    <w:lvl w:ilvl="0">
      <w:lvlJc w:val="left"/>
      <w:lvlText w:val="(%1)"/>
      <w:numFmt w:val="decimal"/>
      <w:start w:val="1"/>
    </w:lvl>
  </w:abstractNum>
  <w:abstractNum w:abstractNumId="111">
    <w:nsid w:val="6B1D2C14"/>
    <w:multiLevelType w:val="hybridMultilevel"/>
    <w:lvl w:ilvl="0">
      <w:lvlJc w:val="left"/>
      <w:lvlText w:val="(%1)"/>
      <w:numFmt w:val="decimal"/>
      <w:start w:val="1"/>
    </w:lvl>
  </w:abstractNum>
  <w:abstractNum w:abstractNumId="112">
    <w:nsid w:val="68B867D3"/>
    <w:multiLevelType w:val="hybridMultilevel"/>
    <w:lvl w:ilvl="0">
      <w:lvlJc w:val="left"/>
      <w:lvlText w:val="(%1)"/>
      <w:numFmt w:val="decimal"/>
      <w:start w:val="1"/>
    </w:lvl>
    <w:lvl w:ilvl="1">
      <w:lvlJc w:val="left"/>
      <w:lvlText w:val="(%2)"/>
      <w:numFmt w:val="lowerLetter"/>
      <w:start w:val="2"/>
    </w:lvl>
  </w:abstractNum>
  <w:abstractNum w:abstractNumId="113">
    <w:nsid w:val="3F7F5DD9"/>
    <w:multiLevelType w:val="hybridMultilevel"/>
    <w:lvl w:ilvl="0">
      <w:lvlJc w:val="left"/>
      <w:lvlText w:val="%1"/>
      <w:numFmt w:val="decimal"/>
      <w:start w:val="1"/>
    </w:lvl>
    <w:lvl w:ilvl="1">
      <w:lvlJc w:val="left"/>
      <w:lvlText w:val="(%2)"/>
      <w:numFmt w:val="lowerLetter"/>
      <w:start w:val="1"/>
    </w:lvl>
  </w:abstractNum>
  <w:abstractNum w:abstractNumId="114">
    <w:nsid w:val="2AE05A34"/>
    <w:multiLevelType w:val="hybridMultilevel"/>
    <w:lvl w:ilvl="0">
      <w:lvlJc w:val="left"/>
      <w:lvlText w:val="%1"/>
      <w:numFmt w:val="decimal"/>
      <w:start w:val="1"/>
    </w:lvl>
    <w:lvl w:ilvl="1">
      <w:lvlJc w:val="left"/>
      <w:lvlText w:val="(%2)"/>
      <w:numFmt w:val="lowerLetter"/>
      <w:start w:val="2"/>
    </w:lvl>
  </w:abstractNum>
  <w:abstractNum w:abstractNumId="115">
    <w:nsid w:val="32794FF7"/>
    <w:multiLevelType w:val="hybridMultilevel"/>
    <w:lvl w:ilvl="0">
      <w:lvlJc w:val="left"/>
      <w:lvlText w:val="(%1)"/>
      <w:numFmt w:val="decimal"/>
      <w:start w:val="3"/>
    </w:lvl>
    <w:lvl w:ilvl="1">
      <w:lvlJc w:val="left"/>
      <w:lvlText w:val="(%2)"/>
      <w:numFmt w:val="lowerLetter"/>
      <w:start w:val="1"/>
    </w:lvl>
  </w:abstractNum>
  <w:abstractNum w:abstractNumId="116">
    <w:nsid w:val="5454945E"/>
    <w:multiLevelType w:val="hybridMultilevel"/>
    <w:lvl w:ilvl="0">
      <w:lvlJc w:val="left"/>
      <w:lvlText w:val="(%1)"/>
      <w:numFmt w:val="decimal"/>
      <w:start w:val="1"/>
    </w:lvl>
    <w:lvl w:ilvl="1">
      <w:lvlJc w:val="left"/>
      <w:lvlText w:val="(%2)"/>
      <w:numFmt w:val="lowerLetter"/>
      <w:start w:val="1"/>
    </w:lvl>
  </w:abstractNum>
  <w:abstractNum w:abstractNumId="117">
    <w:nsid w:val="4DEFDFA0"/>
    <w:multiLevelType w:val="hybridMultilevel"/>
    <w:lvl w:ilvl="0">
      <w:lvlJc w:val="left"/>
      <w:lvlText w:val="(%1)"/>
      <w:numFmt w:val="decimal"/>
      <w:start w:val="3"/>
    </w:lvl>
  </w:abstractNum>
  <w:abstractNum w:abstractNumId="118">
    <w:nsid w:val="2123D5F2"/>
    <w:multiLevelType w:val="hybridMultilevel"/>
    <w:lvl w:ilvl="0">
      <w:lvlJc w:val="left"/>
      <w:lvlText w:val="(%1)"/>
      <w:numFmt w:val="decimal"/>
      <w:start w:val="1"/>
    </w:lvl>
  </w:abstractNum>
  <w:abstractNum w:abstractNumId="119">
    <w:nsid w:val="135B8110"/>
    <w:multiLevelType w:val="hybridMultilevel"/>
    <w:lvl w:ilvl="0">
      <w:lvlJc w:val="left"/>
      <w:lvlText w:val="(%1)"/>
      <w:numFmt w:val="decimal"/>
      <w:start w:val="1"/>
    </w:lvl>
  </w:abstractNum>
  <w:abstractNum w:abstractNumId="120">
    <w:nsid w:val="94927A8"/>
    <w:multiLevelType w:val="hybridMultilevel"/>
    <w:lvl w:ilvl="0">
      <w:lvlJc w:val="left"/>
      <w:lvlText w:val="(%1)"/>
      <w:numFmt w:val="decimal"/>
      <w:start w:val="1"/>
    </w:lvl>
    <w:lvl w:ilvl="1">
      <w:lvlJc w:val="left"/>
      <w:lvlText w:val="(%2)"/>
      <w:numFmt w:val="lowerLetter"/>
      <w:start w:val="1"/>
    </w:lvl>
  </w:abstractNum>
  <w:abstractNum w:abstractNumId="121">
    <w:nsid w:val="DCDF8F6"/>
    <w:multiLevelType w:val="hybridMultilevel"/>
    <w:lvl w:ilvl="0">
      <w:lvlJc w:val="left"/>
      <w:lvlText w:val="(%1)"/>
      <w:numFmt w:val="decimal"/>
      <w:start w:val="4"/>
    </w:lvl>
    <w:lvl w:ilvl="1">
      <w:lvlJc w:val="left"/>
      <w:lvlText w:val="(%2)"/>
      <w:numFmt w:val="lowerLetter"/>
      <w:start w:val="1"/>
    </w:lvl>
  </w:abstractNum>
  <w:abstractNum w:abstractNumId="122">
    <w:nsid w:val="52D7B105"/>
    <w:multiLevelType w:val="hybridMultilevel"/>
    <w:lvl w:ilvl="0">
      <w:lvlJc w:val="left"/>
      <w:lvlText w:val="(%1)"/>
      <w:numFmt w:val="decimal"/>
      <w:start w:val="12"/>
    </w:lvl>
  </w:abstractNum>
  <w:abstractNum w:abstractNumId="123">
    <w:nsid w:val="2E8A6394"/>
    <w:multiLevelType w:val="hybridMultilevel"/>
    <w:lvl w:ilvl="0">
      <w:lvlJc w:val="left"/>
      <w:lvlText w:val="(%1)"/>
      <w:numFmt w:val="decimal"/>
      <w:start w:val="1"/>
    </w:lvl>
  </w:abstractNum>
  <w:abstractNum w:abstractNumId="124">
    <w:nsid w:val="24E60401"/>
    <w:multiLevelType w:val="hybridMultilevel"/>
    <w:lvl w:ilvl="0">
      <w:lvlJc w:val="left"/>
      <w:lvlText w:val="(%1)"/>
      <w:numFmt w:val="decimal"/>
      <w:start w:val="1"/>
    </w:lvl>
  </w:abstractNum>
  <w:abstractNum w:abstractNumId="125">
    <w:nsid w:val="2A6AD9BE"/>
    <w:multiLevelType w:val="hybridMultilevel"/>
    <w:lvl w:ilvl="0">
      <w:lvlJc w:val="left"/>
      <w:lvlText w:val="(%1)"/>
      <w:numFmt w:val="decimal"/>
      <w:start w:val="1"/>
    </w:lvl>
  </w:abstractNum>
  <w:abstractNum w:abstractNumId="126">
    <w:nsid w:val="BAAC1B4"/>
    <w:multiLevelType w:val="hybridMultilevel"/>
    <w:lvl w:ilvl="0">
      <w:lvlJc w:val="left"/>
      <w:lvlText w:val="(%1)"/>
      <w:numFmt w:val="decimal"/>
      <w:start w:val="2"/>
    </w:lvl>
  </w:abstractNum>
  <w:abstractNum w:abstractNumId="127">
    <w:nsid w:val="36B2ACBC"/>
    <w:multiLevelType w:val="hybridMultilevel"/>
    <w:lvl w:ilvl="0">
      <w:lvlJc w:val="left"/>
      <w:lvlText w:val="%1"/>
      <w:numFmt w:val="lowerLetter"/>
      <w:start w:val="1"/>
    </w:lvl>
    <w:lvl w:ilvl="1">
      <w:lvlJc w:val="left"/>
      <w:lvlText w:val="(%2)"/>
      <w:numFmt w:val="decimal"/>
      <w:start w:val="1"/>
    </w:lvl>
  </w:abstractNum>
  <w:abstractNum w:abstractNumId="128">
    <w:nsid w:val="779D8544"/>
    <w:multiLevelType w:val="hybridMultilevel"/>
    <w:lvl w:ilvl="0">
      <w:lvlJc w:val="left"/>
      <w:lvlText w:val="(%1)"/>
      <w:numFmt w:val="lowerLetter"/>
      <w:start w:val="1"/>
    </w:lvl>
    <w:lvl w:ilvl="1">
      <w:lvlJc w:val="left"/>
      <w:lvlText w:val="(%2)"/>
      <w:numFmt w:val="decimal"/>
      <w:start w:val="3"/>
    </w:lvl>
  </w:abstractNum>
  <w:abstractNum w:abstractNumId="129">
    <w:nsid w:val="4AB26E78"/>
    <w:multiLevelType w:val="hybridMultilevel"/>
    <w:lvl w:ilvl="0">
      <w:lvlJc w:val="left"/>
      <w:lvlText w:val="(%1)"/>
      <w:numFmt w:val="decimal"/>
      <w:start w:val="7"/>
    </w:lvl>
  </w:abstractNum>
  <w:abstractNum w:abstractNumId="130">
    <w:nsid w:val="21FAA2FA"/>
    <w:multiLevelType w:val="hybridMultilevel"/>
    <w:lvl w:ilvl="0">
      <w:lvlJc w:val="left"/>
      <w:lvlText w:val="(%1)"/>
      <w:numFmt w:val="decimal"/>
      <w:start w:val="1"/>
    </w:lvl>
  </w:abstractNum>
  <w:abstractNum w:abstractNumId="131">
    <w:nsid w:val="5451CF49"/>
    <w:multiLevelType w:val="hybridMultilevel"/>
    <w:lvl w:ilvl="0">
      <w:lvlJc w:val="left"/>
      <w:lvlText w:val="(%1)"/>
      <w:numFmt w:val="decimal"/>
      <w:start w:val="9"/>
    </w:lvl>
  </w:abstractNum>
  <w:abstractNum w:abstractNumId="132">
    <w:nsid w:val="6181EF69"/>
    <w:multiLevelType w:val="hybridMultilevel"/>
    <w:lvl w:ilvl="0">
      <w:lvlJc w:val="left"/>
      <w:lvlText w:val="(%1)"/>
      <w:numFmt w:val="decimal"/>
      <w:start w:val="1"/>
    </w:lvl>
  </w:abstractNum>
  <w:abstractNum w:abstractNumId="133">
    <w:nsid w:val="3E6400E6"/>
    <w:multiLevelType w:val="hybridMultilevel"/>
    <w:lvl w:ilvl="0">
      <w:lvlJc w:val="left"/>
      <w:lvlText w:val="%1"/>
      <w:numFmt w:val="lowerLetter"/>
      <w:start w:val="1"/>
    </w:lvl>
    <w:lvl w:ilvl="1">
      <w:lvlJc w:val="left"/>
      <w:lvlText w:val="(%2)"/>
      <w:numFmt w:val="decimal"/>
      <w:start w:val="6"/>
    </w:lvl>
  </w:abstractNum>
  <w:abstractNum w:abstractNumId="134">
    <w:nsid w:val="14217E23"/>
    <w:multiLevelType w:val="hybridMultilevel"/>
    <w:lvl w:ilvl="0">
      <w:lvlJc w:val="left"/>
      <w:lvlText w:val="(%1)"/>
      <w:numFmt w:val="lowerLetter"/>
      <w:start w:val="1"/>
    </w:lvl>
    <w:lvl w:ilvl="1">
      <w:lvlJc w:val="left"/>
      <w:lvlText w:val="(%2)"/>
      <w:numFmt w:val="decimal"/>
      <w:start w:val="10"/>
    </w:lvl>
  </w:abstractNum>
  <w:abstractNum w:abstractNumId="135">
    <w:nsid w:val="710757D0"/>
    <w:multiLevelType w:val="hybridMultilevel"/>
    <w:lvl w:ilvl="0">
      <w:lvlJc w:val="left"/>
      <w:lvlText w:val="(%1)"/>
      <w:numFmt w:val="decimal"/>
      <w:start w:val="1"/>
    </w:lvl>
  </w:abstractNum>
  <w:abstractNum w:abstractNumId="136">
    <w:nsid w:val="5015CD1A"/>
    <w:multiLevelType w:val="hybridMultilevel"/>
    <w:lvl w:ilvl="0">
      <w:lvlJc w:val="left"/>
      <w:lvlText w:val="(%1)"/>
      <w:numFmt w:val="decimal"/>
      <w:start w:val="1"/>
    </w:lvl>
    <w:lvl w:ilvl="1">
      <w:lvlJc w:val="left"/>
      <w:lvlText w:val="(%2)"/>
      <w:numFmt w:val="lowerLetter"/>
      <w:start w:val="1"/>
    </w:lvl>
  </w:abstractNum>
  <w:abstractNum w:abstractNumId="137">
    <w:nsid w:val="424479DA"/>
    <w:multiLevelType w:val="hybridMultilevel"/>
    <w:lvl w:ilvl="0">
      <w:lvlJc w:val="left"/>
      <w:lvlText w:val="(%1)"/>
      <w:numFmt w:val="decimal"/>
      <w:start w:val="2"/>
    </w:lvl>
  </w:abstractNum>
  <w:abstractNum w:abstractNumId="138">
    <w:nsid w:val="1A9A9E69"/>
    <w:multiLevelType w:val="hybridMultilevel"/>
    <w:lvl w:ilvl="0">
      <w:lvlJc w:val="left"/>
      <w:lvlText w:val="(%1)"/>
      <w:numFmt w:val="decimal"/>
      <w:start w:val="1"/>
    </w:lvl>
  </w:abstractNum>
  <w:abstractNum w:abstractNumId="139">
    <w:nsid w:val="475E256A"/>
    <w:multiLevelType w:val="hybridMultilevel"/>
    <w:lvl w:ilvl="0">
      <w:lvlJc w:val="left"/>
      <w:lvlText w:val="(%1)"/>
      <w:numFmt w:val="decimal"/>
      <w:start w:val="1"/>
    </w:lvl>
  </w:abstractNum>
  <w:abstractNum w:abstractNumId="140">
    <w:nsid w:val="368DB37E"/>
    <w:multiLevelType w:val="hybridMultilevel"/>
    <w:lvl w:ilvl="0">
      <w:lvlJc w:val="left"/>
      <w:lvlText w:val="(%1)"/>
      <w:numFmt w:val="decimal"/>
      <w:start w:val="1"/>
    </w:lvl>
  </w:abstractNum>
  <w:abstractNum w:abstractNumId="141">
    <w:nsid w:val="6A3B714C"/>
    <w:multiLevelType w:val="hybridMultilevel"/>
    <w:lvl w:ilvl="0">
      <w:lvlJc w:val="left"/>
      <w:lvlText w:val="(%1)"/>
      <w:numFmt w:val="decimal"/>
      <w:start w:val="1"/>
    </w:lvl>
  </w:abstractNum>
  <w:abstractNum w:abstractNumId="142">
    <w:nsid w:val="327B517E"/>
    <w:multiLevelType w:val="hybridMultilevel"/>
    <w:lvl w:ilvl="0">
      <w:lvlJc w:val="left"/>
      <w:lvlText w:val="(%1)"/>
      <w:numFmt w:val="decimal"/>
      <w:start w:val="1"/>
    </w:lvl>
  </w:abstractNum>
  <w:abstractNum w:abstractNumId="143">
    <w:nsid w:val="1F461B51"/>
    <w:multiLevelType w:val="hybridMultilevel"/>
    <w:lvl w:ilvl="0">
      <w:lvlJc w:val="left"/>
      <w:lvlText w:val="(%1)"/>
      <w:numFmt w:val="decimal"/>
      <w:start w:val="1"/>
    </w:lvl>
  </w:abstractNum>
  <w:abstractNum w:abstractNumId="144">
    <w:nsid w:val="29BACF25"/>
    <w:multiLevelType w:val="hybridMultilevel"/>
    <w:lvl w:ilvl="0">
      <w:lvlJc w:val="left"/>
      <w:lvlText w:val="(%1)"/>
      <w:numFmt w:val="decimal"/>
      <w:start w:val="1"/>
    </w:lvl>
    <w:lvl w:ilvl="1">
      <w:lvlJc w:val="left"/>
      <w:lvlText w:val="(%2)"/>
      <w:numFmt w:val="lowerLetter"/>
      <w:start w:val="1"/>
    </w:lvl>
  </w:abstractNum>
  <w:abstractNum w:abstractNumId="145">
    <w:nsid w:val="5D5BAB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46">
    <w:nsid w:val="51BF6B4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47">
    <w:nsid w:val="7E0F6384"/>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48">
    <w:nsid w:val="2B4B8B53"/>
    <w:multiLevelType w:val="hybridMultilevel"/>
    <w:lvl w:ilvl="0">
      <w:lvlJc w:val="left"/>
      <w:lvlText w:val="(%1)"/>
      <w:numFmt w:val="decimal"/>
      <w:start w:val="1"/>
    </w:lvl>
  </w:abstractNum>
  <w:abstractNum w:abstractNumId="149">
    <w:nsid w:val="72E3413A"/>
    <w:multiLevelType w:val="hybridMultilevel"/>
    <w:lvl w:ilvl="0">
      <w:lvlJc w:val="left"/>
      <w:lvlText w:val="(%1)"/>
      <w:numFmt w:val="decimal"/>
      <w:start w:val="1"/>
    </w:lvl>
  </w:abstractNum>
  <w:abstractNum w:abstractNumId="150">
    <w:nsid w:val="116AE494"/>
    <w:multiLevelType w:val="hybridMultilevel"/>
    <w:lvl w:ilvl="0">
      <w:lvlJc w:val="left"/>
      <w:lvlText w:val="(%1)"/>
      <w:numFmt w:val="decimal"/>
      <w:start w:val="1"/>
    </w:lvl>
  </w:abstractNum>
  <w:abstractNum w:abstractNumId="151">
    <w:nsid w:val="3494B2FB"/>
    <w:multiLevelType w:val="hybridMultilevel"/>
    <w:lvl w:ilvl="0">
      <w:lvlJc w:val="left"/>
      <w:lvlText w:val="(%1)"/>
      <w:numFmt w:val="decimal"/>
      <w:start w:val="3"/>
    </w:lvl>
  </w:abstractNum>
  <w:abstractNum w:abstractNumId="152">
    <w:nsid w:val="B13A31"/>
    <w:multiLevelType w:val="hybridMultilevel"/>
    <w:lvl w:ilvl="0">
      <w:lvlJc w:val="left"/>
      <w:lvlText w:val="(%1)"/>
      <w:numFmt w:val="decimal"/>
      <w:start w:val="1"/>
    </w:lvl>
    <w:lvl w:ilvl="1">
      <w:lvlJc w:val="left"/>
      <w:lvlText w:val="(%2)"/>
      <w:numFmt w:val="lowerLetter"/>
      <w:start w:val="1"/>
    </w:lvl>
  </w:abstractNum>
  <w:abstractNum w:abstractNumId="153">
    <w:nsid w:val="64429599"/>
    <w:multiLevelType w:val="hybridMultilevel"/>
    <w:lvl w:ilvl="0">
      <w:lvlJc w:val="left"/>
      <w:lvlText w:val="(%1)"/>
      <w:numFmt w:val="decimal"/>
      <w:start w:val="4"/>
    </w:lvl>
  </w:abstractNum>
  <w:abstractNum w:abstractNumId="154">
    <w:nsid w:val="631F1690"/>
    <w:multiLevelType w:val="hybridMultilevel"/>
    <w:lvl w:ilvl="0">
      <w:lvlJc w:val="left"/>
      <w:lvlText w:val="(%1)"/>
      <w:numFmt w:val="decimal"/>
      <w:start w:val="1"/>
    </w:lvl>
  </w:abstractNum>
  <w:abstractNum w:abstractNumId="155">
    <w:nsid w:val="25973E32"/>
    <w:multiLevelType w:val="hybridMultilevel"/>
    <w:lvl w:ilvl="0">
      <w:lvlJc w:val="left"/>
      <w:lvlText w:val="(%1)"/>
      <w:numFmt w:val="decimal"/>
      <w:start w:val="1"/>
    </w:lvl>
  </w:abstractNum>
  <w:abstractNum w:abstractNumId="156">
    <w:nsid w:val="EAD6F57"/>
    <w:multiLevelType w:val="hybridMultilevel"/>
    <w:lvl w:ilvl="0">
      <w:lvlJc w:val="left"/>
      <w:lvlText w:val="(%1)"/>
      <w:numFmt w:val="lowerLetter"/>
      <w:start w:val="1"/>
    </w:lvl>
  </w:abstractNum>
  <w:abstractNum w:abstractNumId="157">
    <w:nsid w:val="6EC9D844"/>
    <w:multiLevelType w:val="hybridMultilevel"/>
    <w:lvl w:ilvl="0">
      <w:lvlJc w:val="left"/>
      <w:lvlText w:val="(%1)"/>
      <w:numFmt w:val="decimal"/>
      <w:start w:val="1"/>
    </w:lvl>
  </w:abstractNum>
  <w:abstractNum w:abstractNumId="158">
    <w:nsid w:val="5C49EAEE"/>
    <w:multiLevelType w:val="hybridMultilevel"/>
    <w:lvl w:ilvl="0">
      <w:lvlJc w:val="left"/>
      <w:lvlText w:val="(%1)"/>
      <w:numFmt w:val="decimal"/>
      <w:start w:val="1"/>
    </w:lvl>
  </w:abstractNum>
  <w:abstractNum w:abstractNumId="159">
    <w:nsid w:val="64AF49B"/>
    <w:multiLevelType w:val="hybridMultilevel"/>
    <w:lvl w:ilvl="0">
      <w:lvlJc w:val="left"/>
      <w:lvlText w:val="(%1)"/>
      <w:numFmt w:val="decimal"/>
      <w:start w:val="1"/>
    </w:lvl>
  </w:abstractNum>
  <w:abstractNum w:abstractNumId="160">
    <w:nsid w:val="397C46BC"/>
    <w:multiLevelType w:val="hybridMultilevel"/>
    <w:lvl w:ilvl="0">
      <w:lvlJc w:val="left"/>
      <w:lvlText w:val="(%1)"/>
      <w:numFmt w:val="decimal"/>
      <w:start w:val="2"/>
    </w:lvl>
  </w:abstractNum>
  <w:abstractNum w:abstractNumId="161">
    <w:nsid w:val="7E448DE9"/>
    <w:multiLevelType w:val="hybridMultilevel"/>
    <w:lvl w:ilvl="0">
      <w:lvlJc w:val="left"/>
      <w:lvlText w:val="(%1)"/>
      <w:numFmt w:val="decimal"/>
      <w:start w:val="2"/>
    </w:lvl>
  </w:abstractNum>
  <w:abstractNum w:abstractNumId="162">
    <w:nsid w:val="5A9CC3E5"/>
    <w:multiLevelType w:val="hybridMultilevel"/>
    <w:lvl w:ilvl="0">
      <w:lvlJc w:val="left"/>
      <w:lvlText w:val="(%1)"/>
      <w:numFmt w:val="decimal"/>
      <w:start w:val="1"/>
    </w:lvl>
  </w:abstractNum>
  <w:abstractNum w:abstractNumId="163">
    <w:nsid w:val="1AFE3625"/>
    <w:multiLevelType w:val="hybridMultilevel"/>
    <w:lvl w:ilvl="0">
      <w:lvlJc w:val="left"/>
      <w:lvlText w:val="(%1)"/>
      <w:numFmt w:val="decimal"/>
      <w:start w:val="6"/>
    </w:lvl>
  </w:abstractNum>
  <w:abstractNum w:abstractNumId="164">
    <w:nsid w:val="3CA88ECF"/>
    <w:multiLevelType w:val="hybridMultilevel"/>
    <w:lvl w:ilvl="0">
      <w:lvlJc w:val="left"/>
      <w:lvlText w:val="(%1)"/>
      <w:numFmt w:val="decimal"/>
      <w:start w:val="1"/>
    </w:lvl>
  </w:abstractNum>
  <w:abstractNum w:abstractNumId="165">
    <w:nsid w:val="6EBE4208"/>
    <w:multiLevelType w:val="hybridMultilevel"/>
    <w:lvl w:ilvl="0">
      <w:lvlJc w:val="left"/>
      <w:lvlText w:val="(%1)"/>
      <w:numFmt w:val="decimal"/>
      <w:start w:val="1"/>
    </w:lvl>
  </w:abstractNum>
  <w:abstractNum w:abstractNumId="166">
    <w:nsid w:val="C058DF5"/>
    <w:multiLevelType w:val="hybridMultilevel"/>
    <w:lvl w:ilvl="0">
      <w:lvlJc w:val="left"/>
      <w:lvlText w:val="(%1)"/>
      <w:numFmt w:val="decimal"/>
      <w:start w:val="1"/>
    </w:lvl>
  </w:abstractNum>
  <w:abstractNum w:abstractNumId="167">
    <w:nsid w:val="CBE5BE9"/>
    <w:multiLevelType w:val="hybridMultilevel"/>
    <w:lvl w:ilvl="0">
      <w:lvlJc w:val="left"/>
      <w:lvlText w:val="(%1)"/>
      <w:numFmt w:val="decimal"/>
      <w:start w:val="1"/>
    </w:lvl>
  </w:abstractNum>
  <w:abstractNum w:abstractNumId="168">
    <w:nsid w:val="3102BBE2"/>
    <w:multiLevelType w:val="hybridMultilevel"/>
    <w:lvl w:ilvl="0">
      <w:lvlJc w:val="left"/>
      <w:lvlText w:val="(%1)"/>
      <w:numFmt w:val="decimal"/>
      <w:start w:val="1"/>
    </w:lvl>
  </w:abstractNum>
  <w:abstractNum w:abstractNumId="169">
    <w:nsid w:val="26A02C5E"/>
    <w:multiLevelType w:val="hybridMultilevel"/>
    <w:lvl w:ilvl="0">
      <w:lvlJc w:val="left"/>
      <w:lvlText w:val="(%1)"/>
      <w:numFmt w:val="decimal"/>
      <w:start w:val="1"/>
    </w:lvl>
  </w:abstractNum>
  <w:abstractNum w:abstractNumId="170">
    <w:nsid w:val="541C8153"/>
    <w:multiLevelType w:val="hybridMultilevel"/>
    <w:lvl w:ilvl="0">
      <w:lvlJc w:val="left"/>
      <w:lvlText w:val="(%1)"/>
      <w:numFmt w:val="decimal"/>
      <w:start w:val="1"/>
    </w:lvl>
    <w:lvl w:ilvl="1">
      <w:lvlJc w:val="left"/>
      <w:lvlText w:val="(%2)"/>
      <w:numFmt w:val="lowerLetter"/>
      <w:start w:val="1"/>
    </w:lvl>
  </w:abstractNum>
  <w:abstractNum w:abstractNumId="171">
    <w:nsid w:val="67906F60"/>
    <w:multiLevelType w:val="hybridMultilevel"/>
    <w:lvl w:ilvl="0">
      <w:lvlJc w:val="left"/>
      <w:lvlText w:val="(%1)"/>
      <w:numFmt w:val="decimal"/>
      <w:start w:val="1"/>
    </w:lvl>
  </w:abstractNum>
  <w:abstractNum w:abstractNumId="172">
    <w:nsid w:val="10DB9DAA"/>
    <w:multiLevelType w:val="hybridMultilevel"/>
    <w:lvl w:ilvl="0">
      <w:lvlJc w:val="left"/>
      <w:lvlText w:val="(%1)"/>
      <w:numFmt w:val="decimal"/>
      <w:start w:val="1"/>
    </w:lvl>
  </w:abstractNum>
  <w:abstractNum w:abstractNumId="173">
    <w:nsid w:val="697D2D2"/>
    <w:multiLevelType w:val="hybridMultilevel"/>
    <w:lvl w:ilvl="0">
      <w:lvlJc w:val="left"/>
      <w:lvlText w:val="(%1)"/>
      <w:numFmt w:val="decimal"/>
      <w:start w:val="1"/>
    </w:lvl>
  </w:abstractNum>
  <w:abstractNum w:abstractNumId="174">
    <w:nsid w:val="6D68AB2"/>
    <w:multiLevelType w:val="hybridMultilevel"/>
    <w:lvl w:ilvl="0">
      <w:lvlJc w:val="left"/>
      <w:lvlText w:val="(%1)"/>
      <w:numFmt w:val="decimal"/>
      <w:start w:val="1"/>
    </w:lvl>
  </w:abstractNum>
  <w:abstractNum w:abstractNumId="175">
    <w:nsid w:val="3A966CD0"/>
    <w:multiLevelType w:val="hybridMultilevel"/>
    <w:lvl w:ilvl="0">
      <w:lvlJc w:val="left"/>
      <w:lvlText w:val="(%1)"/>
      <w:numFmt w:val="decimal"/>
      <w:start w:val="3"/>
    </w:lvl>
  </w:abstractNum>
  <w:abstractNum w:abstractNumId="176">
    <w:nsid w:val="63F37E85"/>
    <w:multiLevelType w:val="hybridMultilevel"/>
    <w:lvl w:ilvl="0">
      <w:lvlJc w:val="left"/>
      <w:lvlText w:val="%1"/>
      <w:numFmt w:val="lowerRoman"/>
      <w:start w:val="1"/>
    </w:lvl>
    <w:lvl w:ilvl="1">
      <w:lvlJc w:val="left"/>
      <w:lvlText w:val="(%2)"/>
      <w:numFmt w:val="decimal"/>
      <w:start w:val="1"/>
    </w:lvl>
  </w:abstractNum>
  <w:abstractNum w:abstractNumId="177">
    <w:nsid w:val="5895F5FA"/>
    <w:multiLevelType w:val="hybridMultilevel"/>
    <w:lvl w:ilvl="0">
      <w:lvlJc w:val="left"/>
      <w:lvlText w:val="(%1)"/>
      <w:numFmt w:val="lowerRoman"/>
      <w:start w:val="2"/>
    </w:lvl>
    <w:lvl w:ilvl="1">
      <w:lvlJc w:val="left"/>
      <w:lvlText w:val="(%2)"/>
      <w:numFmt w:val="decimal"/>
      <w:start w:val="4"/>
    </w:lvl>
  </w:abstractNum>
  <w:abstractNum w:abstractNumId="178">
    <w:nsid w:val="38A5D054"/>
    <w:multiLevelType w:val="hybridMultilevel"/>
    <w:lvl w:ilvl="0">
      <w:lvlJc w:val="left"/>
      <w:lvlText w:val="(%1)"/>
      <w:numFmt w:val="decimal"/>
      <w:start w:val="1"/>
    </w:lvl>
  </w:abstractNum>
  <w:abstractNum w:abstractNumId="179">
    <w:nsid w:val="F3F09D8"/>
    <w:multiLevelType w:val="hybridMultilevel"/>
    <w:lvl w:ilvl="0">
      <w:lvlJc w:val="left"/>
      <w:lvlText w:val="%1"/>
      <w:numFmt w:val="lowerLetter"/>
      <w:start w:val="1"/>
    </w:lvl>
    <w:lvl w:ilvl="1">
      <w:lvlJc w:val="left"/>
      <w:lvlText w:val="(%2)"/>
      <w:numFmt w:val="decimal"/>
      <w:start w:val="2"/>
    </w:lvl>
  </w:abstractNum>
  <w:abstractNum w:abstractNumId="180">
    <w:nsid w:val="4B793735"/>
    <w:multiLevelType w:val="hybridMultilevel"/>
    <w:lvl w:ilvl="0">
      <w:lvlJc w:val="left"/>
      <w:lvlText w:val="(%1)"/>
      <w:numFmt w:val="lowerLetter"/>
      <w:start w:val="1"/>
    </w:lvl>
    <w:lvl w:ilvl="1">
      <w:lvlJc w:val="left"/>
      <w:lvlText w:val="(%2)"/>
      <w:numFmt w:val="decimal"/>
      <w:start w:val="3"/>
    </w:lvl>
  </w:abstractNum>
  <w:abstractNum w:abstractNumId="181">
    <w:nsid w:val="4A10B4E8"/>
    <w:multiLevelType w:val="hybridMultilevel"/>
    <w:lvl w:ilvl="0">
      <w:lvlJc w:val="left"/>
      <w:lvlText w:val="(%1)"/>
      <w:numFmt w:val="decimal"/>
      <w:start w:val="1"/>
    </w:lvl>
    <w:lvl w:ilvl="1">
      <w:lvlJc w:val="left"/>
      <w:lvlText w:val="(%2)"/>
      <w:numFmt w:val="lowerLetter"/>
      <w:start w:val="1"/>
    </w:lvl>
  </w:abstractNum>
  <w:abstractNum w:abstractNumId="182">
    <w:nsid w:val="43D3BCD4"/>
    <w:multiLevelType w:val="hybridMultilevel"/>
    <w:lvl w:ilvl="0">
      <w:lvlJc w:val="left"/>
      <w:lvlText w:val="(%1)"/>
      <w:numFmt w:val="decimal"/>
      <w:start w:val="6"/>
    </w:lvl>
  </w:abstractNum>
  <w:abstractNum w:abstractNumId="183">
    <w:nsid w:val="4C2A7166"/>
    <w:multiLevelType w:val="hybridMultilevel"/>
    <w:lvl w:ilvl="0">
      <w:lvlJc w:val="left"/>
      <w:lvlText w:val="(%1)"/>
      <w:numFmt w:val="decimal"/>
      <w:start w:val="1"/>
    </w:lvl>
    <w:lvl w:ilvl="1">
      <w:lvlJc w:val="left"/>
      <w:lvlText w:val="(%2)"/>
      <w:numFmt w:val="lowerLetter"/>
      <w:start w:val="1"/>
    </w:lvl>
  </w:abstractNum>
  <w:abstractNum w:abstractNumId="184">
    <w:nsid w:val="2E534A82"/>
    <w:multiLevelType w:val="hybridMultilevel"/>
    <w:lvl w:ilvl="0">
      <w:lvlJc w:val="left"/>
      <w:lvlText w:val="%1"/>
      <w:numFmt w:val="decimal"/>
      <w:start w:val="1"/>
    </w:lvl>
    <w:lvl w:ilvl="1">
      <w:lvlJc w:val="left"/>
      <w:lvlText w:val="(%2)"/>
      <w:numFmt w:val="lowerLetter"/>
      <w:start w:val="2"/>
    </w:lvl>
  </w:abstractNum>
  <w:abstractNum w:abstractNumId="185">
    <w:nsid w:val="26F2D364"/>
    <w:multiLevelType w:val="hybridMultilevel"/>
    <w:lvl w:ilvl="0">
      <w:lvlJc w:val="left"/>
      <w:lvlText w:val="(%1)"/>
      <w:numFmt w:val="decimal"/>
      <w:start w:val="3"/>
    </w:lvl>
    <w:lvl w:ilvl="1">
      <w:lvlJc w:val="left"/>
      <w:lvlText w:val="%2"/>
      <w:numFmt w:val="lowerLetter"/>
      <w:start w:val="1"/>
    </w:lvl>
  </w:abstractNum>
  <w:abstractNum w:abstractNumId="186">
    <w:nsid w:val="71C1AF98"/>
    <w:multiLevelType w:val="hybridMultilevel"/>
    <w:lvl w:ilvl="0">
      <w:lvlJc w:val="left"/>
      <w:lvlText w:val="(%1)"/>
      <w:numFmt w:val="decimal"/>
      <w:start w:val="13"/>
    </w:lvl>
    <w:lvl w:ilvl="1">
      <w:lvlJc w:val="left"/>
      <w:lvlText w:val="(%2)"/>
      <w:numFmt w:val="lowerLetter"/>
      <w:start w:val="1"/>
    </w:lvl>
  </w:abstractNum>
  <w:abstractNum w:abstractNumId="187">
    <w:nsid w:val="3D00B9D9"/>
    <w:multiLevelType w:val="hybridMultilevel"/>
    <w:lvl w:ilvl="0">
      <w:lvlJc w:val="left"/>
      <w:lvlText w:val="(%1)"/>
      <w:numFmt w:val="decimal"/>
      <w:start w:val="22"/>
    </w:lvl>
    <w:lvl w:ilvl="1">
      <w:lvlJc w:val="left"/>
      <w:lvlText w:val="(%2)"/>
      <w:numFmt w:val="lowerLetter"/>
      <w:start w:val="1"/>
    </w:lvl>
  </w:abstractNum>
  <w:abstractNum w:abstractNumId="188">
    <w:nsid w:val="15BCABA8"/>
    <w:multiLevelType w:val="hybridMultilevel"/>
    <w:lvl w:ilvl="0">
      <w:lvlJc w:val="left"/>
      <w:lvlText w:val="(%1)"/>
      <w:numFmt w:val="decimal"/>
      <w:start w:val="1"/>
    </w:lvl>
  </w:abstractNum>
  <w:abstractNum w:abstractNumId="189">
    <w:nsid w:val="4E0B9A87"/>
    <w:multiLevelType w:val="hybridMultilevel"/>
    <w:lvl w:ilvl="0">
      <w:lvlJc w:val="left"/>
      <w:lvlText w:val="(%1)"/>
      <w:numFmt w:val="decimal"/>
      <w:start w:val="1"/>
    </w:lvl>
  </w:abstractNum>
  <w:abstractNum w:abstractNumId="190">
    <w:nsid w:val="434BAE75"/>
    <w:multiLevelType w:val="hybridMultilevel"/>
    <w:lvl w:ilvl="0">
      <w:lvlJc w:val="left"/>
      <w:lvlText w:val="(%1)"/>
      <w:numFmt w:val="decimal"/>
      <w:start w:val="1"/>
    </w:lvl>
  </w:abstractNum>
  <w:abstractNum w:abstractNumId="191">
    <w:nsid w:val="4F38F265"/>
    <w:multiLevelType w:val="hybridMultilevel"/>
    <w:lvl w:ilvl="0">
      <w:lvlJc w:val="left"/>
      <w:lvlText w:val="(%1)"/>
      <w:numFmt w:val="decimal"/>
      <w:start w:val="1"/>
    </w:lvl>
  </w:abstractNum>
  <w:abstractNum w:abstractNumId="192">
    <w:nsid w:val="4C502870"/>
    <w:multiLevelType w:val="hybridMultilevel"/>
    <w:lvl w:ilvl="0">
      <w:lvlJc w:val="left"/>
      <w:lvlText w:val="(%1)"/>
      <w:numFmt w:val="decimal"/>
      <w:start w:val="1"/>
    </w:lvl>
  </w:abstractNum>
  <w:abstractNum w:abstractNumId="193">
    <w:nsid w:val="1DE8725A"/>
    <w:multiLevelType w:val="hybridMultilevel"/>
    <w:lvl w:ilvl="0">
      <w:lvlJc w:val="left"/>
      <w:lvlText w:val="(%1)"/>
      <w:numFmt w:val="decimal"/>
      <w:start w:val="1"/>
    </w:lvl>
  </w:abstractNum>
  <w:abstractNum w:abstractNumId="194">
    <w:nsid w:val="6A37288A"/>
    <w:multiLevelType w:val="hybridMultilevel"/>
    <w:lvl w:ilvl="0">
      <w:lvlJc w:val="left"/>
      <w:lvlText w:val="(%1)"/>
      <w:numFmt w:val="decimal"/>
      <w:start w:val="2"/>
    </w:lvl>
  </w:abstractNum>
  <w:abstractNum w:abstractNumId="195">
    <w:nsid w:val="8F8B73F"/>
    <w:multiLevelType w:val="hybridMultilevel"/>
    <w:lvl w:ilvl="0">
      <w:lvlJc w:val="left"/>
      <w:lvlText w:val="(%1)"/>
      <w:numFmt w:val="decimal"/>
      <w:start w:val="1"/>
    </w:lvl>
  </w:abstractNum>
  <w:abstractNum w:abstractNumId="196">
    <w:nsid w:val="CA6B462"/>
    <w:multiLevelType w:val="hybridMultilevel"/>
    <w:lvl w:ilvl="0">
      <w:lvlJc w:val="left"/>
      <w:lvlText w:val="(%1)"/>
      <w:numFmt w:val="decimal"/>
      <w:start w:val="1"/>
    </w:lvl>
  </w:abstractNum>
  <w:abstractNum w:abstractNumId="197">
    <w:nsid w:val="763CB680"/>
    <w:multiLevelType w:val="hybridMultilevel"/>
    <w:lvl w:ilvl="0">
      <w:lvlJc w:val="left"/>
      <w:lvlText w:val="•"/>
      <w:numFmt w:val="bullet"/>
      <w:start w:val="1"/>
    </w:lvl>
  </w:abstractNum>
  <w:abstractNum w:abstractNumId="198">
    <w:nsid w:val="15B71329"/>
    <w:multiLevelType w:val="hybridMultilevel"/>
    <w:lvl w:ilvl="0">
      <w:lvlJc w:val="left"/>
      <w:lvlText w:val="•"/>
      <w:numFmt w:val="bullet"/>
      <w:start w:val="1"/>
    </w:lvl>
  </w:abstractNum>
  <w:abstractNum w:abstractNumId="199">
    <w:nsid w:val="3DA97044"/>
    <w:multiLevelType w:val="hybridMultilevel"/>
    <w:lvl w:ilvl="0">
      <w:lvlJc w:val="left"/>
      <w:lvlText w:val="•"/>
      <w:numFmt w:val="bullet"/>
      <w:start w:val="1"/>
    </w:lvl>
  </w:abstractNum>
  <w:abstractNum w:abstractNumId="200">
    <w:nsid w:val="1CDCE2DE"/>
    <w:multiLevelType w:val="hybridMultilevel"/>
    <w:lvl w:ilvl="0">
      <w:lvlJc w:val="left"/>
      <w:lvlText w:val="•"/>
      <w:numFmt w:val="bullet"/>
      <w:start w:val="1"/>
    </w:lvl>
  </w:abstractNum>
  <w:abstractNum w:abstractNumId="201">
    <w:nsid w:val="69D3947C"/>
    <w:multiLevelType w:val="hybridMultilevel"/>
    <w:lvl w:ilvl="0">
      <w:lvlJc w:val="left"/>
      <w:lvlText w:val="•"/>
      <w:numFmt w:val="bullet"/>
      <w:start w:val="1"/>
    </w:lvl>
  </w:abstractNum>
  <w:abstractNum w:abstractNumId="202">
    <w:nsid w:val="2539DFA5"/>
    <w:multiLevelType w:val="hybridMultilevel"/>
    <w:lvl w:ilvl="0">
      <w:lvlJc w:val="left"/>
      <w:lvlText w:val="•"/>
      <w:numFmt w:val="bullet"/>
      <w:start w:val="1"/>
    </w:lvl>
  </w:abstractNum>
  <w:abstractNum w:abstractNumId="203">
    <w:nsid w:val="2DB88089"/>
    <w:multiLevelType w:val="hybridMultilevel"/>
    <w:lvl w:ilvl="0">
      <w:lvlJc w:val="left"/>
      <w:lvlText w:val="•"/>
      <w:numFmt w:val="bullet"/>
      <w:start w:val="1"/>
    </w:lvl>
  </w:abstractNum>
  <w:abstractNum w:abstractNumId="204">
    <w:nsid w:val="706B674E"/>
    <w:multiLevelType w:val="hybridMultilevel"/>
    <w:lvl w:ilvl="0">
      <w:lvlJc w:val="left"/>
      <w:lvlText w:val="*"/>
      <w:numFmt w:val="bullet"/>
      <w:start w:val="1"/>
    </w:lvl>
  </w:abstractNum>
  <w:abstractNum w:abstractNumId="205">
    <w:nsid w:val="2C106A57"/>
    <w:multiLevelType w:val="hybridMultilevel"/>
    <w:lvl w:ilvl="0">
      <w:lvlJc w:val="left"/>
      <w:lvlText w:val="(%1)"/>
      <w:numFmt w:val="decimal"/>
      <w:start w:val="3"/>
    </w:lvl>
  </w:abstractNum>
  <w:abstractNum w:abstractNumId="206">
    <w:nsid w:val="684EED59"/>
    <w:multiLevelType w:val="hybridMultilevel"/>
    <w:lvl w:ilvl="0">
      <w:lvlJc w:val="left"/>
      <w:lvlText w:val="%1."/>
      <w:numFmt w:val="decimal"/>
      <w:start w:val="11"/>
    </w:lvl>
  </w:abstractNum>
  <w:abstractNum w:abstractNumId="207">
    <w:nsid w:val="545EE5D3"/>
    <w:multiLevelType w:val="hybridMultilevel"/>
    <w:lvl w:ilvl="0">
      <w:lvlJc w:val="left"/>
      <w:lvlText w:val="%1."/>
      <w:numFmt w:val="decimal"/>
      <w:start w:val="12"/>
    </w:lvl>
  </w:abstractNum>
  <w:abstractNum w:abstractNumId="208">
    <w:nsid w:val="4A66051"/>
    <w:multiLevelType w:val="hybridMultilevel"/>
    <w:lvl w:ilvl="0">
      <w:lvlJc w:val="left"/>
      <w:lvlText w:val="(%1)"/>
      <w:numFmt w:val="decimal"/>
      <w:start w:val="1"/>
    </w:lvl>
  </w:abstractNum>
  <w:abstractNum w:abstractNumId="209">
    <w:nsid w:val="20F4BDAD"/>
    <w:multiLevelType w:val="hybridMultilevel"/>
    <w:lvl w:ilvl="0">
      <w:lvlJc w:val="left"/>
      <w:lvlText w:val="(%1)"/>
      <w:numFmt w:val="decimal"/>
      <w:start w:val="6"/>
    </w:lvl>
  </w:abstractNum>
  <w:abstractNum w:abstractNumId="210">
    <w:nsid w:val="639DEFA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1">
    <w:nsid w:val="501F9786"/>
    <w:multiLevelType w:val="hybridMultilevel"/>
    <w:lvl w:ilvl="0">
      <w:lvlJc w:val="left"/>
      <w:lvlText w:val="%1"/>
      <w:numFmt w:val="decimal"/>
      <w:start w:val="1"/>
    </w:lvl>
    <w:lvl w:ilvl="1">
      <w:lvlJc w:val="left"/>
      <w:lvlText w:val="(%2)"/>
      <w:numFmt w:val="lowerRoman"/>
      <w:start w:val="3"/>
    </w:lvl>
  </w:abstractNum>
  <w:abstractNum w:abstractNumId="212">
    <w:nsid w:val="6B057295"/>
    <w:multiLevelType w:val="hybridMultilevel"/>
    <w:lvl w:ilvl="0">
      <w:lvlJc w:val="left"/>
      <w:lvlText w:val="(%1)"/>
      <w:numFmt w:val="decimal"/>
      <w:start w:val="2"/>
    </w:lvl>
    <w:lvl w:ilvl="1">
      <w:lvlJc w:val="left"/>
      <w:lvlText w:val="(%2)"/>
      <w:numFmt w:val="lowerRoman"/>
      <w:start w:val="1"/>
    </w:lvl>
  </w:abstractNum>
  <w:abstractNum w:abstractNumId="213">
    <w:nsid w:val="2771AC80"/>
    <w:multiLevelType w:val="hybridMultilevel"/>
    <w:lvl w:ilvl="0">
      <w:lvlJc w:val="left"/>
      <w:lvlText w:val="(%1)"/>
      <w:numFmt w:val="lowerLetter"/>
      <w:start w:val="2"/>
    </w:lvl>
    <w:lvl w:ilvl="1">
      <w:lvlJc w:val="left"/>
      <w:lvlText w:val="(%2)"/>
      <w:numFmt w:val="decimal"/>
      <w:start w:val="1"/>
    </w:lvl>
  </w:abstractNum>
  <w:abstractNum w:abstractNumId="214">
    <w:nsid w:val="1C4A08EC"/>
    <w:multiLevelType w:val="hybridMultilevel"/>
    <w:lvl w:ilvl="0">
      <w:lvlJc w:val="left"/>
      <w:lvlText w:val="(%1)"/>
      <w:numFmt w:val="decimal"/>
      <w:start w:val="1"/>
    </w:lvl>
  </w:abstractNum>
  <w:abstractNum w:abstractNumId="215">
    <w:nsid w:val="1958BD17"/>
    <w:multiLevelType w:val="hybridMultilevel"/>
    <w:lvl w:ilvl="0">
      <w:lvlJc w:val="left"/>
      <w:lvlText w:val="(%1)"/>
      <w:numFmt w:val="decimal"/>
      <w:start w:val="702"/>
    </w:lvl>
  </w:abstractNum>
  <w:abstractNum w:abstractNumId="216">
    <w:nsid w:val="4E647FE4"/>
    <w:multiLevelType w:val="hybridMultilevel"/>
    <w:lvl w:ilvl="0">
      <w:lvlJc w:val="left"/>
      <w:lvlText w:val="%1."/>
      <w:numFmt w:val="decimal"/>
      <w:start w:val="1"/>
    </w:lvl>
  </w:abstractNum>
  <w:abstractNum w:abstractNumId="217">
    <w:nsid w:val="E0BB885"/>
    <w:multiLevelType w:val="hybridMultilevel"/>
    <w:lvl w:ilvl="0">
      <w:lvlJc w:val="left"/>
      <w:lvlText w:val="%1."/>
      <w:numFmt w:val="decimal"/>
      <w:start w:val="3"/>
    </w:lvl>
  </w:abstractNum>
  <w:abstractNum w:abstractNumId="218">
    <w:nsid w:val="565976F1"/>
    <w:multiLevelType w:val="hybridMultilevel"/>
    <w:lvl w:ilvl="0">
      <w:lvlJc w:val="left"/>
      <w:lvlText w:val="(%1)"/>
      <w:numFmt w:val="lowerLetter"/>
      <w:start w:val="1"/>
    </w:lvl>
  </w:abstractNum>
  <w:abstractNum w:abstractNumId="219">
    <w:nsid w:val="64212B8C"/>
    <w:multiLevelType w:val="hybridMultilevel"/>
    <w:lvl w:ilvl="0">
      <w:lvlJc w:val="left"/>
      <w:lvlText w:val="%1."/>
      <w:numFmt w:val="decimal"/>
      <w:start w:val="6"/>
    </w:lvl>
  </w:abstractNum>
  <w:abstractNum w:abstractNumId="220">
    <w:nsid w:val="5C17530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2019-12-15T08:19:45Z</dcterms:created>
  <dcterms:modified xsi:type="dcterms:W3CDTF">2019-12-15T08:19:45Z</dcterms:modified>
</cp:coreProperties>
</file>