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26,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6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4420" w:type="dxa"/>
            <w:vAlign w:val="bottom"/>
          </w:tcPr>
          <w:p>
            <w:pPr>
              <w:jc w:val="center"/>
              <w:ind w:right="632"/>
              <w:spacing w:after="0"/>
              <w:rPr>
                <w:sz w:val="20"/>
                <w:szCs w:val="20"/>
                <w:color w:val="auto"/>
              </w:rPr>
            </w:pPr>
            <w:r>
              <w:rPr>
                <w:rFonts w:ascii="Arial" w:cs="Arial" w:eastAsia="Arial" w:hAnsi="Arial"/>
                <w:sz w:val="14"/>
                <w:szCs w:val="14"/>
                <w:b w:val="1"/>
                <w:bCs w:val="1"/>
                <w:color w:val="auto"/>
                <w:w w:val="89"/>
              </w:rPr>
              <w:t>7990</w:t>
            </w:r>
          </w:p>
        </w:tc>
        <w:tc>
          <w:tcPr>
            <w:tcW w:w="3020" w:type="dxa"/>
            <w:vAlign w:val="bottom"/>
          </w:tcPr>
          <w:p>
            <w:pPr>
              <w:jc w:val="center"/>
              <w:ind w:left="169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3560" w:type="dxa"/>
            <w:vAlign w:val="bottom"/>
          </w:tcPr>
          <w:p>
            <w:pPr>
              <w:jc w:val="center"/>
              <w:ind w:right="1012"/>
              <w:spacing w:after="0" w:line="149" w:lineRule="exact"/>
              <w:rPr>
                <w:sz w:val="20"/>
                <w:szCs w:val="20"/>
                <w:color w:val="auto"/>
              </w:rPr>
            </w:pPr>
            <w:r>
              <w:rPr>
                <w:rFonts w:ascii="Arial" w:cs="Arial" w:eastAsia="Arial" w:hAnsi="Arial"/>
                <w:sz w:val="14"/>
                <w:szCs w:val="14"/>
                <w:color w:val="auto"/>
                <w:w w:val="89"/>
              </w:rPr>
              <w:t>(State or other jurisdiction of incorporation or</w:t>
            </w:r>
          </w:p>
        </w:tc>
        <w:tc>
          <w:tcPr>
            <w:tcW w:w="4420" w:type="dxa"/>
            <w:vAlign w:val="bottom"/>
          </w:tcPr>
          <w:p>
            <w:pPr>
              <w:jc w:val="center"/>
              <w:ind w:right="612"/>
              <w:spacing w:after="0" w:line="149" w:lineRule="exact"/>
              <w:rPr>
                <w:sz w:val="20"/>
                <w:szCs w:val="20"/>
                <w:color w:val="auto"/>
              </w:rPr>
            </w:pPr>
            <w:r>
              <w:rPr>
                <w:rFonts w:ascii="Arial" w:cs="Arial" w:eastAsia="Arial" w:hAnsi="Arial"/>
                <w:sz w:val="14"/>
                <w:szCs w:val="14"/>
                <w:color w:val="auto"/>
                <w:w w:val="88"/>
              </w:rPr>
              <w:t>(Primary Standard Industrial</w:t>
            </w:r>
          </w:p>
        </w:tc>
        <w:tc>
          <w:tcPr>
            <w:tcW w:w="302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560" w:type="dxa"/>
            <w:vAlign w:val="bottom"/>
          </w:tcPr>
          <w:p>
            <w:pPr>
              <w:jc w:val="center"/>
              <w:ind w:right="1012"/>
              <w:spacing w:after="0"/>
              <w:rPr>
                <w:sz w:val="20"/>
                <w:szCs w:val="20"/>
                <w:color w:val="auto"/>
              </w:rPr>
            </w:pPr>
            <w:r>
              <w:rPr>
                <w:rFonts w:ascii="Arial" w:cs="Arial" w:eastAsia="Arial" w:hAnsi="Arial"/>
                <w:sz w:val="14"/>
                <w:szCs w:val="14"/>
                <w:color w:val="auto"/>
                <w:w w:val="88"/>
              </w:rPr>
              <w:t>organization)</w:t>
            </w:r>
          </w:p>
        </w:tc>
        <w:tc>
          <w:tcPr>
            <w:tcW w:w="4420" w:type="dxa"/>
            <w:vAlign w:val="bottom"/>
          </w:tcPr>
          <w:p>
            <w:pPr>
              <w:jc w:val="center"/>
              <w:ind w:right="612"/>
              <w:spacing w:after="0"/>
              <w:rPr>
                <w:sz w:val="20"/>
                <w:szCs w:val="20"/>
                <w:color w:val="auto"/>
              </w:rPr>
            </w:pPr>
            <w:r>
              <w:rPr>
                <w:rFonts w:ascii="Arial" w:cs="Arial" w:eastAsia="Arial" w:hAnsi="Arial"/>
                <w:sz w:val="14"/>
                <w:szCs w:val="14"/>
                <w:color w:val="auto"/>
                <w:w w:val="88"/>
              </w:rPr>
              <w:t>Classification Code Number)</w:t>
            </w:r>
          </w:p>
        </w:tc>
        <w:tc>
          <w:tcPr>
            <w:tcW w:w="3020" w:type="dxa"/>
            <w:vAlign w:val="bottom"/>
          </w:tcPr>
          <w:p>
            <w:pPr>
              <w:jc w:val="center"/>
              <w:ind w:left="171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6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4420" w:type="dxa"/>
            <w:vAlign w:val="bottom"/>
          </w:tcPr>
          <w:p>
            <w:pPr>
              <w:jc w:val="center"/>
              <w:ind w:right="632"/>
              <w:spacing w:after="0"/>
              <w:rPr>
                <w:sz w:val="20"/>
                <w:szCs w:val="20"/>
                <w:color w:val="auto"/>
              </w:rPr>
            </w:pPr>
            <w:r>
              <w:rPr>
                <w:rFonts w:ascii="Arial" w:cs="Arial" w:eastAsia="Arial" w:hAnsi="Arial"/>
                <w:sz w:val="14"/>
                <w:szCs w:val="14"/>
                <w:b w:val="1"/>
                <w:bCs w:val="1"/>
                <w:color w:val="auto"/>
                <w:w w:val="89"/>
              </w:rPr>
              <w:t>7990</w:t>
            </w:r>
          </w:p>
        </w:tc>
        <w:tc>
          <w:tcPr>
            <w:tcW w:w="3020" w:type="dxa"/>
            <w:vAlign w:val="bottom"/>
          </w:tcPr>
          <w:p>
            <w:pPr>
              <w:jc w:val="center"/>
              <w:ind w:left="169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3560" w:type="dxa"/>
            <w:vAlign w:val="bottom"/>
          </w:tcPr>
          <w:p>
            <w:pPr>
              <w:jc w:val="center"/>
              <w:ind w:right="1012"/>
              <w:spacing w:after="0" w:line="149" w:lineRule="exact"/>
              <w:rPr>
                <w:sz w:val="20"/>
                <w:szCs w:val="20"/>
                <w:color w:val="auto"/>
              </w:rPr>
            </w:pPr>
            <w:r>
              <w:rPr>
                <w:rFonts w:ascii="Arial" w:cs="Arial" w:eastAsia="Arial" w:hAnsi="Arial"/>
                <w:sz w:val="14"/>
                <w:szCs w:val="14"/>
                <w:color w:val="auto"/>
                <w:w w:val="89"/>
              </w:rPr>
              <w:t>(State or other jurisdiction of incorporation or</w:t>
            </w:r>
          </w:p>
        </w:tc>
        <w:tc>
          <w:tcPr>
            <w:tcW w:w="4420" w:type="dxa"/>
            <w:vAlign w:val="bottom"/>
          </w:tcPr>
          <w:p>
            <w:pPr>
              <w:jc w:val="center"/>
              <w:ind w:right="612"/>
              <w:spacing w:after="0" w:line="149" w:lineRule="exact"/>
              <w:rPr>
                <w:sz w:val="20"/>
                <w:szCs w:val="20"/>
                <w:color w:val="auto"/>
              </w:rPr>
            </w:pPr>
            <w:r>
              <w:rPr>
                <w:rFonts w:ascii="Arial" w:cs="Arial" w:eastAsia="Arial" w:hAnsi="Arial"/>
                <w:sz w:val="14"/>
                <w:szCs w:val="14"/>
                <w:color w:val="auto"/>
                <w:w w:val="88"/>
              </w:rPr>
              <w:t>(Primary Standard Industrial</w:t>
            </w:r>
          </w:p>
        </w:tc>
        <w:tc>
          <w:tcPr>
            <w:tcW w:w="3020" w:type="dxa"/>
            <w:vAlign w:val="bottom"/>
          </w:tcPr>
          <w:p>
            <w:pPr>
              <w:jc w:val="center"/>
              <w:ind w:left="17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560" w:type="dxa"/>
            <w:vAlign w:val="bottom"/>
          </w:tcPr>
          <w:p>
            <w:pPr>
              <w:jc w:val="center"/>
              <w:ind w:right="1012"/>
              <w:spacing w:after="0"/>
              <w:rPr>
                <w:sz w:val="20"/>
                <w:szCs w:val="20"/>
                <w:color w:val="auto"/>
              </w:rPr>
            </w:pPr>
            <w:r>
              <w:rPr>
                <w:rFonts w:ascii="Arial" w:cs="Arial" w:eastAsia="Arial" w:hAnsi="Arial"/>
                <w:sz w:val="14"/>
                <w:szCs w:val="14"/>
                <w:color w:val="auto"/>
                <w:w w:val="88"/>
              </w:rPr>
              <w:t>organization)</w:t>
            </w:r>
          </w:p>
        </w:tc>
        <w:tc>
          <w:tcPr>
            <w:tcW w:w="4420" w:type="dxa"/>
            <w:vAlign w:val="bottom"/>
          </w:tcPr>
          <w:p>
            <w:pPr>
              <w:jc w:val="center"/>
              <w:ind w:right="612"/>
              <w:spacing w:after="0"/>
              <w:rPr>
                <w:sz w:val="20"/>
                <w:szCs w:val="20"/>
                <w:color w:val="auto"/>
              </w:rPr>
            </w:pPr>
            <w:r>
              <w:rPr>
                <w:rFonts w:ascii="Arial" w:cs="Arial" w:eastAsia="Arial" w:hAnsi="Arial"/>
                <w:sz w:val="14"/>
                <w:szCs w:val="14"/>
                <w:color w:val="auto"/>
                <w:w w:val="88"/>
              </w:rPr>
              <w:t>Classification Code Number)</w:t>
            </w:r>
          </w:p>
        </w:tc>
        <w:tc>
          <w:tcPr>
            <w:tcW w:w="3020" w:type="dxa"/>
            <w:vAlign w:val="bottom"/>
          </w:tcPr>
          <w:p>
            <w:pPr>
              <w:jc w:val="center"/>
              <w:ind w:left="171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4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5160" w:type="dxa"/>
            <w:vAlign w:val="bottom"/>
          </w:tcPr>
          <w:p>
            <w:pPr>
              <w:ind w:left="90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900" w:type="dxa"/>
            <w:vAlign w:val="bottom"/>
          </w:tcPr>
          <w:p>
            <w:pPr>
              <w:jc w:val="center"/>
              <w:ind w:right="812"/>
              <w:spacing w:after="0"/>
              <w:rPr>
                <w:sz w:val="20"/>
                <w:szCs w:val="20"/>
                <w:color w:val="auto"/>
              </w:rPr>
            </w:pPr>
            <w:r>
              <w:rPr>
                <w:rFonts w:ascii="Arial" w:cs="Arial" w:eastAsia="Arial" w:hAnsi="Arial"/>
                <w:sz w:val="14"/>
                <w:szCs w:val="14"/>
                <w:b w:val="1"/>
                <w:bCs w:val="1"/>
                <w:color w:val="auto"/>
                <w:w w:val="89"/>
              </w:rPr>
              <w:t>C. Kevin McGeehan, Esq.</w:t>
            </w:r>
          </w:p>
        </w:tc>
        <w:tc>
          <w:tcPr>
            <w:tcW w:w="5160" w:type="dxa"/>
            <w:vAlign w:val="bottom"/>
          </w:tcPr>
          <w:p>
            <w:pPr>
              <w:jc w:val="center"/>
              <w:ind w:left="321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90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60" w:type="dxa"/>
            <w:vAlign w:val="bottom"/>
          </w:tcPr>
          <w:p>
            <w:pPr>
              <w:jc w:val="center"/>
              <w:ind w:left="321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90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60" w:type="dxa"/>
            <w:vAlign w:val="bottom"/>
          </w:tcPr>
          <w:p>
            <w:pPr>
              <w:jc w:val="center"/>
              <w:ind w:left="321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90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60" w:type="dxa"/>
            <w:vAlign w:val="bottom"/>
          </w:tcPr>
          <w:p>
            <w:pPr>
              <w:jc w:val="center"/>
              <w:ind w:left="321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90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60" w:type="dxa"/>
            <w:vAlign w:val="bottom"/>
          </w:tcPr>
          <w:p>
            <w:pPr>
              <w:jc w:val="center"/>
              <w:ind w:left="321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900" w:type="dxa"/>
            <w:vAlign w:val="bottom"/>
          </w:tcPr>
          <w:p>
            <w:pPr>
              <w:jc w:val="center"/>
              <w:ind w:right="792"/>
              <w:spacing w:after="0"/>
              <w:rPr>
                <w:sz w:val="20"/>
                <w:szCs w:val="20"/>
                <w:color w:val="auto"/>
              </w:rPr>
            </w:pPr>
            <w:r>
              <w:rPr>
                <w:rFonts w:ascii="Arial" w:cs="Arial" w:eastAsia="Arial" w:hAnsi="Arial"/>
                <w:sz w:val="14"/>
                <w:szCs w:val="14"/>
                <w:b w:val="1"/>
                <w:bCs w:val="1"/>
                <w:color w:val="auto"/>
                <w:w w:val="87"/>
              </w:rPr>
              <w:t>(310) 277-1010</w:t>
            </w:r>
          </w:p>
        </w:tc>
        <w:tc>
          <w:tcPr>
            <w:tcW w:w="516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66"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Improvement Co.</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Palo,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Valvino Lamore,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World Travel,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Las Vegas Jet, LLC</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-1266190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-1266190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-1266190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-1266190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Subject to Completion, Dated August 26,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$350,000,000</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Las Vegas Capital Corp.</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4"/>
          <w:szCs w:val="24"/>
          <w:b w:val="1"/>
          <w:bCs w:val="1"/>
          <w:color w:val="auto"/>
        </w:rPr>
        <w:t>% Second Mortgage Notes due 2010</w:t>
      </w:r>
    </w:p>
    <w:p>
      <w:pPr>
        <w:spacing w:after="0" w:line="241" w:lineRule="exact"/>
        <w:rPr>
          <w:sz w:val="20"/>
          <w:szCs w:val="20"/>
          <w:color w:val="auto"/>
        </w:rPr>
      </w:pPr>
    </w:p>
    <w:p>
      <w:pPr>
        <w:spacing w:after="0"/>
        <w:tabs>
          <w:tab w:leader="none" w:pos="6340" w:val="left"/>
        </w:tabs>
        <w:rPr>
          <w:sz w:val="20"/>
          <w:szCs w:val="20"/>
          <w:color w:val="auto"/>
        </w:rPr>
      </w:pPr>
      <w:r>
        <w:rPr>
          <w:rFonts w:ascii="Arial" w:cs="Arial" w:eastAsia="Arial" w:hAnsi="Arial"/>
          <w:sz w:val="14"/>
          <w:szCs w:val="14"/>
          <w:color w:val="auto"/>
        </w:rPr>
        <w:t>Wynn Las Vegas, LLC and Wynn Las Vegas Capital Corp. are offering $350 million aggregate principal amount of</w:t>
      </w:r>
      <w:r>
        <w:rPr>
          <w:sz w:val="20"/>
          <w:szCs w:val="20"/>
          <w:color w:val="auto"/>
        </w:rPr>
        <w:tab/>
      </w:r>
      <w:r>
        <w:rPr>
          <w:rFonts w:ascii="Arial" w:cs="Arial" w:eastAsia="Arial" w:hAnsi="Arial"/>
          <w:sz w:val="12"/>
          <w:szCs w:val="12"/>
          <w:color w:val="auto"/>
        </w:rPr>
        <w:t>% second mortgage notes due 2010. The issuers will pay interest on the second mortgage</w:t>
      </w:r>
    </w:p>
    <w:p>
      <w:pPr>
        <w:spacing w:after="0"/>
        <w:tabs>
          <w:tab w:leader="none" w:pos="840" w:val="left"/>
          <w:tab w:leader="none" w:pos="1440" w:val="left"/>
          <w:tab w:leader="none" w:pos="3580" w:val="left"/>
          <w:tab w:leader="none" w:pos="7180" w:val="left"/>
        </w:tabs>
        <w:rPr>
          <w:sz w:val="20"/>
          <w:szCs w:val="20"/>
          <w:color w:val="auto"/>
        </w:rPr>
      </w:pPr>
      <w:r>
        <w:rPr>
          <w:rFonts w:ascii="Arial" w:cs="Arial" w:eastAsia="Arial" w:hAnsi="Arial"/>
          <w:sz w:val="14"/>
          <w:szCs w:val="14"/>
          <w:color w:val="auto"/>
        </w:rPr>
        <w:t>notes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w:t>
      </w:r>
      <w:r>
        <w:rPr>
          <w:sz w:val="20"/>
          <w:szCs w:val="20"/>
          <w:color w:val="auto"/>
        </w:rPr>
        <w:tab/>
      </w:r>
      <w:r>
        <w:rPr>
          <w:rFonts w:ascii="Arial" w:cs="Arial" w:eastAsia="Arial" w:hAnsi="Arial"/>
          <w:sz w:val="14"/>
          <w:szCs w:val="14"/>
          <w:color w:val="auto"/>
        </w:rPr>
        <w:t>, 2003. The second mortgage notes will mature on</w:t>
      </w:r>
      <w:r>
        <w:rPr>
          <w:sz w:val="20"/>
          <w:szCs w:val="20"/>
          <w:color w:val="auto"/>
        </w:rPr>
        <w:tab/>
      </w:r>
      <w:r>
        <w:rPr>
          <w:rFonts w:ascii="Arial" w:cs="Arial" w:eastAsia="Arial" w:hAnsi="Arial"/>
          <w:sz w:val="11"/>
          <w:szCs w:val="11"/>
          <w:color w:val="auto"/>
        </w:rPr>
        <w:t>, 2010.</w:t>
      </w:r>
    </w:p>
    <w:p>
      <w:pPr>
        <w:spacing w:after="0" w:line="191" w:lineRule="exact"/>
        <w:rPr>
          <w:sz w:val="20"/>
          <w:szCs w:val="20"/>
          <w:color w:val="auto"/>
        </w:rPr>
      </w:pPr>
    </w:p>
    <w:p>
      <w:pPr>
        <w:spacing w:after="0"/>
        <w:tabs>
          <w:tab w:leader="none" w:pos="4400" w:val="left"/>
          <w:tab w:leader="none" w:pos="6580" w:val="left"/>
        </w:tabs>
        <w:rPr>
          <w:sz w:val="20"/>
          <w:szCs w:val="20"/>
          <w:color w:val="auto"/>
        </w:rPr>
      </w:pPr>
      <w:r>
        <w:rPr>
          <w:rFonts w:ascii="Arial" w:cs="Arial" w:eastAsia="Arial" w:hAnsi="Arial"/>
          <w:sz w:val="14"/>
          <w:szCs w:val="14"/>
          <w:color w:val="auto"/>
        </w:rPr>
        <w:t>The issuers may redeem the second mortgage notes at any time on or after</w:t>
      </w:r>
      <w:r>
        <w:rPr>
          <w:sz w:val="20"/>
          <w:szCs w:val="20"/>
          <w:color w:val="auto"/>
        </w:rPr>
        <w:tab/>
      </w:r>
      <w:r>
        <w:rPr>
          <w:rFonts w:ascii="Arial" w:cs="Arial" w:eastAsia="Arial" w:hAnsi="Arial"/>
          <w:sz w:val="14"/>
          <w:szCs w:val="14"/>
          <w:color w:val="auto"/>
        </w:rPr>
        <w:t>, 2006. In addition, until</w:t>
      </w:r>
      <w:r>
        <w:rPr>
          <w:sz w:val="20"/>
          <w:szCs w:val="20"/>
          <w:color w:val="auto"/>
        </w:rPr>
        <w:tab/>
      </w:r>
      <w:r>
        <w:rPr>
          <w:rFonts w:ascii="Arial" w:cs="Arial" w:eastAsia="Arial" w:hAnsi="Arial"/>
          <w:sz w:val="12"/>
          <w:szCs w:val="12"/>
          <w:color w:val="auto"/>
        </w:rPr>
        <w:t>, 2005, the issuers may redeem up to 35% of the second mortgage notes with the net</w:t>
      </w:r>
    </w:p>
    <w:p>
      <w:pPr>
        <w:ind w:right="220"/>
        <w:spacing w:after="0" w:line="297" w:lineRule="auto"/>
        <w:rPr>
          <w:sz w:val="20"/>
          <w:szCs w:val="20"/>
          <w:color w:val="auto"/>
        </w:rPr>
      </w:pPr>
      <w:r>
        <w:rPr>
          <w:rFonts w:ascii="Arial" w:cs="Arial" w:eastAsia="Arial" w:hAnsi="Arial"/>
          <w:sz w:val="12"/>
          <w:szCs w:val="12"/>
          <w:color w:val="auto"/>
        </w:rPr>
        <w:t>proceeds of one or more qualified equity offerings. If we undergo a change of control or sell certain of our assets, the issuers may be required to offer to purchase the second mortgage notes from holders. The second mortgage notes may also be subject to redemption requirements imposed by gaming laws and regulations of gaming authorities in Nevada or other jurisdictions.</w:t>
      </w:r>
    </w:p>
    <w:p>
      <w:pPr>
        <w:spacing w:after="0" w:line="160" w:lineRule="exact"/>
        <w:rPr>
          <w:sz w:val="20"/>
          <w:szCs w:val="20"/>
          <w:color w:val="auto"/>
        </w:rPr>
      </w:pPr>
    </w:p>
    <w:p>
      <w:pPr>
        <w:ind w:right="140"/>
        <w:spacing w:after="0" w:line="278" w:lineRule="auto"/>
        <w:rPr>
          <w:sz w:val="20"/>
          <w:szCs w:val="20"/>
          <w:color w:val="auto"/>
        </w:rPr>
      </w:pPr>
      <w:r>
        <w:rPr>
          <w:rFonts w:ascii="Arial" w:cs="Arial" w:eastAsia="Arial" w:hAnsi="Arial"/>
          <w:sz w:val="12"/>
          <w:szCs w:val="12"/>
          <w:color w:val="auto"/>
        </w:rPr>
        <w:t>The second mortgage notes will be secured by (i) a first priority lien on the net proceeds of this offering, which will be deposited in a secured account pending disbursement; (ii) a second priority lien on substantially all of our other existing and future assets, subject to certain limited exceptions; (iii) a second priority lien on the $50.0 million deposited into a completion guarantee deposit account on the closing date of this offering; (iv) a second priority lien on the $30.0 million deposited into a liquidity reserve account on the closing date of this offering; (v) a second priority pledge of the equity interests held by the issuers in certain subsidiaries; and (vi) a third priority lien on certain assets pledged or assigned under a furniture, fixtures and equipment facility.</w:t>
      </w:r>
    </w:p>
    <w:p>
      <w:pPr>
        <w:spacing w:after="0" w:line="171"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The second mortgage notes will be jointly and severally guaranteed by Valvino Lamore, LLC, our indirect parent, and certain of its subsidiaries. In addition, under certain limited circumstances, Wynn Resorts, Limited, the parent company of Valvino Lamore, LLC, may be required to guarantee the second mortgage notes. The obligations of the guarantors will be secured by (i) a second priority security lien on substantially all of the existing and future assets of the guarantors, subject to certain limited exceptions; and (ii) a second priority pledge of the equity interests held by the guarantors in their existing and future subsidiaries.</w:t>
      </w:r>
    </w:p>
    <w:p>
      <w:pPr>
        <w:spacing w:after="0" w:line="193" w:lineRule="exact"/>
        <w:rPr>
          <w:sz w:val="20"/>
          <w:szCs w:val="20"/>
          <w:color w:val="auto"/>
        </w:rPr>
      </w:pPr>
    </w:p>
    <w:p>
      <w:pPr>
        <w:ind w:right="100"/>
        <w:spacing w:after="0" w:line="273" w:lineRule="auto"/>
        <w:rPr>
          <w:sz w:val="20"/>
          <w:szCs w:val="20"/>
          <w:color w:val="auto"/>
        </w:rPr>
      </w:pPr>
      <w:r>
        <w:rPr>
          <w:rFonts w:ascii="Arial" w:cs="Arial" w:eastAsia="Arial" w:hAnsi="Arial"/>
          <w:sz w:val="12"/>
          <w:szCs w:val="12"/>
          <w:color w:val="auto"/>
        </w:rPr>
        <w:t>The second mortgage notes will be the issuers' general obligations and will rank senior to their existing and future subordinated indebtedness. Each guarantee of the second mortgage notes will rank senior to all of the existing and future subordinated indebtedness of each guarantor. The second mortgage notes and guarantees will be effectively subordinated to the obligations of Wynn Las Vegas, LLC under its credit facility and its facility for furniture, fixtures and equipment to the extent that the lenders under such facilities have security interests in the collateral that rank prior to the security interests in the collateral securing the second mortgage notes and the guarantees. The second mortgage notes and the guarantees will be subject to restrictions on payment and exercise of remedies that will be contained in intercreditor agreements. The second mortgage notes will be issued only in denominations of $1,000 and integral multiples of $1,000.</w:t>
      </w:r>
    </w:p>
    <w:p>
      <w:pPr>
        <w:spacing w:after="0" w:line="174"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Concurrent with this offering, Wynn Resorts, Limited is offering shares of common stock in an initial public offering expected to raise approximately $395 million in gross proceeds. Wynn Las Vegas, LLC and Wynn Las Vegas Capital Corp. are indirect wholly owned subsidiaries of Wynn Resorts,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second mortgage notes involves a high degree of risk. See "Risk Factors" beginning on page 16.</w:t>
      </w:r>
    </w:p>
    <w:p>
      <w:pPr>
        <w:spacing w:after="0" w:line="227" w:lineRule="exact"/>
        <w:rPr>
          <w:sz w:val="20"/>
          <w:szCs w:val="20"/>
          <w:color w:val="auto"/>
        </w:rPr>
      </w:pPr>
    </w:p>
    <w:p>
      <w:pPr>
        <w:ind w:right="140"/>
        <w:spacing w:after="0" w:line="234" w:lineRule="auto"/>
        <w:rPr>
          <w:sz w:val="20"/>
          <w:szCs w:val="20"/>
          <w:color w:val="auto"/>
        </w:rPr>
      </w:pPr>
      <w:r>
        <w:rPr>
          <w:rFonts w:ascii="Arial" w:cs="Arial" w:eastAsia="Arial" w:hAnsi="Arial"/>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ind w:left="7200"/>
              <w:spacing w:after="0"/>
              <w:rPr>
                <w:sz w:val="20"/>
                <w:szCs w:val="20"/>
                <w:color w:val="auto"/>
              </w:rPr>
            </w:pPr>
            <w:r>
              <w:rPr>
                <w:rFonts w:ascii="Arial" w:cs="Arial" w:eastAsia="Arial" w:hAnsi="Arial"/>
                <w:sz w:val="14"/>
                <w:szCs w:val="14"/>
                <w:b w:val="1"/>
                <w:bCs w:val="1"/>
                <w:color w:val="auto"/>
              </w:rPr>
              <w:t>Per Note</w:t>
            </w:r>
          </w:p>
        </w:tc>
        <w:tc>
          <w:tcPr>
            <w:tcW w:w="460" w:type="dxa"/>
            <w:vAlign w:val="bottom"/>
          </w:tcPr>
          <w:p>
            <w:pPr>
              <w:spacing w:after="0"/>
              <w:rPr>
                <w:sz w:val="15"/>
                <w:szCs w:val="15"/>
                <w:color w:val="auto"/>
              </w:rPr>
            </w:pP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83"/>
              </w:rPr>
              <w:t>Total</w:t>
            </w:r>
          </w:p>
        </w:tc>
      </w:tr>
      <w:tr>
        <w:trPr>
          <w:trHeight w:val="368"/>
        </w:trPr>
        <w:tc>
          <w:tcPr>
            <w:tcW w:w="7860" w:type="dxa"/>
            <w:vAlign w:val="bottom"/>
          </w:tcPr>
          <w:p>
            <w:pPr>
              <w:spacing w:after="0"/>
              <w:rPr>
                <w:sz w:val="20"/>
                <w:szCs w:val="20"/>
                <w:color w:val="auto"/>
              </w:rPr>
            </w:pPr>
            <w:r>
              <w:rPr>
                <w:rFonts w:ascii="Arial" w:cs="Arial" w:eastAsia="Arial" w:hAnsi="Arial"/>
                <w:sz w:val="14"/>
                <w:szCs w:val="14"/>
                <w:color w:val="auto"/>
              </w:rPr>
              <w:t>Public offering price</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6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49"/>
        </w:trPr>
        <w:tc>
          <w:tcPr>
            <w:tcW w:w="786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p>
        </w:tc>
        <w:tc>
          <w:tcPr>
            <w:tcW w:w="4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r>
      <w:tr>
        <w:trPr>
          <w:trHeight w:val="172"/>
        </w:trPr>
        <w:tc>
          <w:tcPr>
            <w:tcW w:w="7860" w:type="dxa"/>
            <w:vAlign w:val="bottom"/>
          </w:tcPr>
          <w:p>
            <w:pPr>
              <w:spacing w:after="0"/>
              <w:rPr>
                <w:sz w:val="20"/>
                <w:szCs w:val="20"/>
                <w:color w:val="auto"/>
              </w:rPr>
            </w:pPr>
            <w:r>
              <w:rPr>
                <w:rFonts w:ascii="Arial" w:cs="Arial" w:eastAsia="Arial" w:hAnsi="Arial"/>
                <w:sz w:val="14"/>
                <w:szCs w:val="14"/>
                <w:color w:val="auto"/>
              </w:rPr>
              <w:t>Proceeds, before expenses, to Wynn Las Vegas, LLC and Wynn Las Vegas Capital Corp.</w:t>
            </w:r>
          </w:p>
        </w:tc>
        <w:tc>
          <w:tcPr>
            <w:tcW w:w="4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60" w:type="dxa"/>
            <w:vAlign w:val="bottom"/>
          </w:tcPr>
          <w:p>
            <w:pPr>
              <w:ind w:left="160"/>
              <w:spacing w:after="0"/>
              <w:rPr>
                <w:sz w:val="20"/>
                <w:szCs w:val="20"/>
                <w:color w:val="auto"/>
              </w:rPr>
            </w:pPr>
            <w:r>
              <w:rPr>
                <w:rFonts w:ascii="Arial" w:cs="Arial" w:eastAsia="Arial" w:hAnsi="Arial"/>
                <w:sz w:val="14"/>
                <w:szCs w:val="14"/>
                <w:color w:val="auto"/>
              </w:rPr>
              <w:t>$</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gridSpan w:val="7"/>
          </w:tcPr>
          <w:p>
            <w:pPr>
              <w:spacing w:after="0"/>
              <w:rPr>
                <w:sz w:val="20"/>
                <w:szCs w:val="20"/>
                <w:color w:val="auto"/>
              </w:rPr>
            </w:pPr>
            <w:r>
              <w:rPr>
                <w:rFonts w:ascii="Arial" w:cs="Arial" w:eastAsia="Arial" w:hAnsi="Arial"/>
                <w:sz w:val="14"/>
                <w:szCs w:val="14"/>
                <w:color w:val="auto"/>
                <w:w w:val="91"/>
              </w:rPr>
              <w:t>The public offering price set forth above does not include accrued interest, if any. Interest on the second mortgage notes will accrue from</w:t>
            </w:r>
          </w:p>
        </w:tc>
        <w:tc>
          <w:tcPr>
            <w:tcW w:w="1200" w:type="dxa"/>
            <w:vAlign w:val="bottom"/>
          </w:tcPr>
          <w:p>
            <w:pPr>
              <w:jc w:val="right"/>
              <w:ind w:right="252"/>
              <w:spacing w:after="0"/>
              <w:rPr>
                <w:sz w:val="20"/>
                <w:szCs w:val="20"/>
                <w:color w:val="auto"/>
              </w:rPr>
            </w:pPr>
            <w:r>
              <w:rPr>
                <w:rFonts w:ascii="Arial" w:cs="Arial" w:eastAsia="Arial" w:hAnsi="Arial"/>
                <w:sz w:val="14"/>
                <w:szCs w:val="14"/>
                <w:color w:val="auto"/>
              </w:rPr>
              <w:t>2002.</w:t>
            </w:r>
          </w:p>
        </w:tc>
        <w:tc>
          <w:tcPr>
            <w:tcW w:w="2500" w:type="dxa"/>
            <w:vAlign w:val="bottom"/>
          </w:tcPr>
          <w:p>
            <w:pPr>
              <w:spacing w:after="0"/>
              <w:rPr>
                <w:sz w:val="14"/>
                <w:szCs w:val="14"/>
                <w:color w:val="auto"/>
              </w:rPr>
            </w:pPr>
          </w:p>
        </w:tc>
      </w:tr>
      <w:tr>
        <w:trPr>
          <w:trHeight w:val="213"/>
        </w:trPr>
        <w:tc>
          <w:tcPr>
            <w:tcW w:w="1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gridSpan w:val="2"/>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74"/>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4"/>
                <w:szCs w:val="14"/>
                <w:i w:val="1"/>
                <w:iCs w:val="1"/>
                <w:color w:val="auto"/>
              </w:rPr>
              <w:t>Joint Book-Running Managers</w:t>
            </w:r>
          </w:p>
        </w:tc>
        <w:tc>
          <w:tcPr>
            <w:tcW w:w="12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19"/>
        </w:trPr>
        <w:tc>
          <w:tcPr>
            <w:tcW w:w="3180" w:type="dxa"/>
            <w:vAlign w:val="bottom"/>
            <w:gridSpan w:val="2"/>
          </w:tcPr>
          <w:p>
            <w:pPr>
              <w:ind w:left="160"/>
              <w:spacing w:after="0"/>
              <w:rPr>
                <w:sz w:val="20"/>
                <w:szCs w:val="20"/>
                <w:color w:val="auto"/>
              </w:rPr>
            </w:pPr>
            <w:r>
              <w:rPr>
                <w:rFonts w:ascii="Arial" w:cs="Arial" w:eastAsia="Arial" w:hAnsi="Arial"/>
                <w:sz w:val="22"/>
                <w:szCs w:val="22"/>
                <w:b w:val="1"/>
                <w:bCs w:val="1"/>
                <w:color w:val="auto"/>
              </w:rPr>
              <w:t>Deutsche Bank Securities</w:t>
            </w:r>
          </w:p>
        </w:tc>
        <w:tc>
          <w:tcPr>
            <w:tcW w:w="2420" w:type="dxa"/>
            <w:vAlign w:val="bottom"/>
            <w:gridSpan w:val="3"/>
          </w:tcPr>
          <w:p>
            <w:pPr>
              <w:jc w:val="center"/>
              <w:ind w:right="180"/>
              <w:spacing w:after="0"/>
              <w:rPr>
                <w:sz w:val="20"/>
                <w:szCs w:val="20"/>
                <w:color w:val="auto"/>
              </w:rPr>
            </w:pPr>
            <w:r>
              <w:rPr>
                <w:rFonts w:ascii="Arial" w:cs="Arial" w:eastAsia="Arial" w:hAnsi="Arial"/>
                <w:sz w:val="22"/>
                <w:szCs w:val="22"/>
                <w:b w:val="1"/>
                <w:bCs w:val="1"/>
                <w:color w:val="auto"/>
                <w:w w:val="89"/>
              </w:rPr>
              <w:t>Banc of America</w:t>
            </w:r>
          </w:p>
        </w:tc>
        <w:tc>
          <w:tcPr>
            <w:tcW w:w="3320" w:type="dxa"/>
            <w:vAlign w:val="bottom"/>
            <w:gridSpan w:val="3"/>
          </w:tcPr>
          <w:p>
            <w:pPr>
              <w:jc w:val="right"/>
              <w:ind w:right="452"/>
              <w:spacing w:after="0"/>
              <w:rPr>
                <w:sz w:val="20"/>
                <w:szCs w:val="20"/>
                <w:color w:val="auto"/>
              </w:rPr>
            </w:pPr>
            <w:r>
              <w:rPr>
                <w:rFonts w:ascii="Arial" w:cs="Arial" w:eastAsia="Arial" w:hAnsi="Arial"/>
                <w:sz w:val="22"/>
                <w:szCs w:val="22"/>
                <w:b w:val="1"/>
                <w:bCs w:val="1"/>
                <w:color w:val="auto"/>
              </w:rPr>
              <w:t>Bear, Stearns &amp; Co. Inc.</w:t>
            </w:r>
          </w:p>
        </w:tc>
        <w:tc>
          <w:tcPr>
            <w:tcW w:w="2500" w:type="dxa"/>
            <w:vAlign w:val="bottom"/>
          </w:tcPr>
          <w:p>
            <w:pPr>
              <w:jc w:val="center"/>
              <w:spacing w:after="0"/>
              <w:rPr>
                <w:sz w:val="20"/>
                <w:szCs w:val="20"/>
                <w:color w:val="auto"/>
              </w:rPr>
            </w:pPr>
            <w:r>
              <w:rPr>
                <w:rFonts w:ascii="Arial" w:cs="Arial" w:eastAsia="Arial" w:hAnsi="Arial"/>
                <w:sz w:val="22"/>
                <w:szCs w:val="22"/>
                <w:b w:val="1"/>
                <w:bCs w:val="1"/>
                <w:color w:val="auto"/>
                <w:w w:val="90"/>
              </w:rPr>
              <w:t>Dresdner Kleinwort</w:t>
            </w:r>
          </w:p>
        </w:tc>
      </w:tr>
      <w:tr>
        <w:trPr>
          <w:trHeight w:val="281"/>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20" w:type="dxa"/>
            <w:vAlign w:val="bottom"/>
            <w:gridSpan w:val="3"/>
          </w:tcPr>
          <w:p>
            <w:pPr>
              <w:jc w:val="center"/>
              <w:ind w:right="180"/>
              <w:spacing w:after="0"/>
              <w:rPr>
                <w:sz w:val="20"/>
                <w:szCs w:val="20"/>
                <w:color w:val="auto"/>
              </w:rPr>
            </w:pPr>
            <w:r>
              <w:rPr>
                <w:rFonts w:ascii="Arial" w:cs="Arial" w:eastAsia="Arial" w:hAnsi="Arial"/>
                <w:sz w:val="22"/>
                <w:szCs w:val="22"/>
                <w:b w:val="1"/>
                <w:bCs w:val="1"/>
                <w:color w:val="auto"/>
                <w:w w:val="90"/>
              </w:rPr>
              <w:t>Securities LLC</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22"/>
                <w:szCs w:val="22"/>
                <w:b w:val="1"/>
                <w:bCs w:val="1"/>
                <w:color w:val="auto"/>
                <w:w w:val="84"/>
              </w:rPr>
              <w:t>Wasserstein</w:t>
            </w:r>
          </w:p>
        </w:tc>
      </w:tr>
      <w:tr>
        <w:trPr>
          <w:trHeight w:val="108"/>
        </w:trPr>
        <w:tc>
          <w:tcPr>
            <w:tcW w:w="1700" w:type="dxa"/>
            <w:vAlign w:val="bottom"/>
          </w:tcPr>
          <w:p>
            <w:pPr>
              <w:spacing w:after="0"/>
              <w:rPr>
                <w:sz w:val="9"/>
                <w:szCs w:val="9"/>
                <w:color w:val="auto"/>
              </w:rPr>
            </w:pPr>
          </w:p>
        </w:tc>
        <w:tc>
          <w:tcPr>
            <w:tcW w:w="320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80" w:type="dxa"/>
            <w:vAlign w:val="bottom"/>
          </w:tcPr>
          <w:p>
            <w:pPr>
              <w:spacing w:after="0"/>
              <w:rPr>
                <w:sz w:val="9"/>
                <w:szCs w:val="9"/>
                <w:color w:val="auto"/>
              </w:rPr>
            </w:pPr>
          </w:p>
        </w:tc>
        <w:tc>
          <w:tcPr>
            <w:tcW w:w="3700" w:type="dxa"/>
            <w:vAlign w:val="bottom"/>
            <w:gridSpan w:val="2"/>
          </w:tcPr>
          <w:p>
            <w:pPr>
              <w:spacing w:after="0"/>
              <w:rPr>
                <w:sz w:val="9"/>
                <w:szCs w:val="9"/>
                <w:color w:val="auto"/>
              </w:rPr>
            </w:pPr>
          </w:p>
        </w:tc>
      </w:tr>
      <w:tr>
        <w:trPr>
          <w:trHeight w:val="358"/>
        </w:trPr>
        <w:tc>
          <w:tcPr>
            <w:tcW w:w="1700" w:type="dxa"/>
            <w:vAlign w:val="bottom"/>
          </w:tcPr>
          <w:p>
            <w:pPr>
              <w:spacing w:after="0"/>
              <w:rPr>
                <w:sz w:val="24"/>
                <w:szCs w:val="24"/>
                <w:color w:val="auto"/>
              </w:rPr>
            </w:pPr>
          </w:p>
        </w:tc>
        <w:tc>
          <w:tcPr>
            <w:tcW w:w="3900" w:type="dxa"/>
            <w:vAlign w:val="bottom"/>
            <w:gridSpan w:val="4"/>
          </w:tcPr>
          <w:p>
            <w:pPr>
              <w:ind w:left="120"/>
              <w:spacing w:after="0"/>
              <w:rPr>
                <w:sz w:val="20"/>
                <w:szCs w:val="20"/>
                <w:color w:val="auto"/>
              </w:rPr>
            </w:pPr>
            <w:r>
              <w:rPr>
                <w:rFonts w:ascii="Arial" w:cs="Arial" w:eastAsia="Arial" w:hAnsi="Arial"/>
                <w:sz w:val="22"/>
                <w:szCs w:val="22"/>
                <w:b w:val="1"/>
                <w:bCs w:val="1"/>
                <w:color w:val="auto"/>
              </w:rPr>
              <w:t>Fleet Securities, Inc.</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00" w:type="dxa"/>
            <w:vAlign w:val="bottom"/>
            <w:gridSpan w:val="2"/>
          </w:tcPr>
          <w:p>
            <w:pPr>
              <w:ind w:left="320"/>
              <w:spacing w:after="0"/>
              <w:rPr>
                <w:sz w:val="20"/>
                <w:szCs w:val="20"/>
                <w:color w:val="auto"/>
              </w:rPr>
            </w:pPr>
            <w:r>
              <w:rPr>
                <w:rFonts w:ascii="Arial" w:cs="Arial" w:eastAsia="Arial" w:hAnsi="Arial"/>
                <w:sz w:val="22"/>
                <w:szCs w:val="22"/>
                <w:b w:val="1"/>
                <w:bCs w:val="1"/>
                <w:color w:val="auto"/>
              </w:rPr>
              <w:t>Scotia Capital</w:t>
            </w:r>
          </w:p>
        </w:tc>
      </w:tr>
      <w:tr>
        <w:trPr>
          <w:trHeight w:val="368"/>
        </w:trPr>
        <w:tc>
          <w:tcPr>
            <w:tcW w:w="1700" w:type="dxa"/>
            <w:vAlign w:val="bottom"/>
          </w:tcPr>
          <w:p>
            <w:pPr>
              <w:spacing w:after="0"/>
              <w:rPr>
                <w:sz w:val="20"/>
                <w:szCs w:val="20"/>
                <w:color w:val="auto"/>
              </w:rPr>
            </w:pPr>
            <w:r>
              <w:rPr>
                <w:rFonts w:ascii="Arial" w:cs="Arial" w:eastAsia="Arial" w:hAnsi="Arial"/>
                <w:sz w:val="14"/>
                <w:szCs w:val="14"/>
                <w:color w:val="auto"/>
                <w:w w:val="91"/>
              </w:rPr>
              <w:t>The date of this prospectus is</w:t>
            </w:r>
          </w:p>
        </w:tc>
        <w:tc>
          <w:tcPr>
            <w:tcW w:w="1480" w:type="dxa"/>
            <w:vAlign w:val="bottom"/>
          </w:tcPr>
          <w:p>
            <w:pPr>
              <w:jc w:val="right"/>
              <w:ind w:right="252"/>
              <w:spacing w:after="0"/>
              <w:rPr>
                <w:sz w:val="20"/>
                <w:szCs w:val="20"/>
                <w:color w:val="auto"/>
              </w:rPr>
            </w:pPr>
            <w:r>
              <w:rPr>
                <w:rFonts w:ascii="Arial" w:cs="Arial" w:eastAsia="Arial" w:hAnsi="Arial"/>
                <w:sz w:val="14"/>
                <w:szCs w:val="14"/>
                <w:color w:val="auto"/>
              </w:rPr>
              <w:t>, 2002.</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3"/>
        </w:trPr>
        <w:tc>
          <w:tcPr>
            <w:tcW w:w="170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25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-1386205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-1386205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-622935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-622935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ARTWORK</w:t>
      </w:r>
    </w:p>
    <w:p>
      <w:pPr>
        <w:sectPr>
          <w:pgSz w:w="11900" w:h="16838" w:orient="portrait"/>
          <w:cols w:equalWidth="0" w:num="1">
            <w:col w:w="11420"/>
          </w:cols>
          <w:pgMar w:left="240" w:top="274" w:right="239" w:bottom="0" w:gutter="0" w:footer="0" w:header="0"/>
          <w:type w:val="continuous"/>
        </w:sectPr>
      </w:pPr>
    </w:p>
    <w:bookmarkStart w:id="2" w:name="page3"/>
    <w:bookmarkEnd w:id="2"/>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[artist's renderings of Le Rêve]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16 before making an investment decision.</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The second mortgage notes will be jointly issued by Wynn Las Vegas, LLC, a Nevada limited liability company, and its wholly owned subsidiary, Wynn Las Vegas Capital Corp., a Nevada corporation, and guaranteed by Valvino Lamore, LLC, a Nevada limited liability company, and certain of its subsidiaries designated as restricted entities. Wynn Las Vegas, LLC is an indirect subsidiary of Valvino Lamore, LLC. Before the closing of this offering and the initial public offering of common stock by Wynn Resorts, Limited, a Nevada corporation, all of the members of Valvino Lamore, LLC will contribute their membership interests in Valvino Lamore, LLC to Wynn Resorts, Limited, in exchange for 40,000,000 shares of the common stock of Wynn Resorts, Limited, and Valvino Lamore, LLC will become a wholly owned subsidiary of Wynn Resorts, Limited.</w:t>
      </w:r>
    </w:p>
    <w:p>
      <w:pPr>
        <w:spacing w:after="0" w:line="201" w:lineRule="exact"/>
        <w:rPr>
          <w:sz w:val="20"/>
          <w:szCs w:val="20"/>
          <w:color w:val="auto"/>
        </w:rPr>
      </w:pPr>
    </w:p>
    <w:p>
      <w:pPr>
        <w:ind w:right="20" w:firstLine="432"/>
        <w:spacing w:after="0" w:line="308" w:lineRule="auto"/>
        <w:rPr>
          <w:sz w:val="20"/>
          <w:szCs w:val="20"/>
          <w:color w:val="auto"/>
        </w:rPr>
      </w:pPr>
      <w:r>
        <w:rPr>
          <w:rFonts w:ascii="Arial" w:cs="Arial" w:eastAsia="Arial" w:hAnsi="Arial"/>
          <w:sz w:val="15"/>
          <w:szCs w:val="15"/>
          <w:i w:val="1"/>
          <w:iCs w:val="1"/>
          <w:color w:val="auto"/>
        </w:rPr>
        <w:t>Unless otherwise indicated, information in this prospectus gives effect to the contribution of membership interests in Valvino Lamore, LLC to Wynn Resorts, Limited in exchange for shares of common stock of Wynn Resorts, Limited. Unless the context otherwise requires, the terms "we," "our" and "us," as used in this prospectus, mean collectively, Wynn Las Vegas, LLC and its wholly owned subsidiary, Wynn Las Vegas Capital Corp., as issuers, Valvino Lamore, LLC and certain of its subsidiaries designated as restricted entities. References to Wynn Resorts mean Wynn Resorts, Limited, excluding any subsidiaries, references to Valvino mean Valvino Lamore, LLC, excluding any subsidiaries, references to Wynn Las Vegas mean Wynn Las Vegas, LLC, which will own and operate Le Rêve, references to Wynn Capital mean Wynn Las Vegas Capital Corp., references to Wynn Macau mean Wynn Resorts (Macau), S.A. and references to Wynn Resorts Holdings in each case mean Wynn Resorts Holdings, LLC, a wholly owned subsidiary of Valvino, excluding any subsidiaries. References to the restricted entities or the restricted group mean the issuers, Valvino, Wynn Resorts Holdings, Wynn Design &amp; Development, LLC, World Travel, LLC, Las Vegas Jet, LLC, Desert Inn Water Company, LLC, Desert Inn Improvement Co., and Palo, LLC. References to the guarantors in this prospectus mean Valvino and the restricted entities other than the issuers. Certain statements in this prospectus, including in this summary, constitute "forward-looking statements." See "Forward-Looking Statements."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to design and construct, including the cost of the land, capitalized interest, pre-opening expenses and all financing fees. We expect Le Rêve to feature approximately 2,700 luxurious guest rooms, a casually elegant 111,500 square foot casino, 18 distinctive dining establishments, an exclusive 18-hole championship golf course and a new water-based entertainment production. We have scheduled groundbreaking to occur in September 2002, with an opening to the general public scheduled for March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w:t>
      </w:r>
    </w:p>
    <w:p>
      <w:pPr>
        <w:spacing w:after="0" w:line="245" w:lineRule="exact"/>
        <w:rPr>
          <w:sz w:val="20"/>
          <w:szCs w:val="20"/>
          <w:color w:val="auto"/>
        </w:rPr>
      </w:pPr>
    </w:p>
    <w:p>
      <w:pPr>
        <w:ind w:left="1080" w:right="16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We believe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i w:val="1"/>
          <w:iCs w:val="1"/>
          <w:color w:val="auto"/>
        </w:rPr>
        <w:t>Create a "Must-Visit" Destination Casino Resort on the Las Vegas Strip</w:t>
      </w:r>
      <w:r>
        <w:rPr>
          <w:rFonts w:ascii="Arial" w:cs="Arial" w:eastAsia="Arial" w:hAnsi="Arial"/>
          <w:sz w:val="15"/>
          <w:szCs w:val="15"/>
          <w:color w:val="auto"/>
        </w:rPr>
        <w:t>. Rather than focusing on a highly themed experience like many other hotel</w:t>
      </w:r>
      <w:r>
        <w:rPr>
          <w:rFonts w:ascii="Arial" w:cs="Arial" w:eastAsia="Arial" w:hAnsi="Arial"/>
          <w:sz w:val="15"/>
          <w:szCs w:val="15"/>
          <w:i w:val="1"/>
          <w:iCs w:val="1"/>
          <w:color w:val="auto"/>
        </w:rPr>
        <w:t xml:space="preserve"> </w:t>
      </w:r>
      <w:r>
        <w:rPr>
          <w:rFonts w:ascii="Arial" w:cs="Arial" w:eastAsia="Arial" w:hAnsi="Arial"/>
          <w:sz w:val="15"/>
          <w:szCs w:val="15"/>
          <w:color w:val="auto"/>
        </w:rPr>
        <w:t>casino resorts on the Las Vegas Strip, Le Rêve will offer richly furnished, spacious guest rooms, fine dining, premier retail shopping, distinctive entertainment and other high-quality non-gaming amenities in a luxurious environment having a sophisticated, casually elegant ambience. In this manner, we believe that the property, rather than a theme, will be the attraction and, therefore, will have greater lasting appeal to customers.</w:t>
      </w:r>
    </w:p>
    <w:p>
      <w:pPr>
        <w:spacing w:after="0" w:line="165" w:lineRule="exact"/>
        <w:rPr>
          <w:rFonts w:ascii="Arial" w:cs="Arial" w:eastAsia="Arial" w:hAnsi="Arial"/>
          <w:sz w:val="15"/>
          <w:szCs w:val="15"/>
          <w:color w:val="auto"/>
        </w:rPr>
      </w:pPr>
    </w:p>
    <w:p>
      <w:pPr>
        <w:ind w:left="1080" w:right="24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Open the First New Major Hotel Casino Resort on the Las Vegas Strip in Almost Five Years</w:t>
      </w:r>
      <w:r>
        <w:rPr>
          <w:rFonts w:ascii="Arial" w:cs="Arial" w:eastAsia="Arial" w:hAnsi="Arial"/>
          <w:sz w:val="18"/>
          <w:szCs w:val="18"/>
          <w:color w:val="auto"/>
        </w:rPr>
        <w:t>. We believe that, at the time of Le Rêve's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in March 2005, it will have been almost five years since a major new hotel casino resort opened on the Las Vegas Strip. As a result, we expect that there will be a high level of customer anticipation for Le Rêve.</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332" w:lineRule="auto"/>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w:t>
      </w:r>
    </w:p>
    <w:p>
      <w:pPr>
        <w:sectPr>
          <w:pgSz w:w="11900" w:h="16952" w:orient="portrait"/>
          <w:cols w:equalWidth="0" w:num="1">
            <w:col w:w="11420"/>
          </w:cols>
          <w:pgMar w:left="240" w:top="131" w:right="239" w:bottom="0" w:gutter="0" w:footer="0" w:header="0"/>
        </w:sectPr>
      </w:pPr>
    </w:p>
    <w:bookmarkStart w:id="3" w:name="page4"/>
    <w:bookmarkEnd w:id="3"/>
    <w:p>
      <w:pPr>
        <w:ind w:left="1080"/>
        <w:spacing w:after="0"/>
        <w:rPr>
          <w:sz w:val="20"/>
          <w:szCs w:val="20"/>
          <w:color w:val="auto"/>
        </w:rPr>
      </w:pPr>
      <w:r>
        <w:rPr>
          <w:rFonts w:ascii="Arial" w:cs="Arial" w:eastAsia="Arial" w:hAnsi="Arial"/>
          <w:sz w:val="18"/>
          <w:szCs w:val="18"/>
          <w:color w:val="auto"/>
        </w:rPr>
        <w:t>New York's DANIEL and Café Boulud restaurants;</w:t>
      </w:r>
    </w:p>
    <w:p>
      <w:pPr>
        <w:spacing w:after="0" w:line="239" w:lineRule="exact"/>
        <w:rPr>
          <w:sz w:val="20"/>
          <w:szCs w:val="20"/>
          <w:color w:val="auto"/>
        </w:rPr>
      </w:pPr>
    </w:p>
    <w:p>
      <w:pPr>
        <w:ind w:left="1080" w:hanging="532"/>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Generate Substantial Revenue from Le Rêve's Non-Gaming Facilities</w:t>
      </w:r>
      <w:r>
        <w:rPr>
          <w:rFonts w:ascii="Arial" w:cs="Arial" w:eastAsia="Arial" w:hAnsi="Arial"/>
          <w:sz w:val="18"/>
          <w:szCs w:val="18"/>
          <w:color w:val="auto"/>
        </w:rPr>
        <w:t>. 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the Attractive Location of Le Rêve. </w:t>
      </w:r>
      <w:r>
        <w:rPr>
          <w:rFonts w:ascii="Arial" w:cs="Arial" w:eastAsia="Arial" w:hAnsi="Arial"/>
          <w:sz w:val="18"/>
          <w:szCs w:val="18"/>
          <w:color w:val="auto"/>
        </w:rPr>
        <w:t>Le Rêve will be located on the Las Vegas Strip at the northeast corner of the intersection of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Boulevard and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We intend to offer free shuttle service to and from the Las Vegas Convention Center. We expect trade show and convention visitors to be an important source of room demand for Le Rêve. Le Rêve will also be located directly across from the Fashion Show Mall, which is currently undergoing substantial renovation and expansion, and we anticipate that Le Rêve will be connected to the mall by a pedestrian bridge.</w:t>
      </w:r>
    </w:p>
    <w:p>
      <w:pPr>
        <w:spacing w:after="0" w:line="186" w:lineRule="exact"/>
        <w:rPr>
          <w:sz w:val="20"/>
          <w:szCs w:val="20"/>
          <w:color w:val="auto"/>
        </w:rPr>
      </w:pPr>
    </w:p>
    <w:p>
      <w:pPr>
        <w:ind w:left="540" w:right="80" w:hanging="532"/>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Capitalize on Our Experienced Management Team</w:t>
      </w:r>
      <w:r>
        <w:rPr>
          <w:rFonts w:ascii="Arial" w:cs="Arial" w:eastAsia="Arial" w:hAnsi="Arial"/>
          <w:sz w:val="18"/>
          <w:szCs w:val="18"/>
          <w:color w:val="auto"/>
        </w:rPr>
        <w:t>. The members of our management team have extensive experience in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and operation of major destination casino resorts, such as Bellagio, The Mirage and Treasure Island at The Mirage. Mr. Wynn, together with Wynn Design &amp; Development, LLC, a wholly owned subsidiary of Valvino, is designing Le Rêve. Wynn Design &amp; Development will supervise construction of the resort. Many of the people on the Wynn Design &amp; Development team worked with Mr. Wynn at Mirage Resorts to develop Bellagio.</w:t>
      </w:r>
    </w:p>
    <w:p>
      <w:pPr>
        <w:spacing w:after="0" w:line="223" w:lineRule="exact"/>
        <w:rPr>
          <w:rFonts w:ascii="Arial" w:cs="Arial" w:eastAsia="Arial" w:hAnsi="Arial"/>
          <w:sz w:val="18"/>
          <w:szCs w:val="18"/>
          <w:color w:val="auto"/>
        </w:rPr>
      </w:pPr>
    </w:p>
    <w:p>
      <w:pPr>
        <w:ind w:left="540" w:right="100" w:hanging="532"/>
        <w:spacing w:after="0" w:line="289"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Carefully Manage Construction Costs and Risks</w:t>
      </w:r>
      <w:r>
        <w:rPr>
          <w:rFonts w:ascii="Arial" w:cs="Arial" w:eastAsia="Arial" w:hAnsi="Arial"/>
          <w:sz w:val="16"/>
          <w:szCs w:val="16"/>
          <w:color w:val="auto"/>
        </w:rPr>
        <w:t>. 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we estimate that the design and construction costs will be approximately $1.4 billion. We have entered into a guaranteed maximum price construction contract with Marnell Corrao covering approximately $919 million of the budgeted cost to construct Le Rêve. The $919 million guaranteed maximum price is subject to increases based on, among other items, changes in the scope of the work.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Wynn Resorts' initial public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subsidiaries' revolving credit facility.</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 disbursement agreement will require us to satisfy specified conditions before we may use the proceeds of the credit facilities, the second mortgage notes, a furniture, fixtures and equipment, or FF&amp;E, facility and certain of the sources described below to fund construction costs.</w:t>
      </w:r>
    </w:p>
    <w:p>
      <w:pPr>
        <w:spacing w:after="0" w:line="153" w:lineRule="exact"/>
        <w:rPr>
          <w:sz w:val="20"/>
          <w:szCs w:val="20"/>
          <w:color w:val="auto"/>
        </w:rPr>
      </w:pPr>
    </w:p>
    <w:p>
      <w:pPr>
        <w:ind w:left="540" w:hanging="532"/>
        <w:spacing w:after="0" w:line="25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Benefit from the Significant Equity Investment. </w:t>
      </w:r>
      <w:r>
        <w:rPr>
          <w:rFonts w:ascii="Arial" w:cs="Arial" w:eastAsia="Arial" w:hAnsi="Arial"/>
          <w:sz w:val="18"/>
          <w:szCs w:val="18"/>
          <w:color w:val="auto"/>
        </w:rPr>
        <w:t>We will have a significant cash equity capitalization for the development of Le Rêve. From</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through the completion of Le Rêve, we expect to have received a total of approximately $926 million in cash equity contributions, which represents approximately 38% of the total estimated project costs. To date, Mr. Wynn has personally invested $175 million in cash equity which demonstrates his commitment to the Le Rêve project.</w:t>
      </w:r>
    </w:p>
    <w:p>
      <w:pPr>
        <w:sectPr>
          <w:pgSz w:w="11900" w:h="16838" w:orient="portrait"/>
          <w:cols w:equalWidth="0" w:num="1">
            <w:col w:w="10880"/>
          </w:cols>
          <w:pgMar w:left="780" w:top="131" w:right="239" w:bottom="0" w:gutter="0" w:footer="0" w:header="0"/>
        </w:sect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5"/>
          <w:szCs w:val="15"/>
          <w:b w:val="1"/>
          <w:bCs w:val="1"/>
          <w:color w:val="auto"/>
        </w:rPr>
        <w:t>Other Financing Transactions</w:t>
      </w:r>
    </w:p>
    <w:p>
      <w:pPr>
        <w:sectPr>
          <w:pgSz w:w="11900" w:h="16838" w:orient="portrait"/>
          <w:cols w:equalWidth="0" w:num="1">
            <w:col w:w="10880"/>
          </w:cols>
          <w:pgMar w:left="780" w:top="131" w:right="239" w:bottom="0" w:gutter="0" w:footer="0" w:header="0"/>
          <w:type w:val="continuous"/>
        </w:sectPr>
      </w:pPr>
    </w:p>
    <w:bookmarkStart w:id="4" w:name="page5"/>
    <w:bookmarkEnd w:id="4"/>
    <w:p>
      <w:pPr>
        <w:ind w:right="140" w:firstLine="348"/>
        <w:spacing w:after="0" w:line="290" w:lineRule="auto"/>
        <w:rPr>
          <w:sz w:val="20"/>
          <w:szCs w:val="20"/>
          <w:color w:val="auto"/>
        </w:rPr>
      </w:pPr>
      <w:r>
        <w:rPr>
          <w:rFonts w:ascii="Arial" w:cs="Arial" w:eastAsia="Arial" w:hAnsi="Arial"/>
          <w:sz w:val="16"/>
          <w:szCs w:val="16"/>
          <w:color w:val="auto"/>
        </w:rPr>
        <w:t>Wynn Las Vegas and Wynn Capital are indirect subsidiaries of Wynn Resorts. Concurrent with this offering, we expect that Wynn Resorts will offer shares of its common stock in an initial public offering expected to raise approximately $363.5 million in net proceeds. To develop and construct Le Rêve, we intend to use the net proceeds of this offering, borrowings of approximately $701.4 million under a $750 million revolving credit facility and $250 million under a delay draw term loan facility, facilities for which we have obtained commitments, and $178.5 million under an FF&amp;E facility, which is currently being syndicated, together with equity contributions from Wynn Resorts. We sometimes refer to the revolving credit facility and the delay draw term loan facility as the credit facilities. Consummation of this offering is conditioned on consummation of the offering of Wynn Resorts' common stock and on Wynn Las Vegas entering into the agreements governing the credit facilities and FF&amp;E facility.</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and the initial public offering of common stock by Wynn Resorts, including giving effect to the contribution of the Valvino membership interests to Wynn Resorts.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but not subject to their covenants, if it incurs, or becomes a guarantor on, other indebtedness.</w:t>
      </w:r>
    </w:p>
    <w:p>
      <w:pPr>
        <w:spacing w:after="0" w:line="17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Macau, a majority-owned indirect subsidiary of Wynn Resorts,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There remain a number of objectives to be met by Wynn Macau and the Macau government before Wynn Macau can pursue this Macau opportunity. We do not expect financing for this opportunity to be provided by or through any of the issuers or guarantors of the second mortgage notes. Furthermore, the assets of Wynn Resorts' Macau subsidiaries will not serve as collateral for our Le Rêve indebtedness.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72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97281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0" w:right="160" w:hanging="532"/>
        <w:spacing w:after="0" w:line="188" w:lineRule="auto"/>
        <w:tabs>
          <w:tab w:leader="none" w:pos="540" w:val="left"/>
        </w:tabs>
        <w:numPr>
          <w:ilvl w:val="0"/>
          <w:numId w:val="5"/>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See "Certain Relationships and Related Party Transactions—Stockholders Agreement."</w:t>
      </w:r>
    </w:p>
    <w:p>
      <w:pPr>
        <w:sectPr>
          <w:pgSz w:w="11900" w:h="16838" w:orient="portrait"/>
          <w:cols w:equalWidth="0" w:num="1">
            <w:col w:w="11420"/>
          </w:cols>
          <w:pgMar w:left="240" w:top="131" w:right="239" w:bottom="0" w:gutter="0" w:footer="0" w:header="0"/>
          <w:type w:val="continuous"/>
        </w:sectPr>
      </w:pPr>
    </w:p>
    <w:bookmarkStart w:id="5" w:name="page6"/>
    <w:bookmarkEnd w:id="5"/>
    <w:p>
      <w:pPr>
        <w:spacing w:after="0" w:line="69" w:lineRule="exact"/>
        <w:rPr>
          <w:sz w:val="20"/>
          <w:szCs w:val="20"/>
          <w:color w:val="auto"/>
        </w:rPr>
      </w:pPr>
    </w:p>
    <w:p>
      <w:pPr>
        <w:ind w:left="540" w:right="460" w:hanging="532"/>
        <w:spacing w:after="0" w:line="279"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Following the completion of this offering and the offering of Wynn Resorts common stock, Wynn Resorts intends to grant awards of restricted stock initially to six employees and to Mr. Franco Dragone, the creator of the new entertainment production at Le Rêve. The restricted stock will be subject to Wynn Resorts' repurchase right for a period of time.</w:t>
      </w:r>
    </w:p>
    <w:p>
      <w:pPr>
        <w:spacing w:after="0" w:line="70" w:lineRule="exact"/>
        <w:rPr>
          <w:rFonts w:ascii="Arial" w:cs="Arial" w:eastAsia="Arial" w:hAnsi="Arial"/>
          <w:sz w:val="12"/>
          <w:szCs w:val="12"/>
          <w:color w:val="auto"/>
        </w:rPr>
      </w:pPr>
    </w:p>
    <w:p>
      <w:pPr>
        <w:jc w:val="both"/>
        <w:ind w:left="540" w:right="80" w:hanging="532"/>
        <w:spacing w:after="0" w:line="188" w:lineRule="auto"/>
        <w:tabs>
          <w:tab w:leader="none" w:pos="54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subsidiaries which will develop the Macau opportunity will not be issuers, borrowers, guarantors or restricted entities with respect to the financing of Le Rêve, including the second mortgage notes.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20" w:hanging="532"/>
        <w:spacing w:after="0" w:line="188"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Includes a number of wholly owned and partially owned entities. Once certain minority investors formally acquire their interests in Wynn Resorts' Macau-related entities, Wynn Resorts will indirectly own an approximately 82.5% economic interest and will effectively control approximately 90% of the vote of Wynn Macau indirectly through various subsidiaries. For additional information regarding these entities, see "Our Affiliate's Opportunity in Macau—Ownership Structure of Macau-Related Entities."</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7"/>
        </w:numPr>
        <w:rPr>
          <w:rFonts w:ascii="Arial" w:cs="Arial" w:eastAsia="Arial" w:hAnsi="Arial"/>
          <w:sz w:val="27"/>
          <w:szCs w:val="27"/>
          <w:color w:val="auto"/>
          <w:vertAlign w:val="subscript"/>
        </w:rPr>
      </w:pPr>
      <w:r>
        <w:rPr>
          <w:rFonts w:ascii="Arial" w:cs="Arial" w:eastAsia="Arial" w:hAnsi="Arial"/>
          <w:sz w:val="14"/>
          <w:szCs w:val="14"/>
          <w:color w:val="auto"/>
        </w:rPr>
        <w:t>Includes a number of wholly owned subsidiary limited liability companies. These entities include Rambas Marketing Co., LLC, Toasty, LLC, and WorldWide Wynn, LLC.</w:t>
      </w:r>
    </w:p>
    <w:p>
      <w:pPr>
        <w:spacing w:after="0" w:line="71" w:lineRule="exact"/>
        <w:rPr>
          <w:rFonts w:ascii="Arial" w:cs="Arial" w:eastAsia="Arial" w:hAnsi="Arial"/>
          <w:sz w:val="27"/>
          <w:szCs w:val="27"/>
          <w:color w:val="auto"/>
          <w:vertAlign w:val="subscript"/>
        </w:rPr>
      </w:pPr>
    </w:p>
    <w:p>
      <w:pPr>
        <w:ind w:left="540" w:right="40" w:hanging="532"/>
        <w:spacing w:after="0" w:line="186" w:lineRule="auto"/>
        <w:tabs>
          <w:tab w:leader="none" w:pos="540" w:val="left"/>
        </w:tabs>
        <w:numPr>
          <w:ilvl w:val="0"/>
          <w:numId w:val="7"/>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84" w:lineRule="exact"/>
        <w:rPr>
          <w:rFonts w:ascii="Arial" w:cs="Arial" w:eastAsia="Arial" w:hAnsi="Arial"/>
          <w:sz w:val="24"/>
          <w:szCs w:val="24"/>
          <w:color w:val="auto"/>
          <w:vertAlign w:val="subscript"/>
        </w:rPr>
      </w:pPr>
    </w:p>
    <w:p>
      <w:pPr>
        <w:ind w:left="540" w:right="120" w:hanging="532"/>
        <w:spacing w:after="0" w:line="188"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 million of the net proceeds of its initial public offering to a special purpose subsidiary of Wynn Las Vegas, which will provide a $50 million completion quarantee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on Issuers</w:t>
      </w:r>
    </w:p>
    <w:p>
      <w:pPr>
        <w:spacing w:after="0" w:line="231"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At the closing of this offering, Wynn Las Vegas and Wynn Capital will be indirect wholly owned subsidiaries of Wynn Resorts. The principal executive offices of Wynn Las Vegas and Wynn Capital are located at 3145 Las Vegas Boulevard South, Las Vegas, Nevada 89109. The telephone number of Wynn Las Vegas and Wynn Capital is (702) 733-4444.</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summary below describes the principal terms of the second mortgage notes. Certain of the terms and conditions described below are subject to important limitations and exceptions. Please see "Description of the Second Mortgage Notes" for a more detailed description of the terms and conditions of the second mortgage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Issuers</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rPr>
              <w:t>Wynn Las Vegas, LLC and Wynn Las Vegas Capital Corp., collectively, the issuers.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4440" w:type="dxa"/>
            <w:vAlign w:val="bottom"/>
            <w:gridSpan w:val="2"/>
          </w:tcPr>
          <w:p>
            <w:pPr>
              <w:ind w:left="1300"/>
              <w:spacing w:after="0"/>
              <w:rPr>
                <w:sz w:val="20"/>
                <w:szCs w:val="20"/>
                <w:color w:val="auto"/>
              </w:rPr>
            </w:pPr>
            <w:r>
              <w:rPr>
                <w:rFonts w:ascii="Arial" w:cs="Arial" w:eastAsia="Arial" w:hAnsi="Arial"/>
                <w:sz w:val="18"/>
                <w:szCs w:val="18"/>
                <w:color w:val="auto"/>
                <w:w w:val="91"/>
              </w:rPr>
              <w:t>$350 million aggregate principal amount of</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 second mortgage notes due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Maturity</w:t>
            </w:r>
          </w:p>
        </w:tc>
        <w:tc>
          <w:tcPr>
            <w:tcW w:w="3520" w:type="dxa"/>
            <w:vAlign w:val="bottom"/>
          </w:tcPr>
          <w:p>
            <w:pPr>
              <w:ind w:left="2440"/>
              <w:spacing w:after="0"/>
              <w:rPr>
                <w:sz w:val="20"/>
                <w:szCs w:val="20"/>
                <w:color w:val="auto"/>
              </w:rPr>
            </w:pPr>
            <w:r>
              <w:rPr>
                <w:rFonts w:ascii="Arial" w:cs="Arial" w:eastAsia="Arial" w:hAnsi="Arial"/>
                <w:sz w:val="18"/>
                <w:szCs w:val="18"/>
                <w:color w:val="auto"/>
              </w:rPr>
              <w:t>, 2010.</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Interest Rate</w:t>
            </w:r>
          </w:p>
        </w:tc>
        <w:tc>
          <w:tcPr>
            <w:tcW w:w="6080" w:type="dxa"/>
            <w:vAlign w:val="bottom"/>
            <w:gridSpan w:val="3"/>
          </w:tcPr>
          <w:p>
            <w:pPr>
              <w:ind w:left="1480"/>
              <w:spacing w:after="0"/>
              <w:rPr>
                <w:sz w:val="20"/>
                <w:szCs w:val="20"/>
                <w:color w:val="auto"/>
              </w:rPr>
            </w:pPr>
            <w:r>
              <w:rPr>
                <w:rFonts w:ascii="Arial" w:cs="Arial" w:eastAsia="Arial" w:hAnsi="Arial"/>
                <w:sz w:val="18"/>
                <w:szCs w:val="18"/>
                <w:color w:val="auto"/>
              </w:rPr>
              <w:t>% per year (calculated using a 360-day year).</w:t>
            </w:r>
          </w:p>
        </w:tc>
        <w:tc>
          <w:tcPr>
            <w:tcW w:w="236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3520" w:type="dxa"/>
            <w:vAlign w:val="bottom"/>
          </w:tcPr>
          <w:p>
            <w:pPr>
              <w:ind w:left="2440"/>
              <w:spacing w:after="0"/>
              <w:rPr>
                <w:sz w:val="20"/>
                <w:szCs w:val="20"/>
                <w:color w:val="auto"/>
              </w:rPr>
            </w:pPr>
            <w:r>
              <w:rPr>
                <w:rFonts w:ascii="Arial" w:cs="Arial" w:eastAsia="Arial" w:hAnsi="Arial"/>
                <w:sz w:val="18"/>
                <w:szCs w:val="18"/>
                <w:color w:val="auto"/>
              </w:rPr>
              <w:t>and</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40" w:type="dxa"/>
            <w:vAlign w:val="bottom"/>
          </w:tcPr>
          <w:p>
            <w:pPr>
              <w:ind w:left="60"/>
              <w:spacing w:after="0"/>
              <w:rPr>
                <w:sz w:val="20"/>
                <w:szCs w:val="20"/>
                <w:color w:val="auto"/>
              </w:rPr>
            </w:pPr>
            <w:r>
              <w:rPr>
                <w:rFonts w:ascii="Arial" w:cs="Arial" w:eastAsia="Arial" w:hAnsi="Arial"/>
                <w:sz w:val="18"/>
                <w:szCs w:val="18"/>
                <w:color w:val="auto"/>
              </w:rPr>
              <w:t>beginning on</w:t>
            </w:r>
          </w:p>
        </w:tc>
        <w:tc>
          <w:tcPr>
            <w:tcW w:w="2360" w:type="dxa"/>
            <w:vAlign w:val="bottom"/>
          </w:tcPr>
          <w:p>
            <w:pPr>
              <w:ind w:left="480"/>
              <w:spacing w:after="0"/>
              <w:rPr>
                <w:sz w:val="20"/>
                <w:szCs w:val="20"/>
                <w:color w:val="auto"/>
              </w:rPr>
            </w:pPr>
            <w:r>
              <w:rPr>
                <w:rFonts w:ascii="Arial" w:cs="Arial" w:eastAsia="Arial" w:hAnsi="Arial"/>
                <w:sz w:val="18"/>
                <w:szCs w:val="18"/>
                <w:color w:val="auto"/>
                <w:w w:val="88"/>
              </w:rPr>
              <w:t>, 2003. Interest will accrue</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rPr>
              <w:t>from the issue date of the second mortgage notes.</w:t>
            </w:r>
          </w:p>
        </w:tc>
        <w:tc>
          <w:tcPr>
            <w:tcW w:w="236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Guarantors</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Valvino and its direct and indirect restricted entities (other than the issuers) will guarantee the second</w:t>
            </w:r>
          </w:p>
        </w:tc>
      </w:tr>
      <w:tr>
        <w:trPr>
          <w:trHeight w:val="216"/>
        </w:trPr>
        <w:tc>
          <w:tcPr>
            <w:tcW w:w="2940" w:type="dxa"/>
            <w:vAlign w:val="bottom"/>
          </w:tcPr>
          <w:p>
            <w:pPr>
              <w:spacing w:after="0"/>
              <w:rPr>
                <w:sz w:val="18"/>
                <w:szCs w:val="18"/>
                <w:color w:val="auto"/>
              </w:rPr>
            </w:pP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mortgage notes. In certain circumstances, Wynn Resorts may guarantee the second mortgage notes.</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w w:val="95"/>
              </w:rPr>
              <w:t>The guarantees may be released under certain circumstances.</w:t>
            </w:r>
          </w:p>
        </w:tc>
        <w:tc>
          <w:tcPr>
            <w:tcW w:w="236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Security</w:t>
            </w:r>
          </w:p>
        </w:tc>
        <w:tc>
          <w:tcPr>
            <w:tcW w:w="8440" w:type="dxa"/>
            <w:vAlign w:val="bottom"/>
            <w:gridSpan w:val="4"/>
          </w:tcPr>
          <w:p>
            <w:pPr>
              <w:ind w:left="1300"/>
              <w:spacing w:after="0"/>
              <w:rPr>
                <w:sz w:val="20"/>
                <w:szCs w:val="20"/>
                <w:color w:val="auto"/>
              </w:rPr>
            </w:pPr>
            <w:r>
              <w:rPr>
                <w:rFonts w:ascii="Arial" w:cs="Arial" w:eastAsia="Arial" w:hAnsi="Arial"/>
                <w:sz w:val="18"/>
                <w:szCs w:val="18"/>
                <w:color w:val="auto"/>
                <w:w w:val="88"/>
              </w:rPr>
              <w:t>To the extent permitted by gaming and other applicable laws, and subject to specified permitted liens,</w:t>
            </w:r>
          </w:p>
        </w:tc>
      </w:tr>
      <w:tr>
        <w:trPr>
          <w:trHeight w:val="222"/>
        </w:trPr>
        <w:tc>
          <w:tcPr>
            <w:tcW w:w="2940" w:type="dxa"/>
            <w:vAlign w:val="bottom"/>
          </w:tcPr>
          <w:p>
            <w:pPr>
              <w:spacing w:after="0"/>
              <w:rPr>
                <w:sz w:val="19"/>
                <w:szCs w:val="19"/>
                <w:color w:val="auto"/>
              </w:rPr>
            </w:pPr>
          </w:p>
        </w:tc>
        <w:tc>
          <w:tcPr>
            <w:tcW w:w="6080" w:type="dxa"/>
            <w:vAlign w:val="bottom"/>
            <w:gridSpan w:val="3"/>
          </w:tcPr>
          <w:p>
            <w:pPr>
              <w:ind w:left="1300"/>
              <w:spacing w:after="0"/>
              <w:rPr>
                <w:sz w:val="20"/>
                <w:szCs w:val="20"/>
                <w:color w:val="auto"/>
              </w:rPr>
            </w:pPr>
            <w:r>
              <w:rPr>
                <w:rFonts w:ascii="Arial" w:cs="Arial" w:eastAsia="Arial" w:hAnsi="Arial"/>
                <w:sz w:val="18"/>
                <w:szCs w:val="18"/>
                <w:color w:val="auto"/>
              </w:rPr>
              <w:t>the second mortgage notes will be secured by:</w:t>
            </w:r>
          </w:p>
        </w:tc>
        <w:tc>
          <w:tcPr>
            <w:tcW w:w="2360" w:type="dxa"/>
            <w:vAlign w:val="bottom"/>
          </w:tcPr>
          <w:p>
            <w:pPr>
              <w:spacing w:after="0"/>
              <w:rPr>
                <w:sz w:val="19"/>
                <w:szCs w:val="19"/>
                <w:color w:val="auto"/>
              </w:rPr>
            </w:pPr>
          </w:p>
        </w:tc>
      </w:tr>
    </w:tbl>
    <w:p>
      <w:pPr>
        <w:spacing w:after="0" w:line="210" w:lineRule="exact"/>
        <w:rPr>
          <w:sz w:val="20"/>
          <w:szCs w:val="20"/>
          <w:color w:val="auto"/>
        </w:rPr>
      </w:pPr>
    </w:p>
    <w:p>
      <w:pPr>
        <w:ind w:left="4800" w:right="200" w:hanging="359"/>
        <w:spacing w:after="0" w:line="370" w:lineRule="auto"/>
        <w:tabs>
          <w:tab w:leader="none" w:pos="4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a first priority lien on the net proceeds of this offering, which will be deposited in a secured account pending release to fund disbursement requests under the disbursement agreement;</w:t>
      </w:r>
    </w:p>
    <w:p>
      <w:pPr>
        <w:spacing w:after="0" w:line="116" w:lineRule="exact"/>
        <w:rPr>
          <w:rFonts w:ascii="Arial" w:cs="Arial" w:eastAsia="Arial" w:hAnsi="Arial"/>
          <w:sz w:val="15"/>
          <w:szCs w:val="15"/>
          <w:color w:val="auto"/>
        </w:rPr>
      </w:pPr>
    </w:p>
    <w:p>
      <w:pPr>
        <w:ind w:left="4800" w:hanging="359"/>
        <w:spacing w:after="0" w:line="259" w:lineRule="auto"/>
        <w:tabs>
          <w:tab w:leader="none" w:pos="4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second priority lien on substantially all of the other existing and future assets of the issuers, including the Le Rêve hotel and casino and certain specified material agreements to which the issuers are party, other than the FF&amp;E collateral;</w:t>
      </w:r>
    </w:p>
    <w:p>
      <w:pPr>
        <w:spacing w:after="0" w:line="194" w:lineRule="exact"/>
        <w:rPr>
          <w:rFonts w:ascii="Arial" w:cs="Arial" w:eastAsia="Arial" w:hAnsi="Arial"/>
          <w:sz w:val="18"/>
          <w:szCs w:val="18"/>
          <w:color w:val="auto"/>
        </w:rPr>
      </w:pPr>
    </w:p>
    <w:p>
      <w:pPr>
        <w:ind w:left="4800" w:right="320" w:hanging="359"/>
        <w:spacing w:after="0" w:line="306" w:lineRule="auto"/>
        <w:tabs>
          <w:tab w:leader="none" w:pos="4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second priority lien on the $50.0 million to be deposited into the completion guarantor's completion guarantee deposit account on the closing date of this offering to support the $50.0 million guarantee of the completion in full of the Le Rêve hotel and casino;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right="140" w:hanging="359"/>
        <w:spacing w:after="0" w:line="306" w:lineRule="auto"/>
        <w:tabs>
          <w:tab w:leader="none" w:pos="4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second priority lien on the $30.0 million to be deposited into Wynn Las Vegas' liquidity reserve account on the closing date of this offering to support the completion of the Le Rêve hotel and casino, and to be used for debt service following completion; and</w:t>
      </w:r>
    </w:p>
    <w:p>
      <w:pPr>
        <w:spacing w:after="0" w:line="160" w:lineRule="exact"/>
        <w:rPr>
          <w:rFonts w:ascii="Arial" w:cs="Arial" w:eastAsia="Arial" w:hAnsi="Arial"/>
          <w:sz w:val="16"/>
          <w:szCs w:val="16"/>
          <w:color w:val="auto"/>
        </w:rPr>
      </w:pPr>
    </w:p>
    <w:p>
      <w:pPr>
        <w:ind w:left="4800" w:hanging="359"/>
        <w:spacing w:after="0"/>
        <w:tabs>
          <w:tab w:leader="none" w:pos="4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third priority lien on the FF&amp;E collateral.</w:t>
      </w:r>
    </w:p>
    <w:p>
      <w:pPr>
        <w:spacing w:after="0" w:line="225" w:lineRule="exact"/>
        <w:rPr>
          <w:sz w:val="20"/>
          <w:szCs w:val="20"/>
          <w:color w:val="auto"/>
        </w:rPr>
      </w:pPr>
    </w:p>
    <w:p>
      <w:pPr>
        <w:ind w:left="4240" w:right="120"/>
        <w:spacing w:after="0" w:line="370" w:lineRule="auto"/>
        <w:rPr>
          <w:sz w:val="20"/>
          <w:szCs w:val="20"/>
          <w:color w:val="auto"/>
        </w:rPr>
      </w:pPr>
      <w:r>
        <w:rPr>
          <w:rFonts w:ascii="Arial" w:cs="Arial" w:eastAsia="Arial" w:hAnsi="Arial"/>
          <w:sz w:val="15"/>
          <w:szCs w:val="15"/>
          <w:color w:val="auto"/>
        </w:rPr>
        <w:t>The FF&amp;E collateral consists of all existing and future assets of Wynn Las Vegas that are pledged or assigned under the FF&amp;E facility or the related collateral documents to the lenders under the FF&amp;E</w:t>
      </w:r>
    </w:p>
    <w:p>
      <w:pPr>
        <w:sectPr>
          <w:pgSz w:w="11900" w:h="16908" w:orient="portrait"/>
          <w:cols w:equalWidth="0" w:num="1">
            <w:col w:w="11420"/>
          </w:cols>
          <w:pgMar w:left="240" w:top="129" w:right="239" w:bottom="0" w:gutter="0" w:footer="0" w:header="0"/>
        </w:sectPr>
      </w:pPr>
    </w:p>
    <w:bookmarkStart w:id="6" w:name="page7"/>
    <w:bookmarkEnd w:id="6"/>
    <w:p>
      <w:pPr>
        <w:ind w:left="4240" w:right="160"/>
        <w:spacing w:after="0" w:line="268" w:lineRule="auto"/>
        <w:rPr>
          <w:sz w:val="20"/>
          <w:szCs w:val="20"/>
          <w:color w:val="auto"/>
        </w:rPr>
      </w:pPr>
      <w:r>
        <w:rPr>
          <w:rFonts w:ascii="Arial" w:cs="Arial" w:eastAsia="Arial" w:hAnsi="Arial"/>
          <w:sz w:val="18"/>
          <w:szCs w:val="18"/>
          <w:color w:val="auto"/>
        </w:rPr>
        <w:t>facility, excluding certain aircraft assets. See "Description of the Second Mortgage Notes—Security Interests—Security for the Notes."</w:t>
      </w:r>
    </w:p>
    <w:p>
      <w:pPr>
        <w:spacing w:after="0" w:line="186" w:lineRule="exact"/>
        <w:rPr>
          <w:sz w:val="20"/>
          <w:szCs w:val="20"/>
          <w:color w:val="auto"/>
        </w:rPr>
      </w:pPr>
    </w:p>
    <w:p>
      <w:pPr>
        <w:ind w:left="4240" w:right="600"/>
        <w:spacing w:after="0" w:line="268" w:lineRule="auto"/>
        <w:rPr>
          <w:sz w:val="20"/>
          <w:szCs w:val="20"/>
          <w:color w:val="auto"/>
        </w:rPr>
      </w:pPr>
      <w:r>
        <w:rPr>
          <w:rFonts w:ascii="Arial" w:cs="Arial" w:eastAsia="Arial" w:hAnsi="Arial"/>
          <w:sz w:val="18"/>
          <w:szCs w:val="18"/>
          <w:color w:val="auto"/>
        </w:rPr>
        <w:t>The guarantors' obligations under the guarantees, to the extent permitted by gaming and other applicable laws, will be secured by:</w:t>
      </w:r>
    </w:p>
    <w:p>
      <w:pPr>
        <w:spacing w:after="0" w:line="186" w:lineRule="exact"/>
        <w:rPr>
          <w:sz w:val="20"/>
          <w:szCs w:val="20"/>
          <w:color w:val="auto"/>
        </w:rPr>
      </w:pPr>
    </w:p>
    <w:p>
      <w:pPr>
        <w:ind w:left="4800" w:right="120" w:hanging="359"/>
        <w:spacing w:after="0" w:line="254" w:lineRule="auto"/>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second priority lien on substantially all of the existing and future assets (other than gaming licenses and certain aircraft assets) of the guarantors, including the golf course land, the 20 acre parcel of land fronting Las Vegas Boulevard next to the Le Rêve site, which we sometimes refer to as the Phase II land, water rights for the golf course land and Le Rêve's water entertainment features, and certain specified material agreements to which any guarantor is a party; and</w:t>
      </w:r>
    </w:p>
    <w:p>
      <w:pPr>
        <w:spacing w:after="0" w:line="198" w:lineRule="exact"/>
        <w:rPr>
          <w:sz w:val="20"/>
          <w:szCs w:val="20"/>
          <w:color w:val="auto"/>
        </w:rPr>
      </w:pPr>
    </w:p>
    <w:p>
      <w:pPr>
        <w:ind w:left="4800" w:right="120" w:hanging="359"/>
        <w:spacing w:after="0" w:line="256" w:lineRule="auto"/>
        <w:tabs>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second priority pledge of the equity interests held by the guarantors in any of their existing or future subsidiaries. The guarantees will not be secured by the aircraft assets. See "Description of the Second Mortgage Notes—Security Interests—Security for the Guarantees."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0"/>
              </w:rPr>
              <w:t>In the event that Wynn Resorts becomes a guarantor by issuing a parent guarantee, that guarantee</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8"/>
              </w:rPr>
              <w:t>may be secured by a security interest in all or specified existing or future assets of Wynn Resorts. See</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5"/>
              </w:rPr>
              <w:t>"Description of Second Mortgage Notes——Certain Covenants—Restrictions on Incurrence of</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Indebtedness and Guarantees by Wynn Resorts."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Release of Collateral</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The second mortgage note holders' security interests in all or certain portions of the golf course</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2"/>
              </w:rPr>
              <w:t>land,and related collateral (including water rights), and in all of the Phase II land, may be released</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5"/>
              </w:rPr>
              <w:t>under the circumstances more fully described in "Description of the Second Mortgage Notes—</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0"/>
              </w:rPr>
              <w:t>Security Interests—Release of golf course land and Phase II land." Upon any such release of those</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3"/>
              </w:rPr>
              <w:t>security interests, the disposition or transfer of such assets will no longer be subject to any of the</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restrictive covenants in the indenture.</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60" w:type="dxa"/>
            <w:vAlign w:val="bottom"/>
          </w:tcPr>
          <w:p>
            <w:pPr>
              <w:jc w:val="right"/>
              <w:ind w:right="5572"/>
              <w:spacing w:after="0"/>
              <w:rPr>
                <w:sz w:val="20"/>
                <w:szCs w:val="20"/>
                <w:color w:val="auto"/>
              </w:rPr>
            </w:pPr>
            <w:r>
              <w:rPr>
                <w:rFonts w:ascii="Arial" w:cs="Arial" w:eastAsia="Arial" w:hAnsi="Arial"/>
                <w:sz w:val="18"/>
                <w:szCs w:val="18"/>
                <w:color w:val="auto"/>
                <w:w w:val="79"/>
              </w:rPr>
              <w:t>8</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gridSpan w:val="3"/>
          </w:tcPr>
          <w:p>
            <w:pPr>
              <w:spacing w:after="0"/>
              <w:rPr>
                <w:sz w:val="19"/>
                <w:szCs w:val="19"/>
                <w:color w:val="auto"/>
              </w:rPr>
            </w:pPr>
          </w:p>
        </w:tc>
      </w:tr>
      <w:tr>
        <w:trPr>
          <w:trHeight w:val="529"/>
        </w:trPr>
        <w:tc>
          <w:tcPr>
            <w:tcW w:w="4060" w:type="dxa"/>
            <w:vAlign w:val="bottom"/>
          </w:tcPr>
          <w:p>
            <w:pPr>
              <w:spacing w:after="0"/>
              <w:rPr>
                <w:sz w:val="20"/>
                <w:szCs w:val="20"/>
                <w:color w:val="auto"/>
              </w:rPr>
            </w:pPr>
            <w:r>
              <w:rPr>
                <w:rFonts w:ascii="Arial" w:cs="Arial" w:eastAsia="Arial" w:hAnsi="Arial"/>
                <w:sz w:val="18"/>
                <w:szCs w:val="18"/>
                <w:color w:val="auto"/>
              </w:rPr>
              <w:t>Ranking</w:t>
            </w: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The second mortgage notes will be general obligations of the issuers and will rank senior to any</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5"/>
              </w:rPr>
              <w:t>future subordinated indebtedness of the issuers. The second mortgage notes will be effectively</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5"/>
              </w:rPr>
              <w:t>subordinated to borrowings under the credit facilities and under the FF&amp;E facility to the extent:</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that the lenders under the credit facilities have security interests in the collateral that rank</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prior to the security interests in the collateral securing the second mortgage notes;</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that the lenders under the FF&amp;E facility have security interests in the FF&amp;E collateral that</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89"/>
              </w:rPr>
              <w:t>rank prior to the security interests in that collateral securing the second mortgage notes;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7"/>
              </w:rPr>
              <w:t>of the restrictions on payment and exercise of remedies contained in the intercreditor</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89"/>
              </w:rPr>
              <w:t>agreements. See "Description of the Second Mortgage Notes—Brief Description of the Notes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and the Guarantees—The Notes."</w:t>
            </w:r>
          </w:p>
        </w:tc>
      </w:tr>
      <w:tr>
        <w:trPr>
          <w:trHeight w:val="426"/>
        </w:trPr>
        <w:tc>
          <w:tcPr>
            <w:tcW w:w="4060" w:type="dxa"/>
            <w:vAlign w:val="bottom"/>
          </w:tcPr>
          <w:p>
            <w:pPr>
              <w:spacing w:after="0"/>
              <w:rPr>
                <w:sz w:val="24"/>
                <w:szCs w:val="24"/>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9"/>
              </w:rPr>
              <w:t>Each guarantee of the second mortgage notes will be a secured obligation of each guarantor and will</w:t>
            </w:r>
          </w:p>
        </w:tc>
      </w:tr>
      <w:tr>
        <w:trPr>
          <w:trHeight w:val="216"/>
        </w:trPr>
        <w:tc>
          <w:tcPr>
            <w:tcW w:w="4060" w:type="dxa"/>
            <w:vAlign w:val="bottom"/>
          </w:tcPr>
          <w:p>
            <w:pPr>
              <w:spacing w:after="0"/>
              <w:rPr>
                <w:sz w:val="18"/>
                <w:szCs w:val="18"/>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5"/>
              </w:rPr>
              <w:t>rank senior to all of the existing and future subordinated indebtedness of each guarantor. Each</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guarantee will be effectively subordinated to the guarantee given by each guarantor:</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3"/>
              </w:rPr>
              <w:t>for the obligations under the credit facilities to the extent that the lenders under the credit</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7"/>
              </w:rPr>
              <w:t>facilities have security interests in the collateral of that guarantor that rank prior to the</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security interests in the collateral securing that guarantor's guarantee;</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1"/>
              </w:rPr>
              <w:t>in that the lenders under the FF&amp;E facility have security interests in assets that do not also</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secure the second mortgage notes;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0"/>
              </w:rPr>
              <w:t>in light of the restrictions on payment and exercise of remedies contained in the intercreditor</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89"/>
              </w:rPr>
              <w:t>agreements. See "Description of the Second Mortgage Notes—Brief Description of the Notes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and the Guarantees—The Guarantees."</w:t>
            </w:r>
          </w:p>
        </w:tc>
      </w:tr>
      <w:tr>
        <w:trPr>
          <w:trHeight w:val="426"/>
        </w:trPr>
        <w:tc>
          <w:tcPr>
            <w:tcW w:w="4060" w:type="dxa"/>
            <w:vAlign w:val="bottom"/>
          </w:tcPr>
          <w:p>
            <w:pPr>
              <w:spacing w:after="0"/>
              <w:rPr>
                <w:sz w:val="24"/>
                <w:szCs w:val="24"/>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94"/>
              </w:rPr>
              <w:t>In the event that Wynn Resorts becomes a parent guarantor by issuing a parent guarantee, that</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rPr>
              <w:t>guarantee may constitute senior or subordinated indebtedness of Wynn Resorts.</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60" w:type="dxa"/>
            <w:vAlign w:val="bottom"/>
          </w:tcPr>
          <w:p>
            <w:pPr>
              <w:jc w:val="right"/>
              <w:ind w:right="5572"/>
              <w:spacing w:after="0"/>
              <w:rPr>
                <w:sz w:val="20"/>
                <w:szCs w:val="20"/>
                <w:color w:val="auto"/>
              </w:rPr>
            </w:pPr>
            <w:r>
              <w:rPr>
                <w:rFonts w:ascii="Arial" w:cs="Arial" w:eastAsia="Arial" w:hAnsi="Arial"/>
                <w:sz w:val="18"/>
                <w:szCs w:val="18"/>
                <w:color w:val="auto"/>
                <w:w w:val="79"/>
              </w:rPr>
              <w:t>9</w:t>
            </w:r>
          </w:p>
        </w:tc>
      </w:tr>
      <w:tr>
        <w:trPr>
          <w:trHeight w:val="228"/>
        </w:trPr>
        <w:tc>
          <w:tcPr>
            <w:tcW w:w="40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2"/>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r>
      <w:tr>
        <w:trPr>
          <w:trHeight w:val="529"/>
        </w:trPr>
        <w:tc>
          <w:tcPr>
            <w:tcW w:w="4060" w:type="dxa"/>
            <w:vAlign w:val="bottom"/>
          </w:tcPr>
          <w:p>
            <w:pPr>
              <w:spacing w:after="0"/>
              <w:rPr>
                <w:sz w:val="20"/>
                <w:szCs w:val="20"/>
                <w:color w:val="auto"/>
              </w:rPr>
            </w:pPr>
            <w:r>
              <w:rPr>
                <w:rFonts w:ascii="Arial" w:cs="Arial" w:eastAsia="Arial" w:hAnsi="Arial"/>
                <w:sz w:val="18"/>
                <w:szCs w:val="18"/>
                <w:color w:val="auto"/>
                <w:w w:val="95"/>
              </w:rPr>
              <w:t>Optional Redemption After Qualified Equity Offerings</w:t>
            </w: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w w:val="92"/>
              </w:rPr>
              <w:t>At any time prior to</w:t>
            </w:r>
          </w:p>
        </w:tc>
        <w:tc>
          <w:tcPr>
            <w:tcW w:w="5760" w:type="dxa"/>
            <w:vAlign w:val="bottom"/>
          </w:tcPr>
          <w:p>
            <w:pPr>
              <w:jc w:val="right"/>
              <w:ind w:right="32"/>
              <w:spacing w:after="0"/>
              <w:rPr>
                <w:sz w:val="20"/>
                <w:szCs w:val="20"/>
                <w:color w:val="auto"/>
              </w:rPr>
            </w:pPr>
            <w:r>
              <w:rPr>
                <w:rFonts w:ascii="Arial" w:cs="Arial" w:eastAsia="Arial" w:hAnsi="Arial"/>
                <w:sz w:val="18"/>
                <w:szCs w:val="18"/>
                <w:color w:val="auto"/>
                <w:w w:val="98"/>
              </w:rPr>
              <w:t>, 2005 the issuers may, on one or more occasions redeem up to 35% of</w:t>
            </w:r>
          </w:p>
        </w:tc>
      </w:tr>
      <w:tr>
        <w:trPr>
          <w:trHeight w:val="222"/>
        </w:trPr>
        <w:tc>
          <w:tcPr>
            <w:tcW w:w="4060" w:type="dxa"/>
            <w:vAlign w:val="bottom"/>
          </w:tcPr>
          <w:p>
            <w:pPr>
              <w:spacing w:after="0"/>
              <w:rPr>
                <w:sz w:val="19"/>
                <w:szCs w:val="19"/>
                <w:color w:val="auto"/>
              </w:rPr>
            </w:pPr>
          </w:p>
        </w:tc>
        <w:tc>
          <w:tcPr>
            <w:tcW w:w="7360" w:type="dxa"/>
            <w:vAlign w:val="bottom"/>
            <w:gridSpan w:val="3"/>
          </w:tcPr>
          <w:p>
            <w:pPr>
              <w:ind w:left="180"/>
              <w:spacing w:after="0"/>
              <w:rPr>
                <w:sz w:val="20"/>
                <w:szCs w:val="20"/>
                <w:color w:val="auto"/>
              </w:rPr>
            </w:pPr>
            <w:r>
              <w:rPr>
                <w:rFonts w:ascii="Arial" w:cs="Arial" w:eastAsia="Arial" w:hAnsi="Arial"/>
                <w:sz w:val="18"/>
                <w:szCs w:val="18"/>
                <w:color w:val="auto"/>
                <w:w w:val="88"/>
              </w:rPr>
              <w:t>the outstanding second mortgage notes at a redemption price of  %, plus accrued and unpaid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-5671185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-5671185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ind w:left="4240" w:right="120"/>
        <w:spacing w:after="0" w:line="268" w:lineRule="auto"/>
        <w:rPr>
          <w:sz w:val="20"/>
          <w:szCs w:val="20"/>
          <w:color w:val="auto"/>
        </w:rPr>
      </w:pPr>
      <w:r>
        <w:rPr>
          <w:rFonts w:ascii="Arial" w:cs="Arial" w:eastAsia="Arial" w:hAnsi="Arial"/>
          <w:sz w:val="18"/>
          <w:szCs w:val="18"/>
          <w:color w:val="auto"/>
        </w:rPr>
        <w:t>with the net cash proceeds of one or more qualified equity offerings of Wynn Resorts (other than the initial public offering), as long as, among other things:</w:t>
      </w:r>
    </w:p>
    <w:p>
      <w:pPr>
        <w:spacing w:after="0" w:line="186" w:lineRule="exact"/>
        <w:rPr>
          <w:sz w:val="20"/>
          <w:szCs w:val="20"/>
          <w:color w:val="auto"/>
        </w:rPr>
      </w:pPr>
    </w:p>
    <w:p>
      <w:pPr>
        <w:ind w:left="4800" w:right="380" w:hanging="359"/>
        <w:spacing w:after="0" w:line="268" w:lineRule="auto"/>
        <w:tabs>
          <w:tab w:leader="none" w:pos="4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redeem the second mortgage notes within 60 days of completing the qualified equity offering; and</w:t>
      </w:r>
    </w:p>
    <w:p>
      <w:pPr>
        <w:spacing w:after="0" w:line="185" w:lineRule="exact"/>
        <w:rPr>
          <w:rFonts w:ascii="Arial" w:cs="Arial" w:eastAsia="Arial" w:hAnsi="Arial"/>
          <w:sz w:val="18"/>
          <w:szCs w:val="18"/>
          <w:color w:val="auto"/>
        </w:rPr>
      </w:pPr>
    </w:p>
    <w:p>
      <w:pPr>
        <w:ind w:left="4800" w:right="420" w:hanging="359"/>
        <w:spacing w:after="0" w:line="332" w:lineRule="auto"/>
        <w:tabs>
          <w:tab w:leader="none" w:pos="4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least 65% of the aggregate principal amount of second mortgage notes issued remains outstanding (excluding notes held by Wynn Resorts and its subsidiaries).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Optional Redemption</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9"/>
              </w:rPr>
              <w:t>Except in connection with a qualified equity offering of Wynn Resorts, the issuers cannot redeem the</w:t>
            </w:r>
          </w:p>
        </w:tc>
      </w:tr>
      <w:tr>
        <w:trPr>
          <w:trHeight w:val="216"/>
        </w:trPr>
        <w:tc>
          <w:tcPr>
            <w:tcW w:w="3220" w:type="dxa"/>
            <w:vAlign w:val="bottom"/>
          </w:tcPr>
          <w:p>
            <w:pPr>
              <w:spacing w:after="0"/>
              <w:rPr>
                <w:sz w:val="18"/>
                <w:szCs w:val="18"/>
                <w:color w:val="auto"/>
              </w:rPr>
            </w:pPr>
          </w:p>
        </w:tc>
        <w:tc>
          <w:tcPr>
            <w:tcW w:w="3180" w:type="dxa"/>
            <w:vAlign w:val="bottom"/>
            <w:gridSpan w:val="2"/>
          </w:tcPr>
          <w:p>
            <w:pPr>
              <w:ind w:left="1020"/>
              <w:spacing w:after="0"/>
              <w:rPr>
                <w:sz w:val="20"/>
                <w:szCs w:val="20"/>
                <w:color w:val="auto"/>
              </w:rPr>
            </w:pPr>
            <w:r>
              <w:rPr>
                <w:rFonts w:ascii="Arial" w:cs="Arial" w:eastAsia="Arial" w:hAnsi="Arial"/>
                <w:sz w:val="18"/>
                <w:szCs w:val="18"/>
                <w:color w:val="auto"/>
                <w:w w:val="94"/>
              </w:rPr>
              <w:t>second mortgage notes until</w:t>
            </w:r>
          </w:p>
        </w:tc>
        <w:tc>
          <w:tcPr>
            <w:tcW w:w="5020" w:type="dxa"/>
            <w:vAlign w:val="bottom"/>
          </w:tcPr>
          <w:p>
            <w:pPr>
              <w:ind w:left="180"/>
              <w:spacing w:after="0"/>
              <w:rPr>
                <w:sz w:val="20"/>
                <w:szCs w:val="20"/>
                <w:color w:val="auto"/>
              </w:rPr>
            </w:pPr>
            <w:r>
              <w:rPr>
                <w:rFonts w:ascii="Arial" w:cs="Arial" w:eastAsia="Arial" w:hAnsi="Arial"/>
                <w:sz w:val="18"/>
                <w:szCs w:val="18"/>
                <w:color w:val="auto"/>
                <w:w w:val="87"/>
              </w:rPr>
              <w:t>, 2006. Thereafter, the issuers may redeem some or all of the second</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0"/>
              </w:rPr>
              <w:t>mortgage notes at the redemption prices listed in the "Description of the Second Mortgage Notes—</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Optional Redemption," plus accrued interest.</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Gaming Redemption</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9"/>
              </w:rPr>
              <w:t>The second mortgage notes will be subject to redemption requirements imposed by gaming laws and</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2"/>
              </w:rPr>
              <w:t>regulations of gaming authorities in Nevada or other jurisdictions. See "Description of the Second</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Mortgage Notes—Gaming Redemption."</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6"/>
              </w:rPr>
              <w:t>If a change in control occurs, the issuers must give holders of the second mortgage notes the</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4"/>
              </w:rPr>
              <w:t>opportunity to sell their notes to the issuers at 101% of their face amount, plus accrued interest.</w:t>
            </w:r>
          </w:p>
        </w:tc>
      </w:tr>
      <w:tr>
        <w:trPr>
          <w:trHeight w:val="426"/>
        </w:trPr>
        <w:tc>
          <w:tcPr>
            <w:tcW w:w="3220" w:type="dxa"/>
            <w:vAlign w:val="bottom"/>
          </w:tcPr>
          <w:p>
            <w:pPr>
              <w:spacing w:after="0"/>
              <w:rPr>
                <w:sz w:val="24"/>
                <w:szCs w:val="24"/>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7"/>
              </w:rPr>
              <w:t>The issuers might not be able to pay you the required price for the second mortgage notes you present</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them at the time of a change of control, because:</w:t>
            </w:r>
          </w:p>
        </w:tc>
      </w:tr>
      <w:tr>
        <w:trPr>
          <w:trHeight w:val="432"/>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rPr>
              <w:t>the issuers might not have enough funds at that time; or</w:t>
            </w:r>
          </w:p>
        </w:tc>
      </w:tr>
      <w:tr>
        <w:trPr>
          <w:trHeight w:val="426"/>
        </w:trPr>
        <w:tc>
          <w:tcPr>
            <w:tcW w:w="3220" w:type="dxa"/>
            <w:vAlign w:val="bottom"/>
          </w:tcPr>
          <w:p>
            <w:pPr>
              <w:spacing w:after="0"/>
              <w:rPr>
                <w:sz w:val="24"/>
                <w:szCs w:val="24"/>
                <w:color w:val="auto"/>
              </w:rPr>
            </w:pPr>
          </w:p>
        </w:tc>
        <w:tc>
          <w:tcPr>
            <w:tcW w:w="1440" w:type="dxa"/>
            <w:vAlign w:val="bottom"/>
          </w:tcPr>
          <w:p>
            <w:pPr>
              <w:ind w:left="1220"/>
              <w:spacing w:after="0"/>
              <w:rPr>
                <w:sz w:val="20"/>
                <w:szCs w:val="20"/>
                <w:color w:val="auto"/>
              </w:rPr>
            </w:pPr>
            <w:r>
              <w:rPr>
                <w:rFonts w:ascii="Arial" w:cs="Arial" w:eastAsia="Arial" w:hAnsi="Arial"/>
                <w:sz w:val="18"/>
                <w:szCs w:val="18"/>
                <w:color w:val="auto"/>
              </w:rPr>
              <w:t>•</w:t>
            </w:r>
          </w:p>
        </w:tc>
        <w:tc>
          <w:tcPr>
            <w:tcW w:w="6760" w:type="dxa"/>
            <w:vAlign w:val="bottom"/>
            <w:gridSpan w:val="2"/>
          </w:tcPr>
          <w:p>
            <w:pPr>
              <w:ind w:left="140"/>
              <w:spacing w:after="0"/>
              <w:rPr>
                <w:sz w:val="20"/>
                <w:szCs w:val="20"/>
                <w:color w:val="auto"/>
              </w:rPr>
            </w:pPr>
            <w:r>
              <w:rPr>
                <w:rFonts w:ascii="Arial" w:cs="Arial" w:eastAsia="Arial" w:hAnsi="Arial"/>
                <w:sz w:val="18"/>
                <w:szCs w:val="18"/>
                <w:color w:val="auto"/>
                <w:w w:val="96"/>
              </w:rPr>
              <w:t>the terms of the issuers' credit facilities, FF&amp;E facility for other debt prevent them from</w:t>
            </w:r>
          </w:p>
        </w:tc>
      </w:tr>
      <w:tr>
        <w:trPr>
          <w:trHeight w:val="222"/>
        </w:trPr>
        <w:tc>
          <w:tcPr>
            <w:tcW w:w="3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paying.</w:t>
            </w:r>
          </w:p>
        </w:tc>
        <w:tc>
          <w:tcPr>
            <w:tcW w:w="5020" w:type="dxa"/>
            <w:vAlign w:val="bottom"/>
          </w:tcPr>
          <w:p>
            <w:pPr>
              <w:spacing w:after="0"/>
              <w:rPr>
                <w:sz w:val="19"/>
                <w:szCs w:val="19"/>
                <w:color w:val="auto"/>
              </w:rPr>
            </w:pPr>
          </w:p>
        </w:tc>
      </w:tr>
      <w:tr>
        <w:trPr>
          <w:trHeight w:val="426"/>
        </w:trPr>
        <w:tc>
          <w:tcPr>
            <w:tcW w:w="3220" w:type="dxa"/>
            <w:vAlign w:val="bottom"/>
          </w:tcPr>
          <w:p>
            <w:pPr>
              <w:spacing w:after="0"/>
              <w:rPr>
                <w:sz w:val="24"/>
                <w:szCs w:val="24"/>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9"/>
              </w:rPr>
              <w:t>See "Description of the Second Mortgage Notes—Repurchase at the Option of the Holders—Change</w:t>
            </w:r>
          </w:p>
        </w:tc>
      </w:tr>
      <w:tr>
        <w:trPr>
          <w:trHeight w:val="222"/>
        </w:trPr>
        <w:tc>
          <w:tcPr>
            <w:tcW w:w="3220" w:type="dxa"/>
            <w:vAlign w:val="bottom"/>
          </w:tcPr>
          <w:p>
            <w:pPr>
              <w:spacing w:after="0"/>
              <w:rPr>
                <w:sz w:val="19"/>
                <w:szCs w:val="19"/>
                <w:color w:val="auto"/>
              </w:rPr>
            </w:pPr>
          </w:p>
        </w:tc>
        <w:tc>
          <w:tcPr>
            <w:tcW w:w="3180" w:type="dxa"/>
            <w:vAlign w:val="bottom"/>
            <w:gridSpan w:val="2"/>
          </w:tcPr>
          <w:p>
            <w:pPr>
              <w:ind w:left="1020"/>
              <w:spacing w:after="0"/>
              <w:rPr>
                <w:sz w:val="20"/>
                <w:szCs w:val="20"/>
                <w:color w:val="auto"/>
              </w:rPr>
            </w:pPr>
            <w:r>
              <w:rPr>
                <w:rFonts w:ascii="Arial" w:cs="Arial" w:eastAsia="Arial" w:hAnsi="Arial"/>
                <w:sz w:val="18"/>
                <w:szCs w:val="18"/>
                <w:color w:val="auto"/>
              </w:rPr>
              <w:t>of Control."</w:t>
            </w:r>
          </w:p>
        </w:tc>
        <w:tc>
          <w:tcPr>
            <w:tcW w:w="5020" w:type="dxa"/>
            <w:vAlign w:val="bottom"/>
          </w:tcPr>
          <w:p>
            <w:pPr>
              <w:spacing w:after="0"/>
              <w:rPr>
                <w:sz w:val="19"/>
                <w:szCs w:val="19"/>
                <w:color w:val="auto"/>
              </w:rPr>
            </w:pPr>
          </w:p>
        </w:tc>
      </w:tr>
      <w:tr>
        <w:trPr>
          <w:trHeight w:val="891"/>
        </w:trPr>
        <w:tc>
          <w:tcPr>
            <w:tcW w:w="3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10</w:t>
            </w:r>
          </w:p>
        </w:tc>
        <w:tc>
          <w:tcPr>
            <w:tcW w:w="5020" w:type="dxa"/>
            <w:vAlign w:val="bottom"/>
          </w:tcPr>
          <w:p>
            <w:pPr>
              <w:spacing w:after="0"/>
              <w:rPr>
                <w:sz w:val="24"/>
                <w:szCs w:val="24"/>
                <w:color w:val="auto"/>
              </w:rPr>
            </w:pPr>
          </w:p>
        </w:tc>
      </w:tr>
      <w:tr>
        <w:trPr>
          <w:trHeight w:val="228"/>
        </w:trPr>
        <w:tc>
          <w:tcPr>
            <w:tcW w:w="322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gridSpan w:val="3"/>
          </w:tcPr>
          <w:p>
            <w:pPr>
              <w:spacing w:after="0"/>
              <w:rPr>
                <w:sz w:val="19"/>
                <w:szCs w:val="19"/>
                <w:color w:val="auto"/>
              </w:rPr>
            </w:pPr>
          </w:p>
        </w:tc>
      </w:tr>
      <w:tr>
        <w:trPr>
          <w:trHeight w:val="529"/>
        </w:trPr>
        <w:tc>
          <w:tcPr>
            <w:tcW w:w="3220" w:type="dxa"/>
            <w:vAlign w:val="bottom"/>
          </w:tcPr>
          <w:p>
            <w:pPr>
              <w:spacing w:after="0"/>
              <w:rPr>
                <w:sz w:val="20"/>
                <w:szCs w:val="20"/>
                <w:color w:val="auto"/>
              </w:rPr>
            </w:pPr>
            <w:r>
              <w:rPr>
                <w:rFonts w:ascii="Arial" w:cs="Arial" w:eastAsia="Arial" w:hAnsi="Arial"/>
                <w:sz w:val="18"/>
                <w:szCs w:val="18"/>
                <w:color w:val="auto"/>
              </w:rPr>
              <w:t>Asset Sales and Events of Loss</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7"/>
              </w:rPr>
              <w:t>If the issuers, the guarantors and their restricted subsidiaries sells certain assets or experiences certain</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0"/>
              </w:rPr>
              <w:t>events of loss following the final completion date of the Le Rêve hotel and casino, Wynn Las Vegas</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5"/>
              </w:rPr>
              <w:t>may be required to offer to repurchase the second mortgage notes at the prices set forth under</w:t>
            </w:r>
          </w:p>
        </w:tc>
      </w:tr>
      <w:tr>
        <w:trPr>
          <w:trHeight w:val="216"/>
        </w:trPr>
        <w:tc>
          <w:tcPr>
            <w:tcW w:w="3220" w:type="dxa"/>
            <w:vAlign w:val="bottom"/>
          </w:tcPr>
          <w:p>
            <w:pPr>
              <w:spacing w:after="0"/>
              <w:rPr>
                <w:sz w:val="18"/>
                <w:szCs w:val="18"/>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88"/>
              </w:rPr>
              <w:t>"Description of the Second Mortgage Notes—Repurchase at the Option of the Holders—Asset Sales"</w:t>
            </w:r>
          </w:p>
        </w:tc>
      </w:tr>
      <w:tr>
        <w:trPr>
          <w:trHeight w:val="222"/>
        </w:trPr>
        <w:tc>
          <w:tcPr>
            <w:tcW w:w="3220" w:type="dxa"/>
            <w:vAlign w:val="bottom"/>
          </w:tcPr>
          <w:p>
            <w:pPr>
              <w:spacing w:after="0"/>
              <w:rPr>
                <w:sz w:val="19"/>
                <w:szCs w:val="19"/>
                <w:color w:val="auto"/>
              </w:rPr>
            </w:pPr>
          </w:p>
        </w:tc>
        <w:tc>
          <w:tcPr>
            <w:tcW w:w="3180" w:type="dxa"/>
            <w:vAlign w:val="bottom"/>
            <w:gridSpan w:val="2"/>
          </w:tcPr>
          <w:p>
            <w:pPr>
              <w:ind w:left="1020"/>
              <w:spacing w:after="0"/>
              <w:rPr>
                <w:sz w:val="20"/>
                <w:szCs w:val="20"/>
                <w:color w:val="auto"/>
              </w:rPr>
            </w:pPr>
            <w:r>
              <w:rPr>
                <w:rFonts w:ascii="Arial" w:cs="Arial" w:eastAsia="Arial" w:hAnsi="Arial"/>
                <w:sz w:val="18"/>
                <w:szCs w:val="18"/>
                <w:color w:val="auto"/>
              </w:rPr>
              <w:t>and "—Events of Loss."</w:t>
            </w:r>
          </w:p>
        </w:tc>
        <w:tc>
          <w:tcPr>
            <w:tcW w:w="5020" w:type="dxa"/>
            <w:vAlign w:val="bottom"/>
          </w:tcPr>
          <w:p>
            <w:pPr>
              <w:spacing w:after="0"/>
              <w:rPr>
                <w:sz w:val="19"/>
                <w:szCs w:val="19"/>
                <w:color w:val="auto"/>
              </w:rPr>
            </w:pP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Certain Indenture Provisions</w:t>
            </w: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w w:val="91"/>
              </w:rPr>
              <w:t>The indenture governing the second mortgage notes will contain covenants restricting the ability of</w:t>
            </w:r>
          </w:p>
        </w:tc>
      </w:tr>
      <w:tr>
        <w:trPr>
          <w:trHeight w:val="222"/>
        </w:trPr>
        <w:tc>
          <w:tcPr>
            <w:tcW w:w="3220" w:type="dxa"/>
            <w:vAlign w:val="bottom"/>
          </w:tcPr>
          <w:p>
            <w:pPr>
              <w:spacing w:after="0"/>
              <w:rPr>
                <w:sz w:val="19"/>
                <w:szCs w:val="19"/>
                <w:color w:val="auto"/>
              </w:rPr>
            </w:pPr>
          </w:p>
        </w:tc>
        <w:tc>
          <w:tcPr>
            <w:tcW w:w="8200" w:type="dxa"/>
            <w:vAlign w:val="bottom"/>
            <w:gridSpan w:val="3"/>
          </w:tcPr>
          <w:p>
            <w:pPr>
              <w:ind w:left="1020"/>
              <w:spacing w:after="0"/>
              <w:rPr>
                <w:sz w:val="20"/>
                <w:szCs w:val="20"/>
                <w:color w:val="auto"/>
              </w:rPr>
            </w:pPr>
            <w:r>
              <w:rPr>
                <w:rFonts w:ascii="Arial" w:cs="Arial" w:eastAsia="Arial" w:hAnsi="Arial"/>
                <w:sz w:val="18"/>
                <w:szCs w:val="18"/>
                <w:color w:val="auto"/>
              </w:rPr>
              <w:t>the issuers, the guarantors and their restricted subsidiaries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-1314450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800" w:hanging="359"/>
        <w:spacing w:after="0"/>
        <w:tabs>
          <w:tab w:leader="none" w:pos="4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dividends or distributions on their capital stock or repurchase their capital stock;</w:t>
      </w:r>
    </w:p>
    <w:p>
      <w:pPr>
        <w:spacing w:after="0" w:line="248" w:lineRule="exact"/>
        <w:rPr>
          <w:rFonts w:ascii="Arial" w:cs="Arial" w:eastAsia="Arial" w:hAnsi="Arial"/>
          <w:sz w:val="16"/>
          <w:szCs w:val="16"/>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25" w:lineRule="exact"/>
        <w:rPr>
          <w:rFonts w:ascii="Arial" w:cs="Arial" w:eastAsia="Arial" w:hAnsi="Arial"/>
          <w:sz w:val="18"/>
          <w:szCs w:val="18"/>
          <w:color w:val="auto"/>
        </w:rPr>
      </w:pPr>
    </w:p>
    <w:p>
      <w:pPr>
        <w:ind w:left="4800" w:hanging="359"/>
        <w:spacing w:after="0"/>
        <w:tabs>
          <w:tab w:leader="none" w:pos="4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These covenants are subject to a number of important limitations and exceptions as described in</w:t>
      </w:r>
    </w:p>
    <w:p>
      <w:pPr>
        <w:sectPr>
          <w:pgSz w:w="11900" w:h="16838" w:orient="portrait"/>
          <w:cols w:equalWidth="0" w:num="1">
            <w:col w:w="11420"/>
          </w:cols>
          <w:pgMar w:left="240" w:top="13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rPr>
              <w:t>"Description of the Second Mortgage Notes."</w:t>
            </w:r>
          </w:p>
        </w:tc>
      </w:tr>
      <w:tr>
        <w:trPr>
          <w:trHeight w:val="426"/>
        </w:trPr>
        <w:tc>
          <w:tcPr>
            <w:tcW w:w="3020" w:type="dxa"/>
            <w:vAlign w:val="bottom"/>
          </w:tcPr>
          <w:p>
            <w:pPr>
              <w:spacing w:after="0"/>
              <w:rPr>
                <w:sz w:val="24"/>
                <w:szCs w:val="24"/>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The indenture will also contain certain covenants restricting the activities of Wynn Capital and the</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completion guarantor. See "Description of the Second Mortgage Notes—Restrictions on Activities of</w:t>
            </w:r>
          </w:p>
        </w:tc>
      </w:t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rPr>
              <w:t>Wynn Capital."</w:t>
            </w:r>
          </w:p>
        </w:tc>
      </w:tr>
      <w:tr>
        <w:trPr>
          <w:trHeight w:val="891"/>
        </w:trPr>
        <w:tc>
          <w:tcPr>
            <w:tcW w:w="3020" w:type="dxa"/>
            <w:vAlign w:val="bottom"/>
          </w:tcPr>
          <w:p>
            <w:pPr>
              <w:spacing w:after="0"/>
              <w:rPr>
                <w:sz w:val="24"/>
                <w:szCs w:val="24"/>
                <w:color w:val="auto"/>
              </w:rPr>
            </w:pPr>
          </w:p>
        </w:tc>
        <w:tc>
          <w:tcPr>
            <w:tcW w:w="8400" w:type="dxa"/>
            <w:vAlign w:val="bottom"/>
          </w:tcPr>
          <w:p>
            <w:pPr>
              <w:ind w:left="2600"/>
              <w:spacing w:after="0"/>
              <w:rPr>
                <w:sz w:val="20"/>
                <w:szCs w:val="20"/>
                <w:color w:val="auto"/>
              </w:rPr>
            </w:pPr>
            <w:r>
              <w:rPr>
                <w:rFonts w:ascii="Arial" w:cs="Arial" w:eastAsia="Arial" w:hAnsi="Arial"/>
                <w:sz w:val="18"/>
                <w:szCs w:val="18"/>
                <w:color w:val="auto"/>
              </w:rPr>
              <w:t>11</w:t>
            </w:r>
          </w:p>
        </w:tc>
      </w:tr>
      <w:tr>
        <w:trPr>
          <w:trHeight w:val="228"/>
        </w:trPr>
        <w:tc>
          <w:tcPr>
            <w:tcW w:w="3020" w:type="dxa"/>
            <w:vAlign w:val="bottom"/>
            <w:tcBorders>
              <w:bottom w:val="single" w:sz="8" w:color="808080"/>
            </w:tcBorders>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r>
      <w:tr>
        <w:trPr>
          <w:trHeight w:val="529"/>
        </w:trPr>
        <w:tc>
          <w:tcPr>
            <w:tcW w:w="30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8400" w:type="dxa"/>
            <w:vAlign w:val="bottom"/>
          </w:tcPr>
          <w:p>
            <w:pPr>
              <w:ind w:left="1220"/>
              <w:spacing w:after="0"/>
              <w:rPr>
                <w:sz w:val="20"/>
                <w:szCs w:val="20"/>
                <w:color w:val="auto"/>
              </w:rPr>
            </w:pPr>
            <w:r>
              <w:rPr>
                <w:rFonts w:ascii="Arial" w:cs="Arial" w:eastAsia="Arial" w:hAnsi="Arial"/>
                <w:sz w:val="18"/>
                <w:szCs w:val="18"/>
                <w:color w:val="auto"/>
                <w:w w:val="88"/>
              </w:rPr>
              <w:t>The issuers, the trustee, representatives of the lenders under the credit facilities and the FF&amp;E facility</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and a disbursement agent will enter into a disbursement agreement which will establish conditions to</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and sequencing of funding of equity contributions held by Wynn Las Vegas, borrowings under the</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credit facilities and FF&amp;E facility and disbursements of funds from the account holding the proceeds</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8"/>
              </w:rPr>
              <w:t>of the second mortgage notes. Under the disbursement agreement, it is a condition to disbursement of</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1"/>
              </w:rPr>
              <w:t>the proceeds of this offering that Wynn Las Vegas first use a substantial portion of the cash equity</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contributions made to Wynn Las Vegas. In turn, it is a condition to disbursement of borrowings under</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the credit facilities and the FF&amp;E facility that Wynn Las Vegas first use the proceeds of this offering.</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The disbursement agreement will also set forth procedures for approving construction change orders</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0"/>
              </w:rPr>
              <w:t>and amendments to the construction budget and schedule. Inspection &amp; Valuation International, Inc.</w:t>
            </w:r>
          </w:p>
        </w:tc>
      </w:tr>
      <w:tr>
        <w:trPr>
          <w:trHeight w:val="216"/>
        </w:trPr>
        <w:tc>
          <w:tcPr>
            <w:tcW w:w="3020" w:type="dxa"/>
            <w:vAlign w:val="bottom"/>
          </w:tcPr>
          <w:p>
            <w:pPr>
              <w:spacing w:after="0"/>
              <w:rPr>
                <w:sz w:val="18"/>
                <w:szCs w:val="18"/>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89"/>
              </w:rPr>
              <w:t>will act as construction consultant under the disbursement agreement and will be required to approve</w:t>
            </w:r>
          </w:p>
        </w:tc>
      </w:tr>
      <w:tr>
        <w:trPr>
          <w:trHeight w:val="222"/>
        </w:trPr>
        <w:tc>
          <w:tcPr>
            <w:tcW w:w="3020" w:type="dxa"/>
            <w:vAlign w:val="bottom"/>
          </w:tcPr>
          <w:p>
            <w:pPr>
              <w:spacing w:after="0"/>
              <w:rPr>
                <w:sz w:val="19"/>
                <w:szCs w:val="19"/>
                <w:color w:val="auto"/>
              </w:rPr>
            </w:pPr>
          </w:p>
        </w:tc>
        <w:tc>
          <w:tcPr>
            <w:tcW w:w="8400" w:type="dxa"/>
            <w:vAlign w:val="bottom"/>
          </w:tcPr>
          <w:p>
            <w:pPr>
              <w:ind w:left="1220"/>
              <w:spacing w:after="0"/>
              <w:rPr>
                <w:sz w:val="20"/>
                <w:szCs w:val="20"/>
                <w:color w:val="auto"/>
              </w:rPr>
            </w:pPr>
            <w:r>
              <w:rPr>
                <w:rFonts w:ascii="Arial" w:cs="Arial" w:eastAsia="Arial" w:hAnsi="Arial"/>
                <w:sz w:val="18"/>
                <w:szCs w:val="18"/>
                <w:color w:val="auto"/>
                <w:w w:val="92"/>
              </w:rPr>
              <w:t>each request by Wynn Las Vegas for the disbursement of funds. See "Disbursement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-1863090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-1863090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Representatives of the lenders under the credit facilities, the trustee and the issuers will enter into an intercreditor agreement that will govern the relations between the holders of the second mortgage notes and lenders under the credit facilities. That intercreditor agreement will provide that note holders will have:</w:t>
      </w:r>
    </w:p>
    <w:p>
      <w:pPr>
        <w:spacing w:after="0" w:line="197" w:lineRule="exact"/>
        <w:rPr>
          <w:sz w:val="20"/>
          <w:szCs w:val="20"/>
          <w:color w:val="auto"/>
        </w:rPr>
      </w:pPr>
    </w:p>
    <w:p>
      <w:pPr>
        <w:sectPr>
          <w:pgSz w:w="11900" w:h="16838" w:orient="portrait"/>
          <w:cols w:equalWidth="0" w:num="2">
            <w:col w:w="3520" w:space="720"/>
            <w:col w:w="7180"/>
          </w:cols>
          <w:pgMar w:left="240" w:top="131" w:right="239" w:bottom="0" w:gutter="0" w:footer="0" w:header="0"/>
          <w:type w:val="continuous"/>
        </w:sectPr>
      </w:pPr>
    </w:p>
    <w:p>
      <w:pPr>
        <w:jc w:val="both"/>
        <w:ind w:left="4800" w:right="300" w:hanging="359"/>
        <w:spacing w:after="0" w:line="306" w:lineRule="auto"/>
        <w:tabs>
          <w:tab w:leader="none" w:pos="4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first priority lien on the net proceeds of this offering, which, pending release to fund the disbursement requests under the disbursement agreement, will be deposited into a secured account in which the lenders do not have a security interest;</w:t>
      </w:r>
    </w:p>
    <w:p>
      <w:pPr>
        <w:spacing w:after="0" w:line="160" w:lineRule="exact"/>
        <w:rPr>
          <w:rFonts w:ascii="Arial" w:cs="Arial" w:eastAsia="Arial" w:hAnsi="Arial"/>
          <w:sz w:val="16"/>
          <w:szCs w:val="16"/>
          <w:color w:val="auto"/>
        </w:rPr>
      </w:pPr>
    </w:p>
    <w:p>
      <w:pPr>
        <w:ind w:left="4800" w:right="20" w:hanging="359"/>
        <w:spacing w:after="0" w:line="259" w:lineRule="auto"/>
        <w:tabs>
          <w:tab w:leader="none" w:pos="4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second priority lien on all assets of any restricted entity and any other person that is pledged or assigned under the indenture or specified material documents (other than the net proceeds of this offering); and</w:t>
      </w:r>
    </w:p>
    <w:p>
      <w:pPr>
        <w:spacing w:after="0" w:line="194" w:lineRule="exact"/>
        <w:rPr>
          <w:rFonts w:ascii="Arial" w:cs="Arial" w:eastAsia="Arial" w:hAnsi="Arial"/>
          <w:sz w:val="18"/>
          <w:szCs w:val="18"/>
          <w:color w:val="auto"/>
        </w:rPr>
      </w:pPr>
    </w:p>
    <w:p>
      <w:pPr>
        <w:ind w:left="4800" w:hanging="359"/>
        <w:spacing w:after="0"/>
        <w:tabs>
          <w:tab w:leader="none" w:pos="4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third priority lien on the FF&amp;E collateral.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intercreditor agreement will also provide that lenders under the credit facilities will have a first priority lien on all of the assets of Valvino, any restricted entity or any other person that is pledged or assigned under the indenture or specified material documents (other than the net proceeds of this offering) and a second priority lien on all of the FF&amp;E collateral. The intercreditor agreement will also limit the exercise of remedies by the second mortgage note holders and the lenders against their respective collateral. We expect that the trustee will have the exclusive right to exercise, or not exercise, remedies against the net proceeds of this offering. See "Intercreditor Agreements—Project Lenders Intercreditor Agreement."</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and the issuers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fixtures and equipment for Le Rêve that is financed by draws on the FF&amp;E facility. The lenders under the credit facilities will have a second priority security interest in such collateral and the second mortgage note holders will benefit from a third priority security interest in such collateral. The lenders under the FF&amp;E facility will have, until repayment in full of the FF&amp;E facility, the exclusive right to force a sale of any of the FF&amp;E collateral or otherwise exercise any of the remedies available to a secured creditor in connection with the FF&amp;E collateral. This intercreditor agreement will also limit the exercise of remedies by the lenders under the credit facilities and the second mortgage note holders against the FF&amp;E collateral. See "Intercreditor Agreements—FF&amp;E Intercreditor Agreement."</w:t>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$50 Million Completion Guarantee</w:t>
      </w:r>
      <w:r>
        <w:rPr>
          <w:sz w:val="20"/>
          <w:szCs w:val="20"/>
          <w:color w:val="auto"/>
        </w:rPr>
        <w:tab/>
      </w:r>
      <w:r>
        <w:rPr>
          <w:rFonts w:ascii="Arial" w:cs="Arial" w:eastAsia="Arial" w:hAnsi="Arial"/>
          <w:sz w:val="15"/>
          <w:szCs w:val="15"/>
          <w:color w:val="auto"/>
        </w:rPr>
        <w:t>One of Wynn Las Vegas' wholly owned unrestricted subsidiaries, a special purpose entity, sometimes</w:t>
      </w:r>
    </w:p>
    <w:p>
      <w:pPr>
        <w:sectPr>
          <w:pgSz w:w="11900" w:h="16838" w:orient="portrait"/>
          <w:cols w:equalWidth="0" w:num="1">
            <w:col w:w="11420"/>
          </w:cols>
          <w:pgMar w:left="240" w:top="13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3"/>
              </w:rPr>
              <w:t>referred to as the completion guarantor. The completion quarantor will be providing a $50 million</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2"/>
              </w:rPr>
              <w:t>completion guarantee in favor of the trustee (for the benefit of the holders of the second mortgage</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notes) and the administrative agent (as the representative of the lenders under the credit facilities).</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5"/>
              </w:rPr>
              <w:t>The completion guarantee will, subject to a $50 million cap, guarantee completion in full of the</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4"/>
              </w:rPr>
              <w:t>construction and opening of Le Rêve, including all furniture, fixtures and equipment, the parking</w:t>
            </w:r>
          </w:p>
        </w:tc>
      </w:tr>
      <w:tr>
        <w:trPr>
          <w:trHeight w:val="222"/>
        </w:trPr>
        <w:tc>
          <w:tcPr>
            <w:tcW w:w="3060" w:type="dxa"/>
            <w:vAlign w:val="bottom"/>
          </w:tcPr>
          <w:p>
            <w:pPr>
              <w:spacing w:after="0"/>
              <w:rPr>
                <w:sz w:val="19"/>
                <w:szCs w:val="19"/>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rPr>
              <w:t>structure, the golf course and the availability of initial working capital.</w:t>
            </w:r>
          </w:p>
        </w:tc>
      </w:tr>
      <w:tr>
        <w:trPr>
          <w:trHeight w:val="426"/>
        </w:trPr>
        <w:tc>
          <w:tcPr>
            <w:tcW w:w="3060" w:type="dxa"/>
            <w:vAlign w:val="bottom"/>
          </w:tcPr>
          <w:p>
            <w:pPr>
              <w:spacing w:after="0"/>
              <w:rPr>
                <w:sz w:val="24"/>
                <w:szCs w:val="24"/>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3"/>
              </w:rPr>
              <w:t>Wynn Resorts will make a common equity capital contribution concurrently with the closing of its</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2"/>
              </w:rPr>
              <w:t>initial public offering of $50 million of the net proceeds of that offering to the completion guarantor</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5"/>
              </w:rPr>
              <w:t>to support its obligations under the completion guarantee. These funds will be deposited into a</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collateral account to be held in cash and/or certain permitted securities, and pledged to the lenders</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under the credit facilities on a first priority basis and the holders of the second mortgage notes on a</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88"/>
              </w:rPr>
              <w:t>second priority basis as security for the completion guarantee, to be applied to the costs of Le Rêve in</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accordance with the disbursement agreement. Any amounts then remaining in this account will be</w:t>
            </w:r>
          </w:p>
        </w:tc>
      </w:tr>
      <w:tr>
        <w:trPr>
          <w:trHeight w:val="222"/>
        </w:trPr>
        <w:tc>
          <w:tcPr>
            <w:tcW w:w="3060" w:type="dxa"/>
            <w:vAlign w:val="bottom"/>
          </w:tcPr>
          <w:p>
            <w:pPr>
              <w:spacing w:after="0"/>
              <w:rPr>
                <w:sz w:val="19"/>
                <w:szCs w:val="19"/>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rPr>
              <w:t>released to Wynn Resorts upon the completion and opening of Le Rêve.</w:t>
            </w: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Liquidity Reserve Account</w:t>
            </w:r>
          </w:p>
        </w:tc>
        <w:tc>
          <w:tcPr>
            <w:tcW w:w="8360" w:type="dxa"/>
            <w:vAlign w:val="bottom"/>
          </w:tcPr>
          <w:p>
            <w:pPr>
              <w:ind w:left="1180"/>
              <w:spacing w:after="0"/>
              <w:rPr>
                <w:sz w:val="20"/>
                <w:szCs w:val="20"/>
                <w:color w:val="auto"/>
              </w:rPr>
            </w:pPr>
            <w:r>
              <w:rPr>
                <w:rFonts w:ascii="Arial" w:cs="Arial" w:eastAsia="Arial" w:hAnsi="Arial"/>
                <w:sz w:val="18"/>
                <w:szCs w:val="18"/>
                <w:color w:val="auto"/>
                <w:w w:val="95"/>
              </w:rPr>
              <w:t>The second mortgage notes will be secured by, among other things, a second priority lien on a</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3"/>
              </w:rPr>
              <w:t>liquidity reserve account. Wynn Resorts will, concurrently with the closing of this offering, make a</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89"/>
              </w:rPr>
              <w:t>common equity capital contribution to Wynn Las Vegas in an amount equal to $30 million. Wynn Las</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2"/>
              </w:rPr>
              <w:t>Vegas will deposit these funds in the liquidity reserve account to be held in cash and/or permitted</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securities. The lenders under the credit facilities will have a first priority lien on this account and the</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holders of the second mortgage notes will have a second priority lien on this account. The liquidity</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88"/>
              </w:rPr>
              <w:t>reserve account will secure completion of the construction and opening of Le Rêve, including costs of</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0"/>
              </w:rPr>
              <w:t>the design, construction and operation of Le Rêve in accordance with the disbursement agreement.</w:t>
            </w:r>
          </w:p>
        </w:tc>
      </w:tr>
      <w:tr>
        <w:trPr>
          <w:trHeight w:val="216"/>
        </w:trPr>
        <w:tc>
          <w:tcPr>
            <w:tcW w:w="3060" w:type="dxa"/>
            <w:vAlign w:val="bottom"/>
          </w:tcPr>
          <w:p>
            <w:pPr>
              <w:spacing w:after="0"/>
              <w:rPr>
                <w:sz w:val="18"/>
                <w:szCs w:val="18"/>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w w:val="91"/>
              </w:rPr>
              <w:t>Following completion of Le Rêve, the liquidity reserve account will secure payment of debt service</w:t>
            </w:r>
          </w:p>
        </w:tc>
      </w:tr>
      <w:tr>
        <w:trPr>
          <w:trHeight w:val="222"/>
        </w:trPr>
        <w:tc>
          <w:tcPr>
            <w:tcW w:w="3060" w:type="dxa"/>
            <w:vAlign w:val="bottom"/>
          </w:tcPr>
          <w:p>
            <w:pPr>
              <w:spacing w:after="0"/>
              <w:rPr>
                <w:sz w:val="19"/>
                <w:szCs w:val="19"/>
                <w:color w:val="auto"/>
              </w:rPr>
            </w:pPr>
          </w:p>
        </w:tc>
        <w:tc>
          <w:tcPr>
            <w:tcW w:w="8360" w:type="dxa"/>
            <w:vAlign w:val="bottom"/>
          </w:tcPr>
          <w:p>
            <w:pPr>
              <w:ind w:left="1180"/>
              <w:spacing w:after="0"/>
              <w:rPr>
                <w:sz w:val="20"/>
                <w:szCs w:val="20"/>
                <w:color w:val="auto"/>
              </w:rPr>
            </w:pPr>
            <w:r>
              <w:rPr>
                <w:rFonts w:ascii="Arial" w:cs="Arial" w:eastAsia="Arial" w:hAnsi="Arial"/>
                <w:sz w:val="18"/>
                <w:szCs w:val="18"/>
                <w:color w:val="auto"/>
              </w:rPr>
              <w:t>until the account is released in accordance with the following paragraph.</w:t>
            </w:r>
          </w:p>
        </w:tc>
      </w:tr>
      <w:tr>
        <w:trPr>
          <w:trHeight w:val="891"/>
        </w:trPr>
        <w:tc>
          <w:tcPr>
            <w:tcW w:w="306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8"/>
                <w:szCs w:val="18"/>
                <w:color w:val="auto"/>
              </w:rPr>
              <w:t>14</w:t>
            </w:r>
          </w:p>
        </w:tc>
      </w:tr>
      <w:tr>
        <w:trPr>
          <w:trHeight w:val="228"/>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r>
        <w:trPr>
          <w:trHeight w:val="529"/>
        </w:trPr>
        <w:tc>
          <w:tcPr>
            <w:tcW w:w="3060" w:type="dxa"/>
            <w:vAlign w:val="bottom"/>
          </w:tcPr>
          <w:p>
            <w:pPr>
              <w:spacing w:after="0"/>
              <w:rPr>
                <w:sz w:val="24"/>
                <w:szCs w:val="24"/>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1"/>
              </w:rPr>
              <w:t>Any amounts remaining in the liquidity reserve account following the completion and opening of Le</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8"/>
              </w:rPr>
              <w:t>Rêve will be available to meet Wynn Las Vegas' debt service needs. At such time as Wynn Las Vegas</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8"/>
              </w:rPr>
              <w:t>has met prescribed cash flow tests for a period of four consecutive calendar quarters after the opening</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3"/>
              </w:rPr>
              <w:t>of Le Rêve, any remaining funds will be used to reduce the outstanding balance on our revolving</w:t>
            </w:r>
          </w:p>
        </w:tc>
      </w:tr>
      <w:tr>
        <w:trPr>
          <w:trHeight w:val="222"/>
        </w:trPr>
        <w:tc>
          <w:tcPr>
            <w:tcW w:w="3060" w:type="dxa"/>
            <w:vAlign w:val="bottom"/>
          </w:tcPr>
          <w:p>
            <w:pPr>
              <w:spacing w:after="0"/>
              <w:rPr>
                <w:sz w:val="19"/>
                <w:szCs w:val="19"/>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rPr>
              <w:t>credit facility but without reducing the revolving credit facility commitment.</w:t>
            </w: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Use of Proceeds</w:t>
            </w:r>
          </w:p>
        </w:tc>
        <w:tc>
          <w:tcPr>
            <w:tcW w:w="8360" w:type="dxa"/>
            <w:vAlign w:val="bottom"/>
          </w:tcPr>
          <w:p>
            <w:pPr>
              <w:ind w:left="1160"/>
              <w:spacing w:after="0"/>
              <w:rPr>
                <w:sz w:val="20"/>
                <w:szCs w:val="20"/>
                <w:color w:val="auto"/>
              </w:rPr>
            </w:pPr>
            <w:r>
              <w:rPr>
                <w:rFonts w:ascii="Arial" w:cs="Arial" w:eastAsia="Arial" w:hAnsi="Arial"/>
                <w:sz w:val="18"/>
                <w:szCs w:val="18"/>
                <w:color w:val="auto"/>
                <w:w w:val="94"/>
              </w:rPr>
              <w:t>We intend to use the net proceeds from this offering, along with the borrowings under the credit</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8"/>
              </w:rPr>
              <w:t>facilities and FF&amp;E facility and equity contributions from Wynn Resorts, to design, construct,</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2"/>
              </w:rPr>
              <w:t>develop, equip and open Le Rêve. The net proceeds of this offering will be deposited in a secured</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7"/>
              </w:rPr>
              <w:t>account pending disbursement. The trustee under the indenture governing the second mortgage notes,</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1"/>
              </w:rPr>
              <w:t>for the benefit of the holders of the second mortgage notes, will have a first priority security interest</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9"/>
              </w:rPr>
              <w:t>in the net proceeds held in the secured account. Neither the lenders under the credit facilities nor the</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2"/>
              </w:rPr>
              <w:t>FF&amp;E facility will have a security interest in the secured account or the funds held in that account.</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7"/>
              </w:rPr>
              <w:t>The funds in the secured account will be required to be invested in permitted securities at the</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8"/>
              </w:rPr>
              <w:t>discretion of Wynn Las Vegas. The disbursement agreement will require, among other conditions, that</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1"/>
              </w:rPr>
              <w:t>a substantial portion of the cash equity contribution made by Wynn Resorts be expended on the Le</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88"/>
              </w:rPr>
              <w:t>Rêve project before the proceeds of this offering are released from the secured account and applied to</w:t>
            </w:r>
          </w:p>
        </w:tc>
      </w:tr>
      <w:tr>
        <w:trPr>
          <w:trHeight w:val="216"/>
        </w:trPr>
        <w:tc>
          <w:tcPr>
            <w:tcW w:w="3060" w:type="dxa"/>
            <w:vAlign w:val="bottom"/>
          </w:tcPr>
          <w:p>
            <w:pPr>
              <w:spacing w:after="0"/>
              <w:rPr>
                <w:sz w:val="18"/>
                <w:szCs w:val="18"/>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w w:val="91"/>
              </w:rPr>
              <w:t>the project. None of the proceeds of this offering of second mortgage notes will be used to fund the</w:t>
            </w:r>
          </w:p>
        </w:tc>
      </w:tr>
      <w:tr>
        <w:trPr>
          <w:trHeight w:val="222"/>
        </w:trPr>
        <w:tc>
          <w:tcPr>
            <w:tcW w:w="3060" w:type="dxa"/>
            <w:vAlign w:val="bottom"/>
          </w:tcPr>
          <w:p>
            <w:pPr>
              <w:spacing w:after="0"/>
              <w:rPr>
                <w:sz w:val="19"/>
                <w:szCs w:val="19"/>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rPr>
              <w:t>development or construction of Wynn Macau's casino(s) in Macau.</w:t>
            </w:r>
          </w:p>
        </w:tc>
      </w:tr>
      <w:tr>
        <w:trPr>
          <w:trHeight w:val="426"/>
        </w:trPr>
        <w:tc>
          <w:tcPr>
            <w:tcW w:w="3060" w:type="dxa"/>
            <w:vAlign w:val="bottom"/>
          </w:tcPr>
          <w:p>
            <w:pPr>
              <w:spacing w:after="0"/>
              <w:rPr>
                <w:sz w:val="20"/>
                <w:szCs w:val="20"/>
                <w:color w:val="auto"/>
              </w:rPr>
            </w:pPr>
            <w:r>
              <w:rPr>
                <w:rFonts w:ascii="Arial" w:cs="Arial" w:eastAsia="Arial" w:hAnsi="Arial"/>
                <w:sz w:val="18"/>
                <w:szCs w:val="18"/>
                <w:color w:val="auto"/>
              </w:rPr>
              <w:t>Risk Factors</w:t>
            </w:r>
          </w:p>
        </w:tc>
        <w:tc>
          <w:tcPr>
            <w:tcW w:w="8360" w:type="dxa"/>
            <w:vAlign w:val="bottom"/>
          </w:tcPr>
          <w:p>
            <w:pPr>
              <w:ind w:left="1160"/>
              <w:spacing w:after="0"/>
              <w:rPr>
                <w:sz w:val="20"/>
                <w:szCs w:val="20"/>
                <w:color w:val="auto"/>
              </w:rPr>
            </w:pPr>
            <w:r>
              <w:rPr>
                <w:rFonts w:ascii="Arial" w:cs="Arial" w:eastAsia="Arial" w:hAnsi="Arial"/>
                <w:sz w:val="18"/>
                <w:szCs w:val="18"/>
                <w:color w:val="auto"/>
                <w:w w:val="88"/>
              </w:rPr>
              <w:t>Investing in the second mortgage notes involves substantial risks. See "Risk Factors" for a description</w:t>
            </w:r>
          </w:p>
        </w:tc>
      </w:tr>
      <w:tr>
        <w:trPr>
          <w:trHeight w:val="222"/>
        </w:trPr>
        <w:tc>
          <w:tcPr>
            <w:tcW w:w="3060" w:type="dxa"/>
            <w:vAlign w:val="bottom"/>
          </w:tcPr>
          <w:p>
            <w:pPr>
              <w:spacing w:after="0"/>
              <w:rPr>
                <w:sz w:val="19"/>
                <w:szCs w:val="19"/>
                <w:color w:val="auto"/>
              </w:rPr>
            </w:pPr>
          </w:p>
        </w:tc>
        <w:tc>
          <w:tcPr>
            <w:tcW w:w="8360" w:type="dxa"/>
            <w:vAlign w:val="bottom"/>
          </w:tcPr>
          <w:p>
            <w:pPr>
              <w:ind w:left="1160"/>
              <w:spacing w:after="0"/>
              <w:rPr>
                <w:sz w:val="20"/>
                <w:szCs w:val="20"/>
                <w:color w:val="auto"/>
              </w:rPr>
            </w:pPr>
            <w:r>
              <w:rPr>
                <w:rFonts w:ascii="Arial" w:cs="Arial" w:eastAsia="Arial" w:hAnsi="Arial"/>
                <w:sz w:val="18"/>
                <w:szCs w:val="18"/>
                <w:color w:val="auto"/>
              </w:rPr>
              <w:t>of certain of the risks you should consider before investing in the second mortgage notes.</w:t>
            </w:r>
          </w:p>
        </w:tc>
      </w:tr>
      <w:tr>
        <w:trPr>
          <w:trHeight w:val="432"/>
        </w:trPr>
        <w:tc>
          <w:tcPr>
            <w:tcW w:w="306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8"/>
                <w:szCs w:val="18"/>
                <w:color w:val="auto"/>
              </w:rPr>
              <w:t>15</w:t>
            </w:r>
          </w:p>
        </w:tc>
      </w:tr>
      <w:tr>
        <w:trPr>
          <w:trHeight w:val="228"/>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-3667760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Wynn Capital and the guarantors of the second mortgage notes may be unable to meet their obligations under the second mortgage notes and you may lose all or part of your investment in the second mortgage notes.</w:t>
      </w:r>
    </w:p>
    <w:p>
      <w:pPr>
        <w:spacing w:after="0" w:line="19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Certain statements in "Risk Factors" constitute "forward-looking statements." Actual results could differ substantially from those projected in the forward-looking statements as a result of certain factors and uncertainties set forth below and elsewhere in this prospectus. See "Forward-Looking Statements."</w:t>
      </w: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financing for the Le Rêve project.</w:t>
      </w:r>
    </w:p>
    <w:p>
      <w:pPr>
        <w:sectPr>
          <w:pgSz w:w="11900" w:h="16838" w:orient="portrait"/>
          <w:cols w:equalWidth="0" w:num="1">
            <w:col w:w="11420"/>
          </w:cols>
          <w:pgMar w:left="240" w:top="131" w:right="239" w:bottom="0" w:gutter="0" w:footer="0" w:header="0"/>
        </w:sectPr>
      </w:pPr>
    </w:p>
    <w:bookmarkStart w:id="10" w:name="page11"/>
    <w:bookmarkEnd w:id="10"/>
    <w:p>
      <w:pPr>
        <w:jc w:val="both"/>
        <w:ind w:right="180" w:firstLine="351"/>
        <w:spacing w:after="0" w:line="259" w:lineRule="auto"/>
        <w:rPr>
          <w:sz w:val="20"/>
          <w:szCs w:val="20"/>
          <w:color w:val="auto"/>
        </w:rPr>
      </w:pPr>
      <w:r>
        <w:rPr>
          <w:rFonts w:ascii="Arial" w:cs="Arial" w:eastAsia="Arial" w:hAnsi="Arial"/>
          <w:sz w:val="18"/>
          <w:szCs w:val="18"/>
          <w:color w:val="auto"/>
        </w:rPr>
        <w:t>Concurrent with the closing of this offering and Wynn Resorts' initial public offering of common stock, we will enter into agreements to govern the credit facilities and the FF&amp;E facility. The closing of this offering, Wynn Resorts' initial public offering, the credit facilities and the FF&amp;E facility will be conditioned on each other.</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intend to deposit all of the net proceeds from the offering of the second mortgage notes in a secured account pledged to the second mortgage note holders pursuant to an agreement with the trustee for the second mortgage note holders.</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Pursuant to the disbursement agreement, we are required to first use the net cash proceeds that Wynn Resorts contributes to us, other than the funds to be deposited in the liquidity reserve account, to fund the development, construction and pre-opening costs of Le Rêve. When these funds are depleted, we will be required to use the proceeds of the second mortgage notes, followed by proceeds of borrowings under the credit facilities and the FF&amp;E facility. We do not expect to borrow under the credit facilities or the FF&amp;E facility until approximately 16 to 19 months after the closing of this offering and after applying all of the proceeds of this offering towards the development and construction of Le Rêve. Our ability to borrow under the credit facilities and the FF&amp;E facility, from time to time, to fund the development, construction and pre-opening costs of Le Rêve will be subject to various conditions precedent. As such, we cannot assure you that we will be able to draw upon the credit facilities and the FF&amp;E facility after we have applied the proceeds of the second mortgage notes toward the development, construction and pre-opening costs of Le Rêve. In addition to other customary conditions to funding for these types of facilities, our ability to draw on the credit facilities and the FF&amp;E facility will be subject to the following conditions:</w:t>
      </w:r>
    </w:p>
    <w:p>
      <w:pPr>
        <w:spacing w:after="0" w:line="187"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or the FF&amp;E facility;</w:t>
      </w:r>
    </w:p>
    <w:p>
      <w:pPr>
        <w:spacing w:after="0" w:line="252"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construction of Le Rêve must be "in balance," meaning that the undisbursed portions of the credit facilities and the FF&amp;E facility, together with certain other funds available to us, must equal or exceed the remaining costs to complete Le Rêve's construction plus a required contingency;</w:t>
      </w:r>
    </w:p>
    <w:p>
      <w:pPr>
        <w:spacing w:after="0" w:line="152"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permited extensions due to force majeure events;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its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Wynn Resorts' major stockholders is unable to qualify for such license;</w:t>
      </w:r>
    </w:p>
    <w:p>
      <w:pPr>
        <w:spacing w:after="0" w:line="221" w:lineRule="exact"/>
        <w:rPr>
          <w:rFonts w:ascii="Arial" w:cs="Arial" w:eastAsia="Arial" w:hAnsi="Arial"/>
          <w:sz w:val="18"/>
          <w:szCs w:val="18"/>
          <w:color w:val="auto"/>
        </w:rPr>
      </w:pPr>
    </w:p>
    <w:p>
      <w:pPr>
        <w:jc w:val="both"/>
        <w:ind w:left="1080" w:right="160" w:hanging="532"/>
        <w:spacing w:after="0" w:line="370"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129" w:lineRule="exact"/>
        <w:rPr>
          <w:rFonts w:ascii="Arial" w:cs="Arial" w:eastAsia="Arial" w:hAnsi="Arial"/>
          <w:sz w:val="15"/>
          <w:szCs w:val="15"/>
          <w:color w:val="auto"/>
        </w:rPr>
      </w:pPr>
    </w:p>
    <w:p>
      <w:pPr>
        <w:ind w:left="1080" w:right="4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We cannot assure you that we will be able to satisfy the conditions to funding at the time disbursements or drawdowns are required to make payments of our construction costs. Satisfaction of various conditions is subject to the discretion of our lenders and the disbursement agent and is therefore beyond our control.</w:t>
      </w:r>
    </w:p>
    <w:p>
      <w:pPr>
        <w:spacing w:after="0" w:line="116"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Although these conditions must also be satisfied before we may draw funds from the second mortgage notes secured account, the lenders under our credit facilities and the FF&amp;E facility will not confirm that, from their perspective, such conditions have been satisfied until we request draws under their respective facilities. Any failure to satisfy the conditions to drawdowns under the credit facilities or the FF&amp;E facility could severely impact our ability to complete Le Rêve and could arise before or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effectively would be subordinated to the lenders under these facilities, given that these facilities are secured by liens that are prior to the liens securing the second mortage notes. In addition, if we fail to maintain the ability to drawdown funds under the credit facilities or the FF&amp;E facility, neither we nor Wynn Resorts may have access to alternative sources of funds necessary to complete Le Rêve on satisfactory terms or at all. Even if we are able to procure alternative sources of funds, the terms and conditions of those funds could materially impair our competitive position and reduce our future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costs of Le Rêve are estimates only and actual development costs may be higher than expected.</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indebtedness and obligations of ours which will become due through the estimated commencement date of operations of Le Rêve have been included in our estimate of the total development cost.</w:t>
      </w:r>
    </w:p>
    <w:p>
      <w:pPr>
        <w:sectPr>
          <w:pgSz w:w="11900" w:h="16838" w:orient="portrait"/>
          <w:cols w:equalWidth="0" w:num="1">
            <w:col w:w="11400"/>
          </w:cols>
          <w:pgMar w:left="240" w:top="131" w:right="259" w:bottom="0" w:gutter="0" w:footer="0" w:header="0"/>
        </w:sectPr>
      </w:pPr>
    </w:p>
    <w:bookmarkStart w:id="11" w:name="page12"/>
    <w:bookmarkEnd w:id="11"/>
    <w:p>
      <w:pPr>
        <w:spacing w:after="0" w:line="1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new golf course and principal parking garage. The $1.4 billion of budgeted design and construction costs does not include costs such as:</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entertainment production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site acquisition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period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financing fees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related to certain furniture, fixtures and equipment, such as slot machines, computer equipment and kitchen and dining supplies.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contingency to cover cost overruns, this contingency may not be sufficient to cover the full amount of such overruns. Moreover, the disbursement agreement imposes conditions on the use of this contingency. If we are unable to use this contingency or if this contingency is not sufficient to cover these costs, we may not have access to the funds required to pay the excess costs. Our inability to pay development costs as they are incurred will negatively affect our ability to complete Le Rêve and thus may significantly impair our business operations and prospects.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The approximately $919 million guaranteed maximum price is subject to increases because of,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items, scope changes to the project. We are responsible for cost overruns with respect to the remaining approximately $485 million of the $1.4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budgeted design and construction cost expenditures that are not part of the guaranteed maximum price contract, such as:</w:t>
      </w:r>
    </w:p>
    <w:p>
      <w:pPr>
        <w:spacing w:after="0" w:line="232" w:lineRule="exact"/>
        <w:rPr>
          <w:sz w:val="20"/>
          <w:szCs w:val="20"/>
          <w:color w:val="auto"/>
        </w:rPr>
      </w:pPr>
    </w:p>
    <w:p>
      <w:pPr>
        <w:ind w:left="1080" w:right="6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construction of the new golf course at a budgeted cost of approximately $21.5 million, excluding the cost of the land; we expect to solicit competitive bids in late summer 2002 for construction of the new golf course and to award the construction contract in the fourth quarter of 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estimated insurance costs of approximately $12.6 million for builder's risk insurance, fees and reserves under the owner-controlled insurance program, umbrella and excess liability insurance and design professional liability insurance;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Neither the guaranteed maximum price nor the other provisions relating to cost overruns in the construction contract with Marnell Corrao will provide any safeguards against increased costs related to items not covered by that construction contract. While we may in the future enter into other agreements that may seek to limit our exposure to construction cost increases, the actual costs for these items may exceed budgeted costs.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cost of the items described above exceeds the $485 million budget for those items, we may need to raise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and, under certain circumstances, the FF&amp;E facility and the second mortgage note holders as required under the disbursement agreement. Any such reduction in scope could adversely affect the economic prospects of Le Rêve and its value to the detriment of the second mortgage note holders. Any such budget overrun could significantly impair our ability to complete Le Rêve.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to provide allowances for improvements to retail tenants in excess of our budgeted amounts.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ectPr>
          <w:pgSz w:w="11900" w:h="16853" w:orient="portrait"/>
          <w:cols w:equalWidth="0" w:num="1">
            <w:col w:w="11380"/>
          </w:cols>
          <w:pgMar w:left="240" w:top="131" w:right="27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 all plans and specifications regarding the design of Le Rêve are finalized.</w:t>
      </w:r>
    </w:p>
    <w:p>
      <w:pPr>
        <w:spacing w:after="0" w:line="231"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Specifically, as of the date of this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prospectus, and with regard to the portion of the construction budget covered by the approximately $919 million Marnell Corrao construction contract:</w:t>
      </w:r>
    </w:p>
    <w:p>
      <w:pPr>
        <w:spacing w:after="0" w:line="262" w:lineRule="exact"/>
        <w:rPr>
          <w:sz w:val="20"/>
          <w:szCs w:val="20"/>
          <w:color w:val="auto"/>
        </w:rPr>
      </w:pPr>
    </w:p>
    <w:p>
      <w:pPr>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 plant, meeting rooms and warehouse space, which represent approximately $388 million of the construction components covered by the construction contract;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 and</w:t>
      </w:r>
    </w:p>
    <w:p>
      <w:pPr>
        <w:spacing w:after="0" w:line="207"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drawings for the interior work on the project have not been finalized. If the cost to complete the interior work exceeds budgeted amounts, the excess will not be covered by the guaranteed maximum price contract and, accordingly, we will be responsible for these excess costs.</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With respect to the construction components for which plans and specifications have not been finalized, the guaranteed maximum price contract is based on master concept plans and agreed upon design and other premises and assumptions for the detailed plans to be created. Construction will commence before completion of all drawings and specifications. Delays in completing the drawings and specifications could cause delays in the substantial completion of the work and, under specified circumstances, could defer the contractor's obligation to deliver the completed project by the scheduled completion date.</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 We may not have access to sufficient funds to pay for these increases in the guaranteed maximum price and, therefore, these increases could severely impair our ability to complete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there is a risk that the funds earmarked for the guaranteed maximum price could be exhausted before substantial completion of the project should Marnell Corrao spend greater amounts on certain line items in the earlier stages of construction. The construction contract addresses this risk by requiring Marnell Corrao to demonstrate that it has sufficient funds to complete the work if it reasonably appears, at any stage of the construction work, that the cost to complete the work will exceed the guaranteed maximum price. If Marnell Corrao is unable to provide this evidence, then we may not be able to demonstrate to the disbursement agent and the construction consultant as required by the disbursement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agreement that we have sufficient funds available to cover all remaining construction costs, plus required contingency, in accordance with our construction budget. Accordingly, if Marnell Corrao is unable to demonstrate that it has sufficient funds to complete the work, we may be denied further access to the proceeds of the second mortgage notes or, after the proceeds of the second mortgage notes have been expended, further access to drawdowns under the credit facilities and the FF&amp;E facility.</w:t>
      </w:r>
    </w:p>
    <w:p>
      <w:pPr>
        <w:spacing w:after="0" w:line="197"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With respect to the costs of the components that are not covered by the Marnell Corrao construction contract, we have spent approximately 8.4% to date. Plans relating to many of these components have not been finalized. While we have received bids with respect to items comprising another 36.6% of these remaining budgeted costs, we have not accepted these bids and therefore the bids are subject to change. Accordingly, we have not yet spent money or received bids for a total of approximately 55% of these remaining budgeted costs.</w:t>
      </w:r>
    </w:p>
    <w:p>
      <w:pPr>
        <w:spacing w:after="0" w:line="197"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our credit facilities and, under certain circumstances, the FF&amp;E facility and the second mortgage note holders under the disbursement agreement. Any such reductions in scope could adversely affect the economic prospects of Le Rêve and its value to the detriment of the second mortgage note holders. We cannot assure you that we would obtain these consents.</w:t>
      </w:r>
    </w:p>
    <w:p>
      <w:pPr>
        <w:spacing w:after="0" w:line="14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changes in the scope of work.</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Although we have a guaranteed maximum price contract, the construction contract with Marnell Corrao provides that the guaranteed maximum price will be appropriately increased, and the deadline for completion of construction will be appropriately adjusted, on account of, among other things: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3" w:name="page14"/>
    <w:bookmarkEnd w:id="13"/>
    <w:p>
      <w:pPr>
        <w:ind w:left="1080"/>
        <w:spacing w:after="0"/>
        <w:rPr>
          <w:sz w:val="20"/>
          <w:szCs w:val="20"/>
          <w:color w:val="auto"/>
        </w:rPr>
      </w:pPr>
      <w:r>
        <w:rPr>
          <w:rFonts w:ascii="Arial" w:cs="Arial" w:eastAsia="Arial" w:hAnsi="Arial"/>
          <w:sz w:val="18"/>
          <w:szCs w:val="18"/>
          <w:color w:val="auto"/>
        </w:rPr>
        <w:t>changes in the design documents prepared by the architect or deficiencies in the design documents;</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insufficient contingency amounts and smaller than anticipated cost savings.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guaranteed maximum price provides for an owner contingency of approximately $7.6 million to cover several items, including owner-created delays and owner-originated changes in the scope of work. We cannot assure you that the amount of the owner-contingency will be sufficient to cover any or all delays or changes in the scope of work. The guaranteed maximum price also reflects a credit of $18 million for the anticipated savings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derived from the owner controlled insurance program on contractor and subcontractor insurance costs. While we have taken a conservative approach with respect to anticipating the cost savings, we cannot be certain of the precise savings until the final audit is complete.</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5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disbursement agreement requires us to obtain delay liquidated damages insurance to supplement the delay damages payable by Marnell Corrao. We cannot assure you that we will be able to obtain a liquidated damages insurance policy. If we do not obtain this insurance policy, we will not be able to obtain funds from the second mortgage note proceeds secured account or to draw down under the credit facilities. Moreover, even if we are able to obtain liquidated damages insurance, we cannot assure you that we will be able to obtain the insurance proceeds on a timely basis to pay our costs as they are incurred. 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pacing w:after="0" w:line="19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noted above, the contract also provides for liquidated damages in the amount of $300,000 per day to be imposed on the contractor on a daily basis if the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their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 This may require Wynn Resorts or us to raise additional funding, which may not be available on satisfactory terms or at all. If the opening of Le Rêve is delayed because we cannot fund cost overruns, it could have a substantial negative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ectPr>
          <w:pgSz w:w="11900" w:h="16838" w:orient="portrait"/>
          <w:cols w:equalWidth="0" w:num="1">
            <w:col w:w="11400"/>
          </w:cols>
          <w:pgMar w:left="240" w:top="131" w:right="259" w:bottom="0" w:gutter="0" w:footer="0" w:header="0"/>
        </w:sectPr>
      </w:pPr>
    </w:p>
    <w:bookmarkStart w:id="14" w:name="page15"/>
    <w:bookmarkEnd w:id="14"/>
    <w:p>
      <w:pPr>
        <w:ind w:right="20" w:firstLine="351"/>
        <w:spacing w:after="0" w:line="287"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tax management time and resources.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Because Le Rêve is scheduled to open in March 2005 and the Macau concession contract requires Wynn Macau to open a permanent casino resort in Macau by December 2006, we anticipate that there will be a period of time when we will be building Le Rêve at the same time as Wynn Macau will be building its casino(s) in Macau. If both projects are being built simultaneously, members of Wynn Resorts' senior management will be involved in planning and developing both projects. Major construction projects like Le Rêve will require certain members of management to devote a significant amount of time, attention and resources to the projects, including to manage costs, review budget issues, review design plans, address construction, equipment or staffing problems, pursue the licenses, permits, allocations and authorizations from regulatory authorities that we will need to obtain, hire and train employees and implement marketing strategies. Developing the Macau opportunity simultaneously with Le Rêve may divert management resources from the construction and/or opening of Le Rêve. Management's inability to devote sufficient time and attention to either project may delay the construction or opening of Le Rêve. This type of delay could have a negative effect on our business and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jc w:val="both"/>
        <w:ind w:firstLine="341"/>
        <w:spacing w:after="0" w:line="284"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consolidated debt in relation to our equity, which debt will increase during the construction period. Concurrent with the closing of this offering, we expect that Wynn Las Vegas will enter into two credit facilities, a revolving credit facility in a maximum principal amount of $750 million and a delay draw term loan facility in a maximum principal amount of $250 million.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expect that Wynn Las Vegas will enter into an agreement for an FF&amp;E facility in a maximum principal amount of $178.5 million. The FF&amp;E facility will provide financing for furniture, fixtures and equipment for Le Rêve and include a provision for an intercompany loan to World Travel, LLC, the owner of a corporate jet. We anticipate that we will draw down approximately $701.4 million under the revolving credit facility and the full amount of the delay draw term loan facility to fund the construction, development, equipping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and opening of Le Rêve and, therefore, by the time Le Rêve is complete, we expect to have total outstanding indebtedness in an aggregate principal amount of approximately $1.5 billion, including the second mortgage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ectPr>
          <w:pgSz w:w="11900" w:h="16838" w:orient="portrait"/>
          <w:cols w:equalWidth="0" w:num="1">
            <w:col w:w="11380"/>
          </w:cols>
          <w:pgMar w:left="240" w:top="131" w:right="279" w:bottom="0" w:gutter="0" w:footer="0" w:header="0"/>
        </w:sectPr>
      </w:pPr>
    </w:p>
    <w:bookmarkStart w:id="15" w:name="page16"/>
    <w:bookmarkEnd w:id="15"/>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the second mortgage notes;</w:t>
      </w:r>
    </w:p>
    <w:p>
      <w:pPr>
        <w:spacing w:after="0" w:line="252"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are unable to meet conditions to disbursements of the second mortgage note proceeds or, after the exhaustion thereof, to drawing down amounts under the credit facilities or the FF&amp;E facility, we may not have sufficient funds to continue or complete construction of Le Rêve or to satisfy our construction, debt service and other obligations with respect to the credit facilities, FF&amp;E facility and second mortgage notes;</w:t>
      </w:r>
    </w:p>
    <w:p>
      <w:pPr>
        <w:spacing w:after="0" w:line="174" w:lineRule="exact"/>
        <w:rPr>
          <w:rFonts w:ascii="Arial" w:cs="Arial" w:eastAsia="Arial" w:hAnsi="Arial"/>
          <w:sz w:val="16"/>
          <w:szCs w:val="16"/>
          <w:color w:val="auto"/>
        </w:rPr>
      </w:pPr>
    </w:p>
    <w:p>
      <w:pPr>
        <w:ind w:left="1080" w:right="20" w:hanging="532"/>
        <w:spacing w:after="0" w:line="314"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Wynn Las Vegas' ability to satisfy its obligations with respect to the credit facilities and the FF&amp;E facility, and our ability to satisfy our obligations with respect to the second mortgage notes, may be limited and, if we fail to meet our payment obligations or breach the financial and restrictive covenants contained in the agreements governing our indebtedness, we may be in default under those agreements. If a default is not cured or waived, we may not be able to obtain additional borrowings, including borrowings needed to continue or complete construction of Le Rêve, and the lenders under our credit facilities and the FF&amp;E facility and, subject to the intercreditor agreements, the holders of the second mortgage notes will have the right to accelerate the indebtedness and exercise other rights and remedies against us. These rights and remedies include the rights to:</w:t>
      </w:r>
    </w:p>
    <w:p>
      <w:pPr>
        <w:spacing w:after="0" w:line="388" w:lineRule="exact"/>
        <w:rPr>
          <w:rFonts w:ascii="Arial" w:cs="Arial" w:eastAsia="Arial" w:hAnsi="Arial"/>
          <w:sz w:val="15"/>
          <w:szCs w:val="15"/>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we are insolvent, to initiate involuntary bankruptcy proceedings against us,</w:t>
      </w:r>
    </w:p>
    <w:p>
      <w:pPr>
        <w:spacing w:after="0" w:line="225" w:lineRule="exact"/>
        <w:rPr>
          <w:sz w:val="20"/>
          <w:szCs w:val="20"/>
          <w:color w:val="auto"/>
        </w:rPr>
      </w:pPr>
    </w:p>
    <w:p>
      <w:pPr>
        <w:ind w:left="1080" w:right="380"/>
        <w:spacing w:after="0" w:line="370" w:lineRule="auto"/>
        <w:rPr>
          <w:sz w:val="20"/>
          <w:szCs w:val="20"/>
          <w:color w:val="auto"/>
        </w:rPr>
      </w:pPr>
      <w:r>
        <w:rPr>
          <w:rFonts w:ascii="Arial" w:cs="Arial" w:eastAsia="Arial" w:hAnsi="Arial"/>
          <w:sz w:val="15"/>
          <w:szCs w:val="15"/>
          <w:color w:val="auto"/>
        </w:rPr>
        <w:t>in each case, subject to procedural restraints and limitations applicable to secured creditors generally and procedural restraints and limitations imposed by applicable gaming laws, rules and regulations and the rules and regulations of the Public Utilities Commission of Nevada;</w:t>
      </w:r>
    </w:p>
    <w:p>
      <w:pPr>
        <w:spacing w:after="0" w:line="143" w:lineRule="exact"/>
        <w:rPr>
          <w:sz w:val="20"/>
          <w:szCs w:val="20"/>
          <w:color w:val="auto"/>
        </w:rPr>
      </w:pPr>
    </w:p>
    <w:p>
      <w:pPr>
        <w:ind w:left="1080" w:right="10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174"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certain limited permitted extensions due to force majeure events, if we do not complete construction of Le Rêve by August 31, 2005, we will be in default under the credit facilities and the FF&amp;E facility and we will be in default under the indenture governing the second mortgage notes, and the lenders under our credit facilities and FF&amp;E facility and, subject to the intercreditor agreements, the holders of the second mortgage notes, will have the right to accelerate the indebtedness and exercise other rights and remedies against us, including the rights and remedies described above;</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Wynn Resorts incurs or guarantees other indebtedness, it will not be a guarantor of the indebtedness under the credit facilities or the second mortgage notes and, as a result, Wynn Resorts will not be obligated to make payments to the lenders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the holders of the second mortgage notes if we fail to satisfy our obligations under the credit facilities, the FF&amp;E facility or the second mortgage notes;</w:t>
      </w:r>
    </w:p>
    <w:p>
      <w:pPr>
        <w:spacing w:after="0" w:line="213" w:lineRule="exact"/>
        <w:rPr>
          <w:sz w:val="20"/>
          <w:szCs w:val="20"/>
          <w:color w:val="auto"/>
        </w:rPr>
      </w:pPr>
    </w:p>
    <w:p>
      <w:pPr>
        <w:ind w:left="1080" w:right="560" w:hanging="532"/>
        <w:spacing w:after="0" w:line="370"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Upon commencement of operations at Le Rêve, we will generate significant gaming receivables as a result of extending credit to our credit customers. Payments on these receivables likely will be delayed, which will reduce our cash flow until the payment cycle is established;</w:t>
      </w:r>
    </w:p>
    <w:p>
      <w:pPr>
        <w:spacing w:after="0" w:line="129" w:lineRule="exact"/>
        <w:rPr>
          <w:rFonts w:ascii="Arial" w:cs="Arial" w:eastAsia="Arial" w:hAnsi="Arial"/>
          <w:sz w:val="15"/>
          <w:szCs w:val="15"/>
          <w:color w:val="auto"/>
        </w:rPr>
      </w:pPr>
    </w:p>
    <w:p>
      <w:pPr>
        <w:ind w:left="1080" w:right="2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Once Le Rêve is operating, we will be required to use a substantial portion of our cash flow from operations to service our indebtedness, which will reduce the available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212" w:lineRule="exact"/>
        <w:rPr>
          <w:rFonts w:ascii="Arial" w:cs="Arial" w:eastAsia="Arial" w:hAnsi="Arial"/>
          <w:sz w:val="18"/>
          <w:szCs w:val="18"/>
          <w:color w:val="auto"/>
        </w:rPr>
      </w:pPr>
    </w:p>
    <w:p>
      <w:pPr>
        <w:ind w:left="1080" w:right="5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right to incur additional indebtedness, which may exacerbate the risks described above.</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the undrawn amounts under the revolving facility, the terms of the credit facilities, FF&amp;E facility and the indenture governing the second mortgage notes will permit us to incur additional indebtedness, subject to the limitations imposed by the covenants in those documents. If our existing and contemplated levels of indebtedness increase, the related risks will increase correspondingly. Furthermore, Wynn Resorts will not be subject to the covenants in the credit facilities and second mortgage notes and therefore could incur additional indebtedness.</w:t>
      </w:r>
    </w:p>
    <w:p>
      <w:pPr>
        <w:spacing w:after="0" w:line="16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 including our obligations under the second mortgage notes.</w:t>
      </w:r>
    </w:p>
    <w:p>
      <w:pPr>
        <w:sectPr>
          <w:pgSz w:w="11900" w:h="16838" w:orient="portrait"/>
          <w:cols w:equalWidth="0" w:num="1">
            <w:col w:w="11420"/>
          </w:cols>
          <w:pgMar w:left="240" w:top="145" w:right="239" w:bottom="0" w:gutter="0" w:footer="0" w:header="0"/>
        </w:sectPr>
      </w:pPr>
    </w:p>
    <w:bookmarkStart w:id="16" w:name="page17"/>
    <w:bookmarkEnd w:id="16"/>
    <w:p>
      <w:pPr>
        <w:ind w:right="260" w:firstLine="351"/>
        <w:spacing w:after="0" w:line="259" w:lineRule="auto"/>
        <w:rPr>
          <w:sz w:val="20"/>
          <w:szCs w:val="20"/>
          <w:color w:val="auto"/>
        </w:rPr>
      </w:pPr>
      <w:r>
        <w:rPr>
          <w:rFonts w:ascii="Arial" w:cs="Arial" w:eastAsia="Arial" w:hAnsi="Arial"/>
          <w:sz w:val="18"/>
          <w:szCs w:val="18"/>
          <w:color w:val="auto"/>
        </w:rPr>
        <w:t>Before the opening of Le Rêve, which is expected to occur in March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94"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sufficient cash flow to meet our expenses, including our debt service requirements. Our ability to generate cash flow will depend upon many factors, including:</w:t>
      </w:r>
    </w:p>
    <w:p>
      <w:pPr>
        <w:spacing w:after="0" w:line="26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Some of these factors are beyond our control. In addition, if Wynn Macau opens one or more casinos in Macau, the financing documents for the Macau project(s) may contain restrictions or prohibitions on the distribution to Wynn Resorts of any cash flow generated by the casino(s). Any cash flow generated by one or more Macau casinos operated by Wynn Macau will not be generated by entities which are guarantors of our indebtedness. Thus, any cash flow generated by the Macau casinos may not be available to service our debt service obligations.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we fail to generate sufficient cash flow from future operations to meet our debt service obligations, including our obligations under the second mortgage notes, we may need to refinance all or a portion of the indebtedness or obtain additional financing in order to meet obligations with respect to the indebtedness. We cannot assure you that we will be able to refinance any of the indebtedness or obtain additional financing on satisfactory terms or at all, particularly because of our anticipated high levels of consolidated debt and the debt and lien incurrence restrictions imposed by the agreements governing the debt. See "—General Risks Associated with Our Business—We have no operating history." If we fail to meet our debt service obligations, we will be in default under ?our indebtedness and our lenders will have the right to accelerate our indebtedness and exercise other rights and remedies against us, including the rights and remedies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will be secured by a substantial portion, but not all, of our assets.</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Subject to applicable laws, including gaming laws, and certain agreed upon exceptions, we expect that the credit facilities will be secured by first priority liens on substantially all of our assets and the assets of our affiliates that are necessary for the development, construction, or operation of Le Rêve, other than assets securing the FF&amp;E facility in respect of which the lenders under our credit facilities will have a second priority security interest. The second mortgage notes will be secured by first priority liens on the secured account holding the proceeds of the second mortgage notes, by second priority liens on the assets that secure the credit facilities and by third priority liens on the assets that secure the FF&amp;E facility, other than certain aircraft-related collateral. We expect that the FF&amp;E facility will be secured by a first priority security interest in specific assets financed by that facility, including our corporate aircraft, gaming and other equipment, furnishings, fixtures and devices such as elevators, escalators, our electrical substation, heating, vacuum and air conditioning equipment and slot machines. The credit facilities, the FF&amp;E facility and the second mortgage notes will not be secured by any assets related to Wynn Macau's planned operations in Macau, or, except under certain circumstances, Wynn Resorts.</w:t>
      </w:r>
    </w:p>
    <w:p>
      <w:pPr>
        <w:spacing w:after="0" w:line="17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representatives of the lenders under our credit facilities may release their liens on the approximately 20-acre parcel of land next to the Le Rêve site, which we sometimes call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Phase II land. Pursuant to the indenture governing the second mortgage notes, under certain circumstances, any such release would automatically release the liens on such assets securing the second mortgage notes. The credit facilities will require any such release by the representative of the lenders under our credit facilities only upon the achievement of certain financial tests. The lenders under our credit facilities may, however, elect to release their liens on such assets at an earlier time and, as described above, such release would automatically release the liens of the second mortgage note holders on such assets. In addition, under the indenture governing the second mortgage notes, the second mortgage note holders' security interests in the 137-acre parcel, on which our new golf course will be constructed, may be released if we achieve certain leverage ratios and credit ratings from S&amp;P or Moody's. Upon any such release of the second mortgage note holders' security interests in the Phase II land or the golf course land, the disposition or transfer of such assets will no longer be subject to any of the restrictive covenants in the indenture, and therefore the holders of the second mortgage notes may have limited or no access to these assets. Moreover, once released, these assets may be used to secure other indebtedness and, therefore, the holders of the second mortgage notes, as well as our other lenders, may have limited or no access to these assets if their indebtedness remains unsatisfied.</w:t>
      </w:r>
    </w:p>
    <w:p>
      <w:pPr>
        <w:spacing w:after="0" w:line="17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the event of a default under the financing documents, or if we experience insolvency, liquidation, dissolution or reorganization, the holders of indebtedness under the credit facilities and the FF&amp;E facility would be entitled to payment from the collateral security in which they have a first priority security interest before holders of the second mortgage notes would be entitled to payment from that collateral security. See "—Risks Related to the Offering and the Second Mortgage Notes—The liens securing the indebtedness under the credit facilities and the FF&amp;E facility generally will be senior to the liens securing the</w:t>
      </w:r>
    </w:p>
    <w:p>
      <w:pPr>
        <w:sectPr>
          <w:pgSz w:w="11900" w:h="16838" w:orient="portrait"/>
          <w:cols w:equalWidth="0" w:num="1">
            <w:col w:w="11420"/>
          </w:cols>
          <w:pgMar w:left="240" w:top="131" w:right="239" w:bottom="0" w:gutter="0" w:footer="0" w:header="0"/>
        </w:sectPr>
      </w:pPr>
    </w:p>
    <w:bookmarkStart w:id="17" w:name="page18"/>
    <w:bookmarkEnd w:id="17"/>
    <w:p>
      <w:pPr>
        <w:ind w:right="80"/>
        <w:spacing w:after="0" w:line="268" w:lineRule="auto"/>
        <w:rPr>
          <w:sz w:val="20"/>
          <w:szCs w:val="20"/>
          <w:color w:val="auto"/>
        </w:rPr>
      </w:pPr>
      <w:r>
        <w:rPr>
          <w:rFonts w:ascii="Arial" w:cs="Arial" w:eastAsia="Arial" w:hAnsi="Arial"/>
          <w:sz w:val="18"/>
          <w:szCs w:val="18"/>
          <w:color w:val="auto"/>
        </w:rPr>
        <w:t>second mortgage notes." Accordingly, we cannot assure you that the collateral securing the second mortgage notes will be sufficient to repay all or any portion of the amounts outstanding under the second mortgage notes.</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addition, while the guarantors will guarantee the second mortgage notes, they are not expected to have meaningful operations, other than with respect to the respective assets that secure the guarantees. As such, you should not expect Valvino or any of the restricted entities to contribute to any payments required to be made on the second mortgage notes.</w:t>
      </w:r>
    </w:p>
    <w:p>
      <w:pPr>
        <w:spacing w:after="0" w:line="188" w:lineRule="exact"/>
        <w:rPr>
          <w:sz w:val="20"/>
          <w:szCs w:val="20"/>
          <w:color w:val="auto"/>
        </w:rPr>
      </w:pPr>
    </w:p>
    <w:p>
      <w:pPr>
        <w:ind w:right="42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specified affiliates' ability to engage in certain transactions and may impair our ability to respond to changing business and economic conditions.</w:t>
      </w:r>
    </w:p>
    <w:p>
      <w:pPr>
        <w:spacing w:after="0" w:line="11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Resorts Holdings, Wynn Las Vegas and specified affiliates designated as restricted entities under our credit documentation and the indenture governing the second mortgage notes. The restrictions that will be imposed under the credit facilities, the FF&amp;E facility and/or the indenture will include, among other things, limitations on the restricted entities' ability to:</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and sell equity interest in wholly-owned subsidiaries.</w:t>
      </w:r>
    </w:p>
    <w:p>
      <w:pPr>
        <w:spacing w:after="0" w:line="225"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The credit facilities will require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4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restricted entities' ability to comply with these provisions may be affected by general economic conditions, industry conditions, other events beyond our control and delayed completion of Le Rêve. As a result, we cannot assure you that the restricted entities will be able to comply with these covenants. Failure by the restricted entities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 If the restricted entities fail to comply with a financial covenant or other restriction contained in the credit facilities, the FF&amp;E facility, the indenture governing the second mortgage notes, or any future financing agreements, an event of default could occur.</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either upon maturity or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"—Risks Related to the Offering and the Second Mortgage Notes—The liens securing the indebtedness under the credit facilities and the FF&amp;E facility generally will be senior to the liens securing the second mortgage notes." In addition, any event of default or declaration of acceleration under one debt instrument could result in an event of default under one or more of our other debt instruments, including the second mortgage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ectPr>
          <w:pgSz w:w="11900" w:h="16838" w:orient="portrait"/>
          <w:cols w:equalWidth="0" w:num="1">
            <w:col w:w="11420"/>
          </w:cols>
          <w:pgMar w:left="240" w:top="131" w:right="239" w:bottom="0" w:gutter="0" w:footer="0" w:header="0"/>
        </w:sectPr>
      </w:pPr>
    </w:p>
    <w:bookmarkStart w:id="18" w:name="page19"/>
    <w:bookmarkEnd w:id="18"/>
    <w:p>
      <w:pPr>
        <w:jc w:val="both"/>
        <w:ind w:right="480" w:firstLine="348"/>
        <w:spacing w:after="0" w:line="259" w:lineRule="auto"/>
        <w:rPr>
          <w:sz w:val="20"/>
          <w:szCs w:val="20"/>
          <w:color w:val="auto"/>
        </w:rPr>
      </w:pPr>
      <w:r>
        <w:rPr>
          <w:rFonts w:ascii="Arial" w:cs="Arial" w:eastAsia="Arial" w:hAnsi="Arial"/>
          <w:sz w:val="18"/>
          <w:szCs w:val="18"/>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 profitable.</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intend to lease approximately eight of the retail spaces and will own and operate the remaining approximately 18 retail spaces. We have entered into one restaurant management agreement, and we may enter into others with respect to one or more of the restaurants in Le Rêve. We have entered into one restaurant management agreement.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54"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opening and operation of Le Rêve will be contingent upon the receipt of all regulatory licenses, permits, approvals, registrations, findings of suitability, orders and authorizations from the Nevada gaming and other governmental authorities, including findings of suitability with regard to our direct and indirect principal stockholders. See "—Le Rêve will be subject to extensive state and local regulation, and licensing and gaming authorities have significant control over our operations, which could have a negative effect on our business." The scope of approvals required to open Le Rêve is extensive and failure to obtain or maintain such approvals could prevent or delay the completion or opening of all or part of Le Rêve, or otherwise affect the design and features of Le Rêve, and could materially and adversely affect our financial position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management and other key personnel could significantly harm our business.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the senior management team of Wynn Resorts, including Stephen A. Wynn, the Chairman of the Board and Chief Executive Officer and one of the principal stockholders of Wynn Resorts. Wynn Resorts has entered into employment agreements with several of its senior executives, and Wynn Resorts plans to enter into additional employment agreements with some of its other senior executives, including Stephen A. Wynn. However, we cannot assure you that these individuals will remain with Wynn Resorts. If Wynn Resorts loses the services of any members of our management team or other key personnel, or if they are unable to devote sufficient attention to our operations, our business may be significantly impaired. We cannot assure you that Wynn Resorts will be able to retain its existing senior management personnel or to attract additional qualified senior management personnel. See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In addition, our officers, directors and certain key employees and those of Wynn Resorts also will be required to file applications with the Nevada gaming authorities and may be required to be licensed or found suitable by the Nevada gaming authorities. If the Nevada gaming authorities were to find an officer, director or key employee unsuitable for licensing or unsuitable to continue having a relationship with us or Wynn Resorts, we or Wynn Resorts would have to sever all relationships with that person. Furthermore, the Nevada Gaming Commission may require us or Wynn Resorts to terminate the employment of any person who refuses to file appropriate applications. Either result could adversely affect our gaming operations.</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staff at relatively low levels. We will be required to undertake a major recruiting and training program before Le Rêve opens. However, the pool of experienced gaming and other personnel is limited and competition to recruit and retain gaming and other personnel is likely to intensify as more hotel casinos are opened.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retail and other facilities at Le Rêve will face intense competition.</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date of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w:t>
      </w:r>
    </w:p>
    <w:p>
      <w:pPr>
        <w:spacing w:after="0" w:line="17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w:t>
      </w:r>
    </w:p>
    <w:p>
      <w:pPr>
        <w:sectPr>
          <w:pgSz w:w="11900" w:h="16838" w:orient="portrait"/>
          <w:cols w:equalWidth="0" w:num="1">
            <w:col w:w="11420"/>
          </w:cols>
          <w:pgMar w:left="240" w:top="131" w:right="239" w:bottom="454"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54"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popularity of hotel casino resorts or the appeal of the features offered by Le Rêve would impair our financial condition and future results of operations.</w:t>
      </w:r>
    </w:p>
    <w:p>
      <w:pPr>
        <w:spacing w:after="0" w:line="248"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Las Vegas Retail Competition. </w:t>
      </w:r>
      <w:r>
        <w:rPr>
          <w:rFonts w:ascii="Arial" w:cs="Arial" w:eastAsia="Arial" w:hAnsi="Arial"/>
          <w:sz w:val="16"/>
          <w:szCs w:val="16"/>
          <w:color w:val="auto"/>
        </w:rPr>
        <w:t>Retail shops in Le Rêve will compete with retail malls in or near Las Vegas, including the Fashion Show Mall,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is undergoing a substantial remodeling and expansion, retail stores at Bellagio, The Forum Shops at Caesars Palace, which is expected to complete a 200,000 square foot expansion in 2004, The Grand Canal Shoppes at The Venetian, the Desert Passage at Aladdin Resort &amp; Casino and other retailers in resorts on the Las Vegas Strip, all of which may attract customers away from Le Rêve's retail shops.</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will also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7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Because we may be entirely dependent upon one property for all of our cash flow, we will be subject to greater risks than a gaming company that is more geographically or otherwise diversified.</w:t>
      </w:r>
    </w:p>
    <w:p>
      <w:pPr>
        <w:spacing w:after="0" w:line="180" w:lineRule="exact"/>
        <w:rPr>
          <w:sz w:val="20"/>
          <w:szCs w:val="20"/>
          <w:color w:val="auto"/>
        </w:rPr>
      </w:pPr>
    </w:p>
    <w:p>
      <w:pPr>
        <w:ind w:right="120" w:firstLine="348"/>
        <w:spacing w:after="0" w:line="314" w:lineRule="auto"/>
        <w:rPr>
          <w:sz w:val="20"/>
          <w:szCs w:val="20"/>
          <w:color w:val="auto"/>
        </w:rPr>
      </w:pPr>
      <w:r>
        <w:rPr>
          <w:rFonts w:ascii="Arial" w:cs="Arial" w:eastAsia="Arial" w:hAnsi="Arial"/>
          <w:sz w:val="15"/>
          <w:szCs w:val="15"/>
          <w:color w:val="auto"/>
        </w:rPr>
        <w:t>We do not expect to have material assets or operations other than Le Rêve for the foreseeable future. As a result, we likely will be entirely dependent upon Le Rêve for all of our cash flow. Any cash flow generated by one or more Macau casinos operated by Wynn Macau will not be generated by entities which are guarantors of our indebtedness. In addition, the financing documents for the Macau opportunity may contain restrictions or prohibitions on the distribution to Wynn Resorts of any cash flow generated by these projects. Accordingly, cash flow generated by those Macau casino(s) may not be available to service our indebtedness, including our obligations under the second mortgage notes, or support our operations. See "—Risks Related to Our Substantial Indebtedness—We may not generate sufficient cash flow to meet our substantial debt service and other obligations, including our obligations under the second mortgage notes."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Given that our operations initially will only focus on Las Vegas, we will be subject to greater degrees of risk than a gaming company that is more geographically or otherwise diverse.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w:t>
      </w:r>
    </w:p>
    <w:p>
      <w:pPr>
        <w:spacing w:after="0" w:line="225" w:lineRule="exact"/>
        <w:rPr>
          <w:sz w:val="20"/>
          <w:szCs w:val="20"/>
          <w:color w:val="auto"/>
        </w:rPr>
      </w:pPr>
    </w:p>
    <w:p>
      <w:pPr>
        <w:ind w:right="5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3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common ownership and management by Wynn Resorts of Le Rêve and a second resort developed on either the 20-acre parcel or the golf course land could have an adverse effect on Le Rêve.</w:t>
      </w:r>
    </w:p>
    <w:p>
      <w:pPr>
        <w:spacing w:after="0" w:line="18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common ownership by Wynn Resorts of Le Rêve and additional resorts developed on the 20-acre parcel adjacent to the site of Le Rêve and/or the golf course parcel may result in conflicting business goals because, once released from the liens under the credit facilities and second mortgage notes, a Phase II or other project developed on either the 20-acre parcel or the golf course land would likely be developed through an entity that is not part of the restricted group and could be a potential competitor of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of the Phase II resort over Le Rêve. In addition, that entity also may choose to allocate certain business opportunities, such as potential restaurant, dining and entertainment tenants or requests for room reservations, to the Phase II resort instead of Le Rêve. Although common ownership under Wynn Resorts of both the Le Rêve resort and the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 operation of each resort. In certain circumstances, management may devote more time to the ownership and operations responsibilities of the Phase II resort than those of the Le Rêve.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ectPr>
          <w:pgSz w:w="11900" w:h="16838" w:orient="portrait"/>
          <w:cols w:equalWidth="0" w:num="1">
            <w:col w:w="11400"/>
          </w:cols>
          <w:pgMar w:left="240" w:top="131" w:right="259" w:bottom="0" w:gutter="0" w:footer="0" w:header="0"/>
        </w:sectPr>
      </w:pPr>
    </w:p>
    <w:bookmarkStart w:id="20" w:name="page21"/>
    <w:bookmarkEnd w:id="20"/>
    <w:p>
      <w:pPr>
        <w:spacing w:after="0" w:line="63"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terrorist attacks of September 11, 2001, and ongoing terrorist and war activities in the United States and elsewhere, have had a negative impact on travel and leisure expenditures, including lodging, gaming and tourism. We cannot predict the extent to which the events of September 11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could have a negative impact on our operations.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Also, the terrorist attacks of September 11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costs may increase and we may not be able to obtain full insurance coverage in the future.</w:t>
      </w:r>
    </w:p>
    <w:p>
      <w:pPr>
        <w:spacing w:after="0" w:line="231"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The cost of new insurance policies are higher as a result of general increases in premium levels. The cost of coverage may become so high that we will need to reduce our policy limits or agree to certain exclusions from coverage, and we may not be able to purchase or renew insurance policies on favorable terms or at all. If we are forced to reduce, or prevented from obtaining or renewing, insurance coverage with respect to the occurrence of certain casualties, we and our lenders, including the holders of the second mortgage notes, could be exposed to heavy losses in the event that any damages result from such an occurrence.</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8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opening and operation of Le Rêve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second mortgage notes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Gaming Commission may impose unanticipated requirements regarding the licensing of owners of Wynn Resorts.</w:t>
      </w:r>
    </w:p>
    <w:p>
      <w:pPr>
        <w:spacing w:after="0" w:line="23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immediately before the closing of Wynn Resorts' initial public offering, will own approximately 47.4%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ectPr>
          <w:pgSz w:w="11900" w:h="16901" w:orient="portrait"/>
          <w:cols w:equalWidth="0" w:num="1">
            <w:col w:w="11420"/>
          </w:cols>
          <w:pgMar w:left="240" w:top="131" w:right="239" w:bottom="0" w:gutter="0" w:footer="0" w:header="0"/>
        </w:sectPr>
      </w:pPr>
    </w:p>
    <w:bookmarkStart w:id="21" w:name="page22"/>
    <w:bookmarkEnd w:id="21"/>
    <w:p>
      <w:pPr>
        <w:ind w:right="60" w:firstLine="341"/>
        <w:spacing w:after="0" w:line="255" w:lineRule="auto"/>
        <w:rPr>
          <w:sz w:val="20"/>
          <w:szCs w:val="20"/>
          <w:color w:val="auto"/>
        </w:rPr>
      </w:pPr>
      <w:r>
        <w:rPr>
          <w:rFonts w:ascii="Arial" w:cs="Arial" w:eastAsia="Arial" w:hAnsi="Arial"/>
          <w:sz w:val="18"/>
          <w:szCs w:val="18"/>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were to act adversely with respect to the pending proceeding involving Universal Distributing, that decision could adversely affect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an application filed by Aruze USA, Aruze Corp., Kazuo Okada or Tomohiro Okada in respect of Wynn Resorts.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pacing w:after="0" w:line="172"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9"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Resorts Holdings and Valvino, will be required to comply with certain reporting requirements concerning gaming activities and associations in Macau proposed to be conducted by Wynn Resorts' Macau-related subsidiaries. Wynn Resorts and its licensed Nevada subsidiaries, including Wynn Las Vegas,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also will be subject to disciplinary action by the Nevada Gaming Commission if Wynn Resorts' Macau-related subsidiaries: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160" w:hanging="532"/>
        <w:spacing w:after="0" w:line="370"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ectPr>
          <w:pgSz w:w="11900" w:h="16838" w:orient="portrait"/>
          <w:cols w:equalWidth="0" w:num="1">
            <w:col w:w="11400"/>
          </w:cols>
          <w:pgMar w:left="240" w:top="131" w:right="259" w:bottom="0" w:gutter="0" w:footer="0" w:header="0"/>
        </w:sectPr>
      </w:pPr>
    </w:p>
    <w:bookmarkStart w:id="22" w:name="page23"/>
    <w:bookmarkEnd w:id="22"/>
    <w:p>
      <w:pPr>
        <w:spacing w:after="0" w:line="8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enforce gaming debts. Our inability to collect gaming debts could have a significant negative impact on our operating results.</w:t>
      </w:r>
    </w:p>
    <w:p>
      <w:pPr>
        <w:spacing w:after="0" w:line="21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60" w:firstLine="348"/>
        <w:spacing w:after="0" w:line="310" w:lineRule="auto"/>
        <w:rPr>
          <w:sz w:val="20"/>
          <w:szCs w:val="20"/>
          <w:color w:val="auto"/>
        </w:rPr>
      </w:pPr>
      <w:r>
        <w:rPr>
          <w:rFonts w:ascii="Arial" w:cs="Arial" w:eastAsia="Arial" w:hAnsi="Arial"/>
          <w:sz w:val="15"/>
          <w:szCs w:val="15"/>
          <w:color w:val="auto"/>
        </w:rPr>
        <w:t>We have conducted a Phase I Environmental Assessment. The Phase I report, as updated in August 2002, identified two areas where further sampling is recommended. Based on our prior work at the site and the other information in the Phase I report, we believe that, if any sampling indicates that remediation is required, the remediation will not be material, although we can provide no assurance with respect to the outcome. Otherwise, 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5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80"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have applied to register the "LE RÊVE" service mark with the United States Patent and Trademark Office, referred to as the PTO, for casino and hotel services, as well as for other ancillary uses. Our application for the hotel services mark has cleared the PTO examination process, meaning that "LE RÊVE" will be registered for hotel and other related services if no member of the public objects by a published deadline. Our application for the casino services mark remains pending and we expect it to be published for opposition soon.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Even if we are able to obtain registration of the "LE RÊVE" mark for the above described applications, such federal registration is not completely dispositive of the right to such trademarks. Third parties with prior rights with respect to marks similar to "LE RÊVE," including to the English translation "THE DREAM," may nonetheless challenge our use of "LE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RÊVE" and seek to overcome the presumptions afforded by the registration. They also could attempt to prevent our use of "LE RÊVE" and/or seek monetary damages as a result of our use. Any such failure to register or successful challenge by a third party could have a material impact on our business or results of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recruit a substantial number of new employees before Le Rêve opens and our employees may seek unionization.</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of Wynn Las Vegas' direct and indirect parent companies will be subject to regulatory control by the Public Utilities Commission of Nevada.</w:t>
      </w:r>
    </w:p>
    <w:p>
      <w:pPr>
        <w:spacing w:after="0" w:line="254"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The public utility status of Desert Inn Improvement Co. imposes regulatory restrictions on us. For example, if Wynn Resorts decides to make changes to our or its ownership structure, such as in a merger or acquisition</w:t>
      </w:r>
    </w:p>
    <w:p>
      <w:pPr>
        <w:sectPr>
          <w:pgSz w:w="11900" w:h="16926" w:orient="portrait"/>
          <w:cols w:equalWidth="0" w:num="1">
            <w:col w:w="11400"/>
          </w:cols>
          <w:pgMar w:left="240" w:top="131" w:right="259" w:bottom="0" w:gutter="0" w:footer="0" w:header="0"/>
        </w:sectPr>
      </w:pPr>
    </w:p>
    <w:bookmarkStart w:id="23" w:name="page24"/>
    <w:bookmarkEnd w:id="23"/>
    <w:p>
      <w:pPr>
        <w:ind w:right="40"/>
        <w:spacing w:after="0" w:line="323" w:lineRule="auto"/>
        <w:rPr>
          <w:sz w:val="20"/>
          <w:szCs w:val="20"/>
          <w:color w:val="auto"/>
        </w:rPr>
      </w:pPr>
      <w:r>
        <w:rPr>
          <w:rFonts w:ascii="Arial" w:cs="Arial" w:eastAsia="Arial" w:hAnsi="Arial"/>
          <w:sz w:val="15"/>
          <w:szCs w:val="15"/>
          <w:color w:val="auto"/>
        </w:rPr>
        <w:t>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operating our business in a manner that might be beneficial to our stockholders.</w:t>
      </w:r>
    </w:p>
    <w:p>
      <w:pPr>
        <w:spacing w:after="0" w:line="14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effect, we may have to adjust our current plans for the construction of the golf course by redesigning some of the holes located on the periphery of the course.</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Wynn Resorts and its subsidiaries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Wynn Resorts and its subsidiaries continue to explore opportunities to develop additional gaming or related businesses, in Las Vegas or other markets, whether through acquisition, investment or development. Any acquisition, investment or development would have the potential to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our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would also cause our business to suffer.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Associated with Our Affiliate's Macau Opportunity</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Wynn Macau, a majority-owned indirect subsidiary of Wynn Resorts, has entered into a 20-year concession agreement with the Macau government that permits it to construct and operate one or more casino gaming properties in Macau. Wynn Macau is part of a line of subsidiaries of Wynn Resorts that is owned separately from the subsidiaries of Wynn Resorts that own the issuers and the restricted entities. Wynn Resorts' indirect economic ownership interest in Wynn Macau is expected to be approximately 82.5% prior to any financing for the Macau opportunity.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may not be able to develop the Macau opportunity.</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 has entered into a concession agreement with the Macau government that obligates it to construct and operate at least one casino resort in Macau. According to the concession agreement, Wynn Macau must invest no less than a total of 4 billion patacas (currently approximately $500 million at the August 11, 2002 exchange rate of approximately eight patacas to one U.S. dollar)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government approves, or on projects of public interest designated by the Macau government. Before Wynn Macau can construct and operate these casino(s), it must, among other things:</w:t>
      </w:r>
    </w:p>
    <w:p>
      <w:pPr>
        <w:spacing w:after="0" w:line="199" w:lineRule="exact"/>
        <w:rPr>
          <w:sz w:val="20"/>
          <w:szCs w:val="20"/>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the rights to use suitable parcels of land on satisfactory terms and in acceptable locations in Macau on which to build casino(s), although Wynn Macau has an agreement in principle relating to the location of its first proposed casino;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a sufficient number of qualified management, key personnel and employees to operate the casino(s);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obtain the necessary debt or equity financing to fund the development, design and construction of any casino or casinos in Macau.</w:t>
      </w:r>
    </w:p>
    <w:p>
      <w:pPr>
        <w:sectPr>
          <w:pgSz w:w="11900" w:h="16838" w:orient="portrait"/>
          <w:cols w:equalWidth="0" w:num="1">
            <w:col w:w="11420"/>
          </w:cols>
          <w:pgMar w:left="240" w:top="131" w:right="239" w:bottom="238" w:gutter="0" w:footer="0" w:header="0"/>
        </w:sectPr>
      </w:pPr>
    </w:p>
    <w:bookmarkStart w:id="24" w:name="page25"/>
    <w:bookmarkEnd w:id="24"/>
    <w:p>
      <w:pPr>
        <w:ind w:right="80"/>
        <w:spacing w:after="0" w:line="259" w:lineRule="auto"/>
        <w:rPr>
          <w:sz w:val="20"/>
          <w:szCs w:val="20"/>
          <w:color w:val="auto"/>
        </w:rPr>
      </w:pPr>
      <w:r>
        <w:rPr>
          <w:rFonts w:ascii="Arial" w:cs="Arial" w:eastAsia="Arial" w:hAnsi="Arial"/>
          <w:sz w:val="18"/>
          <w:szCs w:val="18"/>
          <w:color w:val="auto"/>
        </w:rPr>
        <w:t>We cannot assure you that Wynn Macau or Wynn Resorts' other Macau-related subsidiaries would be able to accomplish any of the above and, if they fail to do so, Wynn Macau may not be able to develop the Macau opportunity. If Wynn Macau does not develop the Macau opportunity, Wynn Las Vegas will bear the full costs of Wynn Resorts' corporate overhead.</w:t>
      </w:r>
    </w:p>
    <w:p>
      <w:pPr>
        <w:spacing w:after="0" w:line="18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right="26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adapt to Macau's untested gaming regulatory framework and gaming environment, including the risk that Macau's regulatory framework will not develop in a way that would permit Wynn Resorts to have its affiliates conduct operations in Macau in a manner consistent with the way in which Wynn Resorts intends, or the Nevada gaming authorities require Wynn Resorts, to conduct its operations in the United States;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implement effective controls against infiltration by persons associated with, and effective methods to protect Wynn Resorts' Macau subsidiaries from unknowingly doing business with, reputed criminal organizations;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0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disadvantage due to the ownership of substantially all of the water ferry services and the helicopter shuttle service that link Macau to Hong Kong and Kowloon, as well as the ferry terminal in Hong Kong, by Stanley Ho, who controls Sociedade de Jogos de Macau, the existing casino concession holder and operator in Macau and one of Wynn Macau's competitors;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relief from the complementary income tax and the withholding tax on dividends imposed in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may not proceed with the construction of casino(s) in Macau if, in the judgment of its management, such conditions and risks cannot be adequately resolved, or if these conditions and risks would adversely affect Wynn Resorts'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99"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Foreign Corrupt Practices Act. </w:t>
      </w:r>
      <w:r>
        <w:rPr>
          <w:rFonts w:ascii="Arial" w:cs="Arial" w:eastAsia="Arial" w:hAnsi="Arial"/>
          <w:sz w:val="16"/>
          <w:szCs w:val="16"/>
          <w:color w:val="auto"/>
        </w:rPr>
        <w:t>Wynn Resorts is subject to regulations imposed by the Foreign Corrupt Practices Act, or the FCPA,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U.S. companies and their intermediaries from making improper payments to foreign officials for the purpose of obtaining or retaining business. Any determination that Wynn Resorts has violated the FCPA could have a material adverse effect on Wynn Resorts.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liens securing the indebtedness under the credit facilities and FF&amp;E facility generally will be senior to the liens securing the second mortgage notes.</w:t>
      </w:r>
    </w:p>
    <w:p>
      <w:pPr>
        <w:spacing w:after="0" w:line="266"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second mortgage notes will be secured by second priority liens, subject to permitted liens, permitted collateral releases and applicable law, on substantially all existing and future assets of the issuers, and other subsidiaries of Valvino that guarantee the second mortgage notes other than the collateral securing the FF&amp;E facility, by second priority liens on specified assets of Valvino that are necessary for the development, construction or operation of Le Rêve, by a first priority lien on the secured account holding the proceeds of the second mortgage notes and by third priority liens on the furniture, fixtures and equipment securing the FF&amp;E facility, other than the aircraft-related collateral. Because Wynn Macau and the Macau-related subsidiaries of Wynn Resorts are owned by Wynn Resorts, which is not a guarantor of the second mortgage notes, the assets consisting of Wynn Resorts' Macau project(s) will not be included in the collateral.</w:t>
      </w:r>
    </w:p>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Because the liens securing the indebtedness under the credit facilities will be prior to the liens securing the second mortgage notes, except with respect to the secured account holding the proceeds of the second mortgage notes, the second mortgage notes will be effectively</w:t>
      </w:r>
    </w:p>
    <w:p>
      <w:pPr>
        <w:sectPr>
          <w:pgSz w:w="11900" w:h="16838" w:orient="portrait"/>
          <w:cols w:equalWidth="0" w:num="1">
            <w:col w:w="11380"/>
          </w:cols>
          <w:pgMar w:left="240" w:top="131" w:right="279" w:bottom="0" w:gutter="0" w:footer="0" w:header="0"/>
        </w:sectPr>
      </w:pPr>
    </w:p>
    <w:bookmarkStart w:id="25" w:name="page26"/>
    <w:bookmarkEnd w:id="25"/>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subordinated to the indebtedness under the credit facilities, pursuant to which we expect to incur $1.0 billion in principal amount of indebtedness. In addition, the liens on the collateral securing the FF&amp;E facility will be prior to the liens securing the credit facilities and the second mortgage notes upon such collateral. The collateral securing the FF&amp;E facility will consist of, among other things, fixtures and equipment that are integral to the operation of Le Rêve, such as elevators, escalators, heating, vacuum and air conditioning equipment and gaming equipment. Thus, although the FF&amp;E lenders will not have a lien on other components of Le Rêve, such as the real estate and the buildings, upon the occurrence of a default under the FF&amp;E facility, the FF&amp;E lenders will have control of assets that are required for the ordinary course operations of Le Rêve and, therefore may be able to prevent Le Rêve from operating. Accordingly, upon the occurrence of a default, the lenders under our credit facilities and/or the second mortgage note holders may be required to repay the debt under the FF&amp;E facility to ensure that Le Rêve remains open and operating. As a result, for practical purposes, the second mortgage notes may be effectively subordinated to the FF&amp;E facility, as well as the credit facilities. We will also be permitted, under the indenture governing the second mortgage notes, to incur substantial additional indebtedness, which may be secured by prior liens on the collateral securing the second mortgage notes, or by assets that are not collateral for the second mortgage notes, all of which will be effectively senior to the second mortgage notes.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Notes—Security Interests."</w:t>
      </w:r>
    </w:p>
    <w:p>
      <w:pPr>
        <w:spacing w:after="0" w:line="175"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liens granted by the guarantors to secure their guarantees of the credit facilities will also be senior to the liens securing the second mortgage note guarantees, and, therefore, the second mortgage note guarantees will also be effectively subordinated to the guarantees of the indebtedness under the credit facilities and all of our guarantors' other senior indebtedness secured by higher priority liens. Under the indenture, the second mortgage note guarantors will be permitted to incur substantial additional indebtedness, which may be secured by liens senior in priority to the liens securing the second mortgage note guarantees.</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event of our insolvency or liquidation, or upon any default resulting in the acceleration or a foreclosure or other exercise of remedies, we may not have sufficient assets remaining, after satisfying all of our obligations under the credit facilities and any other senior debt secured by higher priority liens, including the FF&amp;E facility to the extent of the collateral securing that facility, to repay the second mortgage notes or make payments under the second mortgage note guarantees. As holders of junior priority liens, the holders of the second mortgage notes should not expect to receive any payments or distributions under the second mortgage notes or the second mortgage note guarantees until the credit facilities and other senior obligations secured by higher priority liens, including the FF&amp;E facility to the extent of the collateral securing such facility, are repaid in full.</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the ability of the trustee to exercise remedies under the indenture governing the second mortgage notes will be limited by the provisions of the intercreditor agreements, and by procedural restraints applicable to secured parties generally. The ability of the second mortgage note trustee to exercise remedies will be further limited by restrictions imposed by the Public Utilities Commission of Nevada (see "—The Public Utilities Commission of Nevada will impose additional restrictions on foreclosure"), by gaming laws, rules and regulations, (see "—Gaming laws will impose additional restrictions on foreclosure") and by limitations under Nevada law. See "Description of the Second Mortgage Notes—Events of Default and Remedies."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there is a default, the value of the collateral may not be sufficient to repay both the higher priority creditors and the holders of the second mortgage notes.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74"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At the completion of Le Rêve, we expect to have approximately $701.4 million outstanding under the revolving credit facility, $250 million outstanding under the delay draw term loan facility and $178.5 million outstanding under the FF&amp;E facility. We also expect to have at such time approximately $49 million of borrowing availability under the revolving credit facility. Under the indenture governing the second mortgage notes, we will be permitted to incur substantial additional indebtedness that is secured by first priority liens on the second mortgage note collateral.</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trustee under the indenture governing the second mortgage notes will enter into an intercreditor agreement with the lenders under the credit facilities and an intercreditor agreement with the lenders under the FF&amp;E facility. The intercreditor agreements will provide for the allocation of rights among the trustee and these lenders with respect to their respective interests in the collateral and the enforcement of these related provisions.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190" w:lineRule="exact"/>
        <w:rPr>
          <w:sz w:val="20"/>
          <w:szCs w:val="20"/>
          <w:color w:val="auto"/>
        </w:rPr>
      </w:pPr>
    </w:p>
    <w:p>
      <w:pPr>
        <w:ind w:left="1080" w:right="20" w:hanging="532"/>
        <w:spacing w:after="0" w:line="29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intercreditor agreements will permit the agent under the credit facilities, without consent of the holders of the second mortgage notes, to amend the disbursement agreement or waive any defaults or conditions precedent to funding thereunder in various circumstances; while these rights of the agent under the credit facilities will come into place only after the proceeds of the second mortgage notes have been fully advanced, and while these amendments and waivers may facilitate the completion of Le Rêve and benefit the holders of second mortgage notes, they also could result in a reduction of the scope which we are required to build and in funding additional amounts which effectively are senior to the second mortgage notes, in each case, to the detriment of the holders of second mortgage notes;</w:t>
      </w:r>
    </w:p>
    <w:p>
      <w:pPr>
        <w:sectPr>
          <w:pgSz w:w="11900" w:h="16918" w:orient="portrait"/>
          <w:cols w:equalWidth="0" w:num="1">
            <w:col w:w="11420"/>
          </w:cols>
          <w:pgMar w:left="240" w:top="131" w:right="239" w:bottom="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intercreditor agreements will give the lenders under the credit facilities the right to determine whether to foreclose on the collateral and when and at what price to sell the collateral following an event of default under the second mortgage notes or the credit facilities.</w:t>
      </w:r>
    </w:p>
    <w:p>
      <w:pPr>
        <w:spacing w:after="0" w:line="139"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lenders under the FF&amp;E facility will similarly have the right, without the consents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pacing w:after="0" w:line="194"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the aggregate senior secured claims on Le Rêve, even beyond the maximum commitments of these lenders. This additional indebtedness could increase both the periodic amounts payable on our secured indebtedness and the amounts secured by claims effectively senior the claims of the second mortgage note holders, which could disadvantage the holders of the second mortgage notes.</w:t>
      </w:r>
    </w:p>
    <w:p>
      <w:pPr>
        <w:spacing w:after="0" w:line="159"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Under the intercreditor agreements, until all of the debt payable to the lenders under the credit facilities and, with respect to the collateral securing the FF&amp;E facility, until all debt payable under such facility, has been repaid in full, the holders of the second mortgage notes will be restrained from exercising their remedies following a default. As such, the lenders under the credit facilities and, with respect to the collateral securing the FF&amp;E facility, the lenders under such facility, shall be permitted to exercise their remedies and foreclose their respective liens on the note collateral prior to a foreclosure of the liens securing the second mortgage notes. We cannot assure you that any proceeds of such foreclosure sales will remain to repay the second mortgage notes, or any portion thereof, after application of such proceeds to repay in full the credit facilities and, in the case of the collateral securing the FF&amp;E facilities, repay in full the FF&amp;E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laws will impose additional restrictions on foreclosure.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Utilities Commission of Nevada will impose additional restrictions on foreclosure.</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5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such facility, are foreclosed first.</w:t>
      </w:r>
    </w:p>
    <w:p>
      <w:pPr>
        <w:spacing w:after="0" w:line="180"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Pursuant to the intercreditor agreements, the lenders under our credit facilities are permitted to foreclose on the liens securing such facility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certain additional risks.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have multiple lenders, holders of the second mortgage notes may be disadvantaged by actions taken by one or more of our other lenders.</w:t>
      </w:r>
    </w:p>
    <w:p>
      <w:pPr>
        <w:sectPr>
          <w:pgSz w:w="11900" w:h="16838" w:orient="portrait"/>
          <w:cols w:equalWidth="0" w:num="1">
            <w:col w:w="11420"/>
          </w:cols>
          <w:pgMar w:left="240" w:top="131" w:right="239" w:bottom="188" w:gutter="0" w:footer="0" w:header="0"/>
        </w:sectPr>
      </w:pPr>
    </w:p>
    <w:bookmarkStart w:id="27" w:name="page28"/>
    <w:bookmarkEnd w:id="27"/>
    <w:p>
      <w:pPr>
        <w:ind w:right="140" w:firstLine="351"/>
        <w:spacing w:after="0" w:line="268" w:lineRule="auto"/>
        <w:rPr>
          <w:sz w:val="20"/>
          <w:szCs w:val="20"/>
          <w:color w:val="auto"/>
        </w:rPr>
      </w:pPr>
      <w:r>
        <w:rPr>
          <w:rFonts w:ascii="Arial" w:cs="Arial" w:eastAsia="Arial" w:hAnsi="Arial"/>
          <w:sz w:val="18"/>
          <w:szCs w:val="18"/>
          <w:color w:val="auto"/>
        </w:rPr>
        <w:t>Multiple parties will be providing financing for the construction and development of Le Rêve, including the lenders under the credit facilities and under the FF&amp;E facility and the holders of the second mortgage notes. Our various lenders will enter into various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including the disbursement agreement and the intercreditor agreements, which govern the relationships among them.</w:t>
      </w:r>
    </w:p>
    <w:p>
      <w:pPr>
        <w:spacing w:after="0" w:line="225"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may affect, and perhaps impair, the interests of the holders of the second mortgage notes.</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disbursement agreement and the intercreditor agreements will also provide that in certain circumstances, after the proceeds of the second mortgage notes have been fully advanced and, prior to completion of Le Rêve, the agent under the credit facilities may waive various defaults and conditions to funding under the disbursement agreement without the consent of the holders of second mortgage notes. Any such waivers could, among other things, allow us to continue to receive disbursements under the disbursement agreement even though we are in default or have failed to satisfy contractual conditions. Any such waiver could increase the amount of our indebtedness that is effectively senior to the second mortgage notes notwithstanding that construction of Le Rêve is not progressing as planned and our ability to complete Le Rêve is impaired.</w:t>
      </w:r>
    </w:p>
    <w:p>
      <w:pPr>
        <w:spacing w:after="0" w:line="174"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cannot assure you that each lender will perform its obligations under the disbursement agreement. Failure of any one or more of the lenders to fund its obligations under the disbursement agreement, or otherwise to comply with the terms of the disbursement agreement or the other pertinent agreements, would deprive us of the funds necessary to complete Le Rêve and generate revenue and would therefore have a substantial negative effect on us.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Further, given that we are required to expend all of the proceeds of the second mortgage notes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financing by multiple lenders with security interests in common collateral or collateral that is interrelated by use or location may result in increased complexity and lack of flexibility in a debt restructuring or other work-out of the issuers and the restricted entities. Pursuant to the intercreditor agreement among the lenders under our credit facilities, the lenders under the FF&amp;E facility and the trustee on behalf of the second mortgage note holders, the lenders under the FF&amp;E facility have agreed to, subject to various limitations, upon the occurrence of an event of default under such facility, refrain from the exercise of remedies for a period of up to 60 days before completion of Le Rêve or 45 days after completion of Le Rêve. We cannot assure you that the lenders under the FF&amp;E facility will respect such obligations or, even if they do respect such obligations, such standstill period will be sufficient to restructure or achieve a work out of our debt. If such event of default is not cured within such standstill period, the lenders under our FF&amp;E facility will be permitted to exercise remedies against their collateral, including removing elevators, escalators, air conditioning units and similar equipment so as to prevent Le Rêve from operating.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fulfill our repurchase obligations with respect to the second mortgage notes upon a change of control.</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second mortgage notes at 101% of the principal amount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second mortgage notes plus accrued and unpaid interest to the date of repurchase. Any change of control may also constitute a default under the credit facilities and the FF&amp;E facility. Therefore, upon the occurrence of a change of control, the lenders under the credit facilities and FF&amp;E facility may have the right to accelerate their loans and we would be required to prepay all of our outstanding obligations under the credit facilities and the FF&amp;E facility. We cannot assure you that we will have available funds sufficient to pay the change of control purchase price for any or all of the second mortgage notes that might be delivered by holders of the second mortgage notes seeking to accept the change of control offer. In addition, certain important corporate events, such as leveraged recapitalizations that would increase the level of our indebtedness, would not constitute a "change of control" under the indenture governing the second mortgage notes. See "Description of the Second Mortgage Notes—Repurchase at the Option of Holders—Change of Control" and "Description of Other Indebtedness— Credit Facilities."</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credit facilities will contain, and any future credit agreement likely will contain, restrictions or prohibitions on our ability to repurchase the second mortgage notes 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Second Mortgage Notes—Events of Default." An event of default under the indenture governing the second mortgage notes also would constitute an event of default under the credit facilities and the FF&amp;E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laws may significantly impair your rights to repossess and dispose of collateral securing the second mortgage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w:t>
      </w:r>
    </w:p>
    <w:p>
      <w:pPr>
        <w:sectPr>
          <w:pgSz w:w="11900" w:h="16838" w:orient="portrait"/>
          <w:cols w:equalWidth="0" w:num="1">
            <w:col w:w="11420"/>
          </w:cols>
          <w:pgMar w:left="240" w:top="131" w:right="239" w:bottom="0" w:gutter="0" w:footer="0" w:header="0"/>
        </w:sectPr>
      </w:pPr>
    </w:p>
    <w:bookmarkStart w:id="28" w:name="page29"/>
    <w:bookmarkEnd w:id="28"/>
    <w:p>
      <w:pPr>
        <w:ind w:right="140"/>
        <w:spacing w:after="0" w:line="268" w:lineRule="auto"/>
        <w:rPr>
          <w:sz w:val="20"/>
          <w:szCs w:val="20"/>
          <w:color w:val="auto"/>
        </w:rPr>
      </w:pPr>
      <w:r>
        <w:rPr>
          <w:rFonts w:ascii="Arial" w:cs="Arial" w:eastAsia="Arial" w:hAnsi="Arial"/>
          <w:sz w:val="18"/>
          <w:szCs w:val="18"/>
          <w:color w:val="auto"/>
        </w:rPr>
        <w:t>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use the funds in the second mortgage notes proceeds account as cash collateral if the debtor provided adequate protection for such use by granting replacement liens on other collateral, which might not consist of liquid assets.</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Factors that might bear on the recovery by the holders of the second mortgage notes in these circumstances, among others, would include:</w:t>
      </w:r>
    </w:p>
    <w:p>
      <w:pPr>
        <w:spacing w:after="0" w:line="262" w:lineRule="exact"/>
        <w:rPr>
          <w:sz w:val="20"/>
          <w:szCs w:val="20"/>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lenders with liens senior to the liens securing the second mortgage notes may seek, and perhaps receive, relief from the automatic stay to foreclose their respective liens;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task of adequate protection of their liens and the collateral securing the second mortgage notes as a basis for approving a motion or other relief approved by the lenders under the credit facilities. See "Intercreditor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 under agreements serving as collateral for the second mortgage notes may be rejected in bankruptcy.</w:t>
      </w:r>
    </w:p>
    <w:p>
      <w:pPr>
        <w:spacing w:after="0" w:line="231" w:lineRule="exact"/>
        <w:rPr>
          <w:sz w:val="20"/>
          <w:szCs w:val="20"/>
          <w:color w:val="auto"/>
        </w:rPr>
      </w:pPr>
    </w:p>
    <w:p>
      <w:pPr>
        <w:ind w:right="120" w:firstLine="341"/>
        <w:spacing w:after="0" w:line="254" w:lineRule="auto"/>
        <w:rPr>
          <w:sz w:val="20"/>
          <w:szCs w:val="20"/>
          <w:color w:val="auto"/>
        </w:rPr>
      </w:pPr>
      <w:r>
        <w:rPr>
          <w:rFonts w:ascii="Arial" w:cs="Arial" w:eastAsia="Arial" w:hAnsi="Arial"/>
          <w:sz w:val="18"/>
          <w:szCs w:val="18"/>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 constitutes a lease of real property, the resulting claim of the lessor for damages resulting from termination may be capped pursuant to Section 502(b)(6) of the bankruptcy code.</w:t>
      </w:r>
    </w:p>
    <w:p>
      <w:pPr>
        <w:spacing w:after="0" w:line="198"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us to accept subordinated or other securities in exchange for the second mortgage notes, or substantive consolidation of us with Wynn Resorts in a bankruptcy in which Wynn Resorts was debtor. Regardless of the disposition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of these or other motions or claims, we cannot assure you that during litigation of these issues our payments on the second mortgage notes would be paid in full or on time.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80"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Although 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we cannot assure you that a bankruptcy court would agree, in the event that any of Wynn Resorts, Valvino or any such other affiliates becomes a debtor under the Bankruptcy Code. If a bankruptcy court concludes that substantive consolidation of Wynn Las Vegas or Wynn Capital with any affiliated party referred to in the first sentence of this paragraph is warranted, the risks described above under "Bankruptcy laws may significantly impair your rights to repossess and dispose of collateral securing the second mortgage notes" would apply as a result of such bankruptcy filing, notwithstanding that Wynn Las Vegas is successfully operating Le Rêve and is able to pay its obligations as they become due. If substantive consolidation is ordered, payments on the second mortgage notes could be delayed or reduced.</w:t>
      </w:r>
    </w:p>
    <w:p>
      <w:pPr>
        <w:spacing w:after="0" w:line="16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Releases of collateral securing, or guarantees of, the second mortgage notes or requirements for additional guarantees may be controlled, under some circumstances, by the agent under the credit facilities.</w:t>
      </w:r>
    </w:p>
    <w:p>
      <w:pPr>
        <w:spacing w:after="0" w:line="18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indenture for the second mortgage notes will provide specified conditions for the release of the golf course land and related water rights and the 20-acre parcel located next to the Le Rêve site. See "Description of the Second Mortgage Notes—Release of Golf Course Land and Phase II Land." Under certain</w:t>
      </w:r>
    </w:p>
    <w:p>
      <w:pPr>
        <w:sectPr>
          <w:pgSz w:w="11900" w:h="16838" w:orient="portrait"/>
          <w:cols w:equalWidth="0" w:num="1">
            <w:col w:w="11420"/>
          </w:cols>
          <w:pgMar w:left="240" w:top="131" w:right="239" w:bottom="0" w:gutter="0" w:footer="0" w:header="0"/>
        </w:sectPr>
      </w:pPr>
    </w:p>
    <w:bookmarkStart w:id="29" w:name="page30"/>
    <w:bookmarkEnd w:id="29"/>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circumstances, the collateral agent for the credit facilities will be permitted to waive these conditions and release these items of collateral without any action on the part of the trustee or any holder of second mortgage notes if the agent under the credit facilities releases the lien on that collateral securing the credit facilities. For example, the credit facility and indenture will provide that the liens with respect to the golf course land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on the golf course land and related water rights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lenders under the credit facilities of these portions of the golf course, the trustee for the note holders will automatically release their second priority liens on that property as well.</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Upon such release by the representatives for the lenders, the trustee for the note holders will automatically release their second priority liens on the 20-acre parcel.</w:t>
      </w:r>
    </w:p>
    <w:p>
      <w:pPr>
        <w:spacing w:after="0" w:line="17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but not all, of our assets."</w:t>
      </w:r>
    </w:p>
    <w:p>
      <w:pPr>
        <w:spacing w:after="0" w:line="18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8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Our creditors or the creditors of our guarantors could challenge the second mortgage note guarantees and the liens securing those guarantees as fraudulent conveyances or on other grounds. Under the federal bankruptcy law and comparable provisions of state fraudulent transfer laws, the delivery of the guarantees and the grant of the second priority liens securing the guarantees could be avoid as fraudulent transfers if a court determined that the guarantor, at the time it incurred the indebtedness evidenced by its guarantee or granted its lien:</w:t>
      </w:r>
    </w:p>
    <w:p>
      <w:pPr>
        <w:spacing w:after="0" w:line="21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the guarantees were avoided or limited under fraudulent transfer or other laws, any claim you may make against us for amounts payable on the second mortgage notes would be structurally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general unsecured claims of the guarantors.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On the basis of historical financial information, recent operating history and other factors, we believe that each guarantor, after giving effect to its guarantee of the second mortgage notes, will not be insolvent, will not have unreasonably small capital for the business in which it is engaged and will not have incurred</w:t>
      </w:r>
    </w:p>
    <w:p>
      <w:pPr>
        <w:sectPr>
          <w:pgSz w:w="11900" w:h="16894" w:orient="portrait"/>
          <w:cols w:equalWidth="0" w:num="1">
            <w:col w:w="11420"/>
          </w:cols>
          <w:pgMar w:left="240" w:top="131" w:right="239" w:bottom="0" w:gutter="0" w:footer="0" w:header="0"/>
        </w:sectPr>
      </w:pPr>
    </w:p>
    <w:bookmarkStart w:id="30" w:name="page31"/>
    <w:bookmarkEnd w:id="30"/>
    <w:p>
      <w:pPr>
        <w:ind w:right="20"/>
        <w:spacing w:after="0" w:line="268" w:lineRule="auto"/>
        <w:rPr>
          <w:sz w:val="20"/>
          <w:szCs w:val="20"/>
          <w:color w:val="auto"/>
        </w:rPr>
      </w:pPr>
      <w:r>
        <w:rPr>
          <w:rFonts w:ascii="Arial" w:cs="Arial" w:eastAsia="Arial" w:hAnsi="Arial"/>
          <w:sz w:val="18"/>
          <w:szCs w:val="18"/>
          <w:color w:val="auto"/>
        </w:rPr>
        <w:t>debts beyond its ability to pay such debts as they mature. We cannot assure you, however, as to what standard a court would apply in making these determinations or that a court would agree with our conclusions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additional guarantees or liens on collateral provided after the second mortgage notes are issued could also be avoided as preferential transfers.</w:t>
      </w:r>
    </w:p>
    <w:p>
      <w:pPr>
        <w:spacing w:after="0" w:line="254" w:lineRule="exact"/>
        <w:rPr>
          <w:sz w:val="20"/>
          <w:szCs w:val="20"/>
          <w:color w:val="auto"/>
        </w:rPr>
      </w:pPr>
    </w:p>
    <w:p>
      <w:pPr>
        <w:ind w:right="320" w:firstLine="348"/>
        <w:spacing w:after="0" w:line="323" w:lineRule="auto"/>
        <w:rPr>
          <w:sz w:val="20"/>
          <w:szCs w:val="20"/>
          <w:color w:val="auto"/>
        </w:rPr>
      </w:pPr>
      <w:r>
        <w:rPr>
          <w:rFonts w:ascii="Arial" w:cs="Arial" w:eastAsia="Arial" w:hAnsi="Arial"/>
          <w:sz w:val="15"/>
          <w:szCs w:val="15"/>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we and the existing guarantors acquire after the second mortgage notes are issued. If any new guarantor, or any issuer or guarantor providing new collateral for the second mortgage notes, is insolvent or anticipates insolvency at the time the guarantee or lien is granted, the guarantee or lien, as applicable, could be avoided as a preferential transfer.</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8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 fund payments in respect of the second mortgage notes. Accordingly, we may not be able to rely on the cash flow or assets of unrestricted subsidiaries to pay any of our indebtedness, including the second mortgage notes.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collateral securing the second mortgage notes includes real property and, as a result, holders of the second mortgage notes may be subject to certain environmental risks.</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public market for the second mortgage notes, and we cannot be sure that a market for the second mortgage notes will develop.</w:t>
      </w:r>
    </w:p>
    <w:p>
      <w:pPr>
        <w:spacing w:after="0" w:line="254"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second mortgage notes are a new issue of securities for which there is currently no active trading market. Although the underwriters have informed us that they intend to make a market in the second mortgage notes, they have no obligation to do so and may discontinue their market-making activity at any time without notice.</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and our future direction.</w:t>
      </w:r>
    </w:p>
    <w:p>
      <w:pPr>
        <w:spacing w:after="0" w:line="25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pacing w:after="0" w:line="197" w:lineRule="exact"/>
        <w:rPr>
          <w:sz w:val="20"/>
          <w:szCs w:val="20"/>
          <w:color w:val="auto"/>
        </w:rPr>
      </w:pPr>
    </w:p>
    <w:p>
      <w:pPr>
        <w:ind w:right="60" w:firstLine="341"/>
        <w:spacing w:after="0" w:line="306" w:lineRule="auto"/>
        <w:rPr>
          <w:sz w:val="20"/>
          <w:szCs w:val="20"/>
          <w:color w:val="auto"/>
        </w:rPr>
      </w:pPr>
      <w:r>
        <w:rPr>
          <w:rFonts w:ascii="Arial" w:cs="Arial" w:eastAsia="Arial" w:hAnsi="Arial"/>
          <w:sz w:val="16"/>
          <w:szCs w:val="16"/>
          <w:color w:val="auto"/>
        </w:rPr>
        <w:t>After this offering and the offering of Wynn Resorts' common stock,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as a practical matter, control Wynn Resorts' board of directors. The stockholders agreement will continue to be in effect after the completion of this offering. For more information about the stockholders agreement between Mr. Wynn, Aruze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USA and Baron Asset Fund, see "Certain Relationships and Related Party Transactions—Stockholders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second mortgage notes due to regulatory considerations, either as required by gaming authorities or in our discretion.</w:t>
      </w:r>
    </w:p>
    <w:p>
      <w:pPr>
        <w:sectPr>
          <w:pgSz w:w="11900" w:h="16838" w:orient="portrait"/>
          <w:cols w:equalWidth="0" w:num="1">
            <w:col w:w="11420"/>
          </w:cols>
          <w:pgMar w:left="240" w:top="131" w:right="239" w:bottom="0" w:gutter="0" w:footer="0" w:header="0"/>
        </w:sectPr>
      </w:pPr>
    </w:p>
    <w:bookmarkStart w:id="31" w:name="page32"/>
    <w:bookmarkEnd w:id="31"/>
    <w:p>
      <w:pPr>
        <w:ind w:right="260" w:firstLine="348"/>
        <w:spacing w:after="0" w:line="259" w:lineRule="auto"/>
        <w:rPr>
          <w:sz w:val="20"/>
          <w:szCs w:val="20"/>
          <w:color w:val="auto"/>
        </w:rPr>
      </w:pPr>
      <w:r>
        <w:rPr>
          <w:rFonts w:ascii="Arial" w:cs="Arial" w:eastAsia="Arial" w:hAnsi="Arial"/>
          <w:sz w:val="18"/>
          <w:szCs w:val="18"/>
          <w:color w:val="auto"/>
        </w:rPr>
        <w:t>The indenture will grant us the power to redeem the second mortgage notes from a person who owns or controls these second mortgage notes if any governmental gaming authority requires a holder or beneficial owner of second mortgage notes to be licensed, qualified or found suitable under any applicable gaming law and:</w:t>
      </w:r>
    </w:p>
    <w:p>
      <w:pPr>
        <w:spacing w:after="0" w:line="208" w:lineRule="exact"/>
        <w:rPr>
          <w:sz w:val="20"/>
          <w:szCs w:val="20"/>
          <w:color w:val="auto"/>
        </w:rPr>
      </w:pPr>
    </w:p>
    <w:p>
      <w:pPr>
        <w:ind w:left="1080" w:right="1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person fails to apply for a license, qualification or finding of suitability within 30 days after being requested to do so (or such lesser period as required by the relevant governmental gaming authority),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person is determined by a governmental gaming authority to be unsuitable to own or control the second mortgage notes.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Under the foregoing circumstances, under the indenture, we will be able to redeem, and if required by the applicable gaming authority, we must redeem, that person's second mortgage notes to the extent required by the gaming authority or deemed necessary or advisable by us. The redemption price will be, in each case, together with accrued and unpaid interest on the second mortgage note, equal to:</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determined by the governmental gaming authority,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governmental gaming authority does not determine a price, the lesser of (i) the principal amount of the second mortgage notes and (ii) the price that the holder or beneficial owner paid for the second mortgage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20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2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74"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risks associated with entering into a new venture and new construction, including our ability to construct and open Le Rêve on time and on budget;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changing resort preferences among high-end customers;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dependence on existing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25" w:lineRule="exact"/>
        <w:rPr>
          <w:rFonts w:ascii="Arial" w:cs="Arial" w:eastAsia="Arial" w:hAnsi="Arial"/>
          <w:sz w:val="18"/>
          <w:szCs w:val="18"/>
          <w:color w:val="auto"/>
        </w:rPr>
      </w:pPr>
    </w:p>
    <w:p>
      <w:pPr>
        <w:spacing w:after="0"/>
        <w:tabs>
          <w:tab w:leader="none" w:pos="0" w:val="left"/>
        </w:tabs>
        <w:numPr>
          <w:ilvl w:val="0"/>
          <w:numId w:val="42"/>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32" w:name="page33"/>
    <w:bookmarkEnd w:id="32"/>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expect to receive approximately $335.7 million in net proceeds from this offering, after deducting underwriting discounts and commissions and estimated offering expenses. Concurrently with the consummation of this offering:</w:t>
      </w:r>
    </w:p>
    <w:p>
      <w:pPr>
        <w:spacing w:after="0" w:line="199" w:lineRule="exact"/>
        <w:rPr>
          <w:sz w:val="20"/>
          <w:szCs w:val="20"/>
          <w:color w:val="auto"/>
        </w:rPr>
      </w:pPr>
    </w:p>
    <w:p>
      <w:pPr>
        <w:ind w:left="540" w:right="180" w:hanging="532"/>
        <w:spacing w:after="0" w:line="303"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Wynn Resorts will consummate an initial public offering of its common stock. We expect Wynn Resorts to receive approximately $363.5 million in net proceeds from the initial public offering (based on the number of shares and an assumed offering price equal to the mid-point of the price range set forth on the cover of the preliminary prospectus relating thereto), after deducting underwriting discounts and commissions and estimated offering expenses.</w:t>
      </w:r>
    </w:p>
    <w:p>
      <w:pPr>
        <w:spacing w:after="0" w:line="1" w:lineRule="exact"/>
        <w:rPr>
          <w:rFonts w:ascii="Arial" w:cs="Arial" w:eastAsia="Arial" w:hAnsi="Arial"/>
          <w:sz w:val="15"/>
          <w:szCs w:val="15"/>
          <w:color w:val="auto"/>
        </w:rPr>
      </w:pPr>
    </w:p>
    <w:p>
      <w:pPr>
        <w:ind w:left="540" w:right="300"/>
        <w:spacing w:after="0" w:line="295" w:lineRule="auto"/>
        <w:rPr>
          <w:rFonts w:ascii="Arial" w:cs="Arial" w:eastAsia="Arial" w:hAnsi="Arial"/>
          <w:sz w:val="15"/>
          <w:szCs w:val="15"/>
          <w:color w:val="auto"/>
        </w:rPr>
      </w:pPr>
      <w:r>
        <w:rPr>
          <w:rFonts w:ascii="Arial" w:cs="Arial" w:eastAsia="Arial" w:hAnsi="Arial"/>
          <w:sz w:val="16"/>
          <w:szCs w:val="16"/>
          <w:color w:val="auto"/>
        </w:rPr>
        <w:t>Wynn Resorts will contribute to Wynn Las Vegas that portion of its existing cash plus net proceeds from the initial public offering that is necessary, together with borrowings under our indebtedness, to fund the project costs of Le Rêve. Additionally, if the underwriters for the initial public offering exercise their over-allotment option in full, we expect Wynn Resorts' net proceeds from the over-allotment exercise to be approximately $55.1 million. Wynn Resorts may, at its option, contribute those funds to us for our use, but is under no obligation to do so.</w:t>
      </w:r>
    </w:p>
    <w:p>
      <w:pPr>
        <w:spacing w:after="0" w:line="196" w:lineRule="exact"/>
        <w:rPr>
          <w:rFonts w:ascii="Arial" w:cs="Arial" w:eastAsia="Arial" w:hAnsi="Arial"/>
          <w:sz w:val="15"/>
          <w:szCs w:val="15"/>
          <w:color w:val="auto"/>
        </w:rPr>
      </w:pPr>
    </w:p>
    <w:p>
      <w:pPr>
        <w:jc w:val="both"/>
        <w:ind w:left="540" w:right="20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enter into a $750.0 million revolving credit facility, a $250.0 million delay draw term loan facility and a $178.5 million FF&amp;E facility. We have received commitments for the credit facility and the delay draw term loan. We have entered into an engagement letter with respect to the FF&amp;E facility, which is currently being syndicated. See "Description of Other Indebtedness."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intend to use the net proceeds from this offering, together with equity contributions from Wynn Resorts' and initial public offering proceeds and existing cash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w:t>
      </w:r>
    </w:p>
    <w:p>
      <w:pPr>
        <w:spacing w:after="0" w:line="19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6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develop, design,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and "Management's Discussion and Analysis of Financial Condition and Results of Operations."</w:t>
      </w:r>
    </w:p>
    <w:p>
      <w:pPr>
        <w:spacing w:after="0" w:line="1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sets forth estimated sources and uses, by Wynn Las Vegas and the guarantor entities, of funds to design, construct, develop, equip and open Le Rêve and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operations related primarily to the Le Rêve project. The table assumes that the financing transactions, including this offering, close on September 30, 2002. For purposes of calculating total construciton costs, the revolving credit facility balance and interest and commitment fees, this table also includes certain final construciton cost payments that we assume will be made after the opening of Le Rêve.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ind w:left="1900"/>
              <w:spacing w:after="0"/>
              <w:rPr>
                <w:sz w:val="20"/>
                <w:szCs w:val="20"/>
                <w:color w:val="auto"/>
              </w:rPr>
            </w:pPr>
            <w:r>
              <w:rPr>
                <w:rFonts w:ascii="Arial" w:cs="Arial" w:eastAsia="Arial" w:hAnsi="Arial"/>
                <w:sz w:val="14"/>
                <w:szCs w:val="14"/>
                <w:b w:val="1"/>
                <w:bCs w:val="1"/>
                <w:color w:val="auto"/>
              </w:rPr>
              <w:t>Sources (in millions)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tcPr>
          <w:p>
            <w:pPr>
              <w:jc w:val="right"/>
              <w:ind w:right="422"/>
              <w:spacing w:after="0"/>
              <w:rPr>
                <w:sz w:val="20"/>
                <w:szCs w:val="20"/>
                <w:color w:val="auto"/>
              </w:rPr>
            </w:pPr>
            <w:r>
              <w:rPr>
                <w:rFonts w:ascii="Arial" w:cs="Arial" w:eastAsia="Arial" w:hAnsi="Arial"/>
                <w:sz w:val="14"/>
                <w:szCs w:val="14"/>
                <w:b w:val="1"/>
                <w:bCs w:val="1"/>
                <w:color w:val="auto"/>
                <w:w w:val="96"/>
              </w:rPr>
              <w:t>Uses (in millions)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701.4</w:t>
            </w:r>
          </w:p>
        </w:tc>
        <w:tc>
          <w:tcPr>
            <w:tcW w:w="2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costs:</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Delay draw term loan facility (1)</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Marnell Corrao contract (7)</w:t>
            </w:r>
          </w:p>
        </w:tc>
        <w:tc>
          <w:tcPr>
            <w:tcW w:w="164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 (2)</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Interior design, related FF&amp;E,</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mortgage notes (3)</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signage and electronic</w:t>
            </w:r>
          </w:p>
        </w:tc>
        <w:tc>
          <w:tcPr>
            <w:tcW w:w="1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 (4)</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income (5)</w:t>
            </w:r>
          </w:p>
        </w:tc>
        <w:tc>
          <w:tcPr>
            <w:tcW w:w="8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w w:val="98"/>
              </w:rPr>
              <w:t>Design and engineering fees</w:t>
            </w:r>
          </w:p>
        </w:tc>
        <w:tc>
          <w:tcPr>
            <w:tcW w:w="1640" w:type="dxa"/>
            <w:vAlign w:val="bottom"/>
          </w:tcPr>
          <w:p>
            <w:pPr>
              <w:spacing w:after="0"/>
              <w:rPr>
                <w:sz w:val="18"/>
                <w:szCs w:val="18"/>
                <w:color w:val="auto"/>
              </w:rPr>
            </w:pP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(6)</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1640" w:type="dxa"/>
            <w:vAlign w:val="bottom"/>
          </w:tcPr>
          <w:p>
            <w:pPr>
              <w:spacing w:after="0"/>
              <w:rPr>
                <w:sz w:val="18"/>
                <w:szCs w:val="18"/>
                <w:color w:val="auto"/>
              </w:rPr>
            </w:pPr>
          </w:p>
        </w:tc>
        <w:tc>
          <w:tcPr>
            <w:tcW w:w="2100" w:type="dxa"/>
            <w:vAlign w:val="bottom"/>
          </w:tcPr>
          <w:p>
            <w:pPr>
              <w:jc w:val="right"/>
              <w:ind w:right="13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16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33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64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-1452880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-1452880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-1452880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-1452880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Insurance (8)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Miscellaneous capital projects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8"/>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Construction period utilities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ind w:left="400"/>
              <w:spacing w:after="0"/>
              <w:rPr>
                <w:sz w:val="20"/>
                <w:szCs w:val="20"/>
                <w:color w:val="auto"/>
              </w:rPr>
            </w:pPr>
            <w:r>
              <w:rPr>
                <w:rFonts w:ascii="Arial" w:cs="Arial" w:eastAsia="Arial" w:hAnsi="Arial"/>
                <w:sz w:val="18"/>
                <w:szCs w:val="18"/>
                <w:color w:val="auto"/>
              </w:rPr>
              <w:t>&amp; security</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contingency (9)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18"/>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Total construction costs</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1,404.6</w:t>
            </w:r>
          </w:p>
        </w:tc>
      </w:tr>
      <w:tr>
        <w:trPr>
          <w:trHeight w:val="218"/>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 (10)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Owner-acquired FF&amp;E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Entertainment production costs (11)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expenditures (12)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8"/>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Aircraft acquisition and loan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22"/>
        </w:trPr>
        <w:tc>
          <w:tcPr>
            <w:tcW w:w="6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repayment (13)</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8"/>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commitment fees (14)</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Working capital needs at opening (15)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completion guarantee (16)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Liquidity reserve (17)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fees and expenses (18)</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118"/>
        </w:trPr>
        <w:tc>
          <w:tcPr>
            <w:tcW w:w="6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r>
        <w:trPr>
          <w:trHeight w:val="319"/>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Total Sources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2,440.6</w:t>
            </w:r>
          </w:p>
        </w:tc>
        <w:tc>
          <w:tcPr>
            <w:tcW w:w="3960" w:type="dxa"/>
            <w:vAlign w:val="bottom"/>
          </w:tcPr>
          <w:p>
            <w:pPr>
              <w:ind w:left="400"/>
              <w:spacing w:after="0"/>
              <w:rPr>
                <w:sz w:val="20"/>
                <w:szCs w:val="20"/>
                <w:color w:val="auto"/>
              </w:rPr>
            </w:pPr>
            <w:r>
              <w:rPr>
                <w:rFonts w:ascii="Arial" w:cs="Arial" w:eastAsia="Arial" w:hAnsi="Arial"/>
                <w:sz w:val="18"/>
                <w:szCs w:val="18"/>
                <w:color w:val="auto"/>
              </w:rPr>
              <w:t>Total Uses</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2,440.6</w:t>
            </w:r>
          </w:p>
        </w:tc>
      </w:tr>
      <w:tr>
        <w:trPr>
          <w:trHeight w:val="147"/>
        </w:trPr>
        <w:tc>
          <w:tcPr>
            <w:tcW w:w="6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40" w:hanging="532"/>
        <w:spacing w:after="0" w:line="196" w:lineRule="auto"/>
        <w:tabs>
          <w:tab w:leader="none" w:pos="540" w:val="left"/>
        </w:tabs>
        <w:numPr>
          <w:ilvl w:val="0"/>
          <w:numId w:val="45"/>
        </w:numPr>
        <w:rPr>
          <w:rFonts w:ascii="Arial" w:cs="Arial" w:eastAsia="Arial" w:hAnsi="Arial"/>
          <w:sz w:val="27"/>
          <w:szCs w:val="27"/>
          <w:color w:val="auto"/>
          <w:vertAlign w:val="subscript"/>
        </w:rPr>
      </w:pPr>
      <w:r>
        <w:rPr>
          <w:rFonts w:ascii="Arial" w:cs="Arial" w:eastAsia="Arial" w:hAnsi="Arial"/>
          <w:sz w:val="14"/>
          <w:szCs w:val="14"/>
          <w:color w:val="auto"/>
        </w:rPr>
        <w:t>Wynn Las Vegas, Wynn Resorts Holdings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Other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74" w:lineRule="exact"/>
        <w:rPr>
          <w:rFonts w:ascii="Arial" w:cs="Arial" w:eastAsia="Arial" w:hAnsi="Arial"/>
          <w:sz w:val="27"/>
          <w:szCs w:val="27"/>
          <w:color w:val="auto"/>
          <w:vertAlign w:val="subscript"/>
        </w:rPr>
      </w:pPr>
    </w:p>
    <w:p>
      <w:pPr>
        <w:jc w:val="both"/>
        <w:ind w:left="540" w:right="180" w:hanging="532"/>
        <w:spacing w:after="0" w:line="188" w:lineRule="auto"/>
        <w:tabs>
          <w:tab w:leader="none" w:pos="540" w:val="left"/>
        </w:tabs>
        <w:numPr>
          <w:ilvl w:val="0"/>
          <w:numId w:val="45"/>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20"/>
        <w:spacing w:after="0" w:line="233" w:lineRule="auto"/>
        <w:rPr>
          <w:sz w:val="20"/>
          <w:szCs w:val="20"/>
          <w:color w:val="auto"/>
        </w:rPr>
      </w:pPr>
      <w:r>
        <w:rPr>
          <w:rFonts w:ascii="Arial" w:cs="Arial" w:eastAsia="Arial" w:hAnsi="Arial"/>
          <w:sz w:val="14"/>
          <w:szCs w:val="14"/>
          <w:color w:val="auto"/>
        </w:rPr>
        <w:t>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to Wynn Las Vegas an intercompany note in the amount of the funds received by World Travel to repay the Bank of America loan.</w:t>
      </w:r>
    </w:p>
    <w:p>
      <w:pPr>
        <w:spacing w:after="0" w:line="152" w:lineRule="exact"/>
        <w:rPr>
          <w:sz w:val="20"/>
          <w:szCs w:val="20"/>
          <w:color w:val="auto"/>
        </w:rPr>
      </w:pPr>
    </w:p>
    <w:p>
      <w:pPr>
        <w:ind w:left="540" w:right="4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w:t>
      </w:r>
    </w:p>
    <w:p>
      <w:pPr>
        <w:spacing w:after="0" w:line="70" w:lineRule="exact"/>
        <w:rPr>
          <w:rFonts w:ascii="Arial" w:cs="Arial" w:eastAsia="Arial" w:hAnsi="Arial"/>
          <w:sz w:val="24"/>
          <w:szCs w:val="24"/>
          <w:color w:val="auto"/>
          <w:vertAlign w:val="subscript"/>
        </w:rPr>
      </w:pPr>
    </w:p>
    <w:p>
      <w:pPr>
        <w:ind w:left="540" w:right="26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contributions of a portion of (a) Valvino member net contributions from inception of approximately $586.1 million and (b) the anticipated net proceeds from Wynn Resorts' initial public offering of approximately $363.5 million.</w:t>
      </w:r>
    </w:p>
    <w:p>
      <w:pPr>
        <w:spacing w:after="0" w:line="70" w:lineRule="exact"/>
        <w:rPr>
          <w:rFonts w:ascii="Arial" w:cs="Arial" w:eastAsia="Arial" w:hAnsi="Arial"/>
          <w:sz w:val="24"/>
          <w:szCs w:val="24"/>
          <w:color w:val="auto"/>
          <w:vertAlign w:val="subscript"/>
        </w:rPr>
      </w:pPr>
    </w:p>
    <w:p>
      <w:pPr>
        <w:ind w:left="540" w:right="60" w:hanging="532"/>
        <w:spacing w:after="0" w:line="205" w:lineRule="auto"/>
        <w:tabs>
          <w:tab w:leader="none" w:pos="540" w:val="left"/>
        </w:tabs>
        <w:numPr>
          <w:ilvl w:val="0"/>
          <w:numId w:val="46"/>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 In addition, because of the large percentage of Wynn Resorts' outstanding stock that will be owned directly or indirectly by a small number of individuals, our interest income may also be subject to federal personal holding company taxes during the period before Le Rêve commences operations. Any such taxes that become payable would increase the usage of the revolving credit facility.</w:t>
      </w:r>
    </w:p>
    <w:p>
      <w:pPr>
        <w:spacing w:after="0" w:line="84" w:lineRule="exact"/>
        <w:rPr>
          <w:rFonts w:ascii="Arial" w:cs="Arial" w:eastAsia="Arial" w:hAnsi="Arial"/>
          <w:sz w:val="26"/>
          <w:szCs w:val="26"/>
          <w:color w:val="auto"/>
          <w:vertAlign w:val="subscript"/>
        </w:rPr>
      </w:pPr>
    </w:p>
    <w:p>
      <w:pPr>
        <w:ind w:left="540" w:right="8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right="20" w:hanging="532"/>
        <w:spacing w:after="0" w:line="198" w:lineRule="auto"/>
        <w:tabs>
          <w:tab w:leader="none" w:pos="540" w:val="left"/>
        </w:tabs>
        <w:numPr>
          <w:ilvl w:val="0"/>
          <w:numId w:val="46"/>
        </w:numPr>
        <w:rPr>
          <w:rFonts w:ascii="Arial" w:cs="Arial" w:eastAsia="Arial" w:hAnsi="Arial"/>
          <w:sz w:val="26"/>
          <w:szCs w:val="26"/>
          <w:color w:val="auto"/>
          <w:vertAlign w:val="subscript"/>
        </w:rPr>
      </w:pPr>
      <w:r>
        <w:rPr>
          <w:rFonts w:ascii="Arial" w:cs="Arial" w:eastAsia="Arial" w:hAnsi="Arial"/>
          <w:sz w:val="13"/>
          <w:szCs w:val="13"/>
          <w:color w:val="auto"/>
        </w:rPr>
        <w:t>Represents the guaranteed maximum price of construction of Le Rêve under the construction contract and includes an owner's contingency of approximately $7.6 million. The construction contract contains financial incentives for Marnell Corrao to complete Le Rêve before the deadline set forth in the construction contract, as well as liquidated damages payable to us for certain unexcused delays. See "Construction Contracts for Le Rêve—Construction of the Hotel/Casino—Early or Late Completion." The guaranteed maximum price under the construction contract is subject to adjustment under various circumstances which could increase our costs. See "Risk Factors—Risks Associated with Our Construction."</w:t>
      </w:r>
    </w:p>
    <w:p>
      <w:pPr>
        <w:spacing w:after="0" w:line="85"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estimated insurance costs for builder's risk insurance, fees and reserves related to our insurance program, umbrella and excess liability insurance and design professional liability insurance. We may need to incur additional insurance costs in the future.</w:t>
      </w:r>
    </w:p>
    <w:p>
      <w:pPr>
        <w:spacing w:after="0" w:line="70" w:lineRule="exact"/>
        <w:rPr>
          <w:rFonts w:ascii="Arial" w:cs="Arial" w:eastAsia="Arial" w:hAnsi="Arial"/>
          <w:sz w:val="24"/>
          <w:szCs w:val="24"/>
          <w:color w:val="auto"/>
          <w:vertAlign w:val="subscript"/>
        </w:rPr>
      </w:pPr>
    </w:p>
    <w:p>
      <w:pPr>
        <w:ind w:left="540" w:right="5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6"/>
        </w:numPr>
        <w:rPr>
          <w:rFonts w:ascii="Arial" w:cs="Arial" w:eastAsia="Arial" w:hAnsi="Arial"/>
          <w:sz w:val="23"/>
          <w:szCs w:val="23"/>
          <w:color w:val="auto"/>
          <w:vertAlign w:val="subscript"/>
        </w:rPr>
      </w:pPr>
      <w:r>
        <w:rPr>
          <w:rFonts w:ascii="Arial" w:cs="Arial" w:eastAsia="Arial" w:hAnsi="Arial"/>
          <w:sz w:val="12"/>
          <w:szCs w:val="12"/>
          <w:color w:val="auto"/>
        </w:rPr>
        <w:t>Represents the cost of creating, designing and producing the Franco Dragone water show.</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46"/>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hanging="532"/>
        <w:spacing w:after="0" w:line="188" w:lineRule="auto"/>
        <w:tabs>
          <w:tab w:leader="none" w:pos="540" w:val="left"/>
        </w:tabs>
        <w:numPr>
          <w:ilvl w:val="0"/>
          <w:numId w:val="46"/>
        </w:numPr>
        <w:rPr>
          <w:rFonts w:ascii="Arial" w:cs="Arial" w:eastAsia="Arial" w:hAnsi="Arial"/>
          <w:sz w:val="26"/>
          <w:szCs w:val="26"/>
          <w:color w:val="auto"/>
          <w:vertAlign w:val="subscript"/>
        </w:rPr>
      </w:pPr>
      <w:r>
        <w:rPr>
          <w:rFonts w:ascii="Arial" w:cs="Arial" w:eastAsia="Arial" w:hAnsi="Arial"/>
          <w:sz w:val="13"/>
          <w:szCs w:val="13"/>
          <w:color w:val="auto"/>
        </w:rPr>
        <w:t>Represents (a) a purchase price of $38.2 million for our corporate aircraft, of which approximately $9.7 million was paid in cash at the time of purchase and $28.5 million was represented by a loan from Bank of America, N.A (see footnote (2) above) and (b) approximately $0.5 million in principal repayments on the Bank of America loan anticipated to be made prior to the closing of this offering. Borrowings under the FF&amp;E facility, but not proceeds from this offering, will be used to repay the outstanding balance of this loan.</w:t>
      </w:r>
    </w:p>
    <w:p>
      <w:pPr>
        <w:spacing w:after="0" w:line="85" w:lineRule="exact"/>
        <w:rPr>
          <w:rFonts w:ascii="Arial" w:cs="Arial" w:eastAsia="Arial" w:hAnsi="Arial"/>
          <w:sz w:val="26"/>
          <w:szCs w:val="26"/>
          <w:color w:val="auto"/>
          <w:vertAlign w:val="subscript"/>
        </w:rPr>
      </w:pPr>
    </w:p>
    <w:p>
      <w:pPr>
        <w:ind w:left="540" w:right="40" w:hanging="532"/>
        <w:spacing w:after="0" w:line="188" w:lineRule="auto"/>
        <w:tabs>
          <w:tab w:leader="none" w:pos="540" w:val="left"/>
        </w:tabs>
        <w:numPr>
          <w:ilvl w:val="0"/>
          <w:numId w:val="46"/>
        </w:numPr>
        <w:rPr>
          <w:rFonts w:ascii="Arial" w:cs="Arial" w:eastAsia="Arial" w:hAnsi="Arial"/>
          <w:sz w:val="26"/>
          <w:szCs w:val="26"/>
          <w:color w:val="auto"/>
          <w:vertAlign w:val="subscript"/>
        </w:rPr>
      </w:pPr>
      <w:r>
        <w:rPr>
          <w:rFonts w:ascii="Arial" w:cs="Arial" w:eastAsia="Arial" w:hAnsi="Arial"/>
          <w:sz w:val="13"/>
          <w:szCs w:val="13"/>
          <w:color w:val="auto"/>
        </w:rPr>
        <w:t>Includes interest expense on the second mortgage notes, and expected interest expense and commitment fees on the revolving credit facility, the term loan facility and FF&amp;E facility through the scheduled opening date. Interest on the revolving credit facility, the term loan facility and FF&amp;E facility has been computed assuming a LIBOR rate ranging from 2% to 4%, plus the applicable margin, which is a 4% margin for the revolving credit facility and the FF&amp;E facility and a 4.25% margin for the delay draw term loan facility.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27"/>
          <w:szCs w:val="27"/>
          <w:color w:val="auto"/>
          <w:vertAlign w:val="subscript"/>
        </w:rPr>
      </w:pPr>
      <w:r>
        <w:rPr>
          <w:rFonts w:ascii="Arial" w:cs="Arial" w:eastAsia="Arial" w:hAnsi="Arial"/>
          <w:sz w:val="14"/>
          <w:szCs w:val="14"/>
          <w:color w:val="auto"/>
        </w:rPr>
        <w:t>Represents the operating cash needed to open Le Rêve, including purchasing the initial retail inventory and food and beverage inventory.</w:t>
      </w:r>
    </w:p>
    <w:p>
      <w:pPr>
        <w:spacing w:after="0" w:line="70" w:lineRule="exact"/>
        <w:rPr>
          <w:rFonts w:ascii="Arial" w:cs="Arial" w:eastAsia="Arial" w:hAnsi="Arial"/>
          <w:sz w:val="27"/>
          <w:szCs w:val="27"/>
          <w:color w:val="auto"/>
          <w:vertAlign w:val="subscript"/>
        </w:rPr>
      </w:pPr>
    </w:p>
    <w:p>
      <w:pPr>
        <w:jc w:val="both"/>
        <w:ind w:left="540" w:right="180" w:hanging="532"/>
        <w:spacing w:after="0" w:line="188" w:lineRule="auto"/>
        <w:tabs>
          <w:tab w:leader="none" w:pos="540" w:val="left"/>
        </w:tabs>
        <w:numPr>
          <w:ilvl w:val="0"/>
          <w:numId w:val="47"/>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$50.0 million of the net proceeds of Wynn Resorts' initial public offering to a special purpose entity formed with the intention of being bankruptcy-remote. This special purpose subsidiary will use these funds to provide a $50.0 million completion guarantee in favor of the lenders under the credit facilities and the second mortgage note holders in connection with the construction and opening of Le Rêve.</w:t>
      </w:r>
    </w:p>
    <w:p>
      <w:pPr>
        <w:spacing w:after="0" w:line="85"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$30.0 million of the net proceeds of Wynn Resorts' initial public offering to Wynn Las Vegas, which will be placed in a liquidity reserve account to be used in case there are not sufficient funds to complete Le Rêve. The liquidity reserve account will be pledged to the lenders under the credit facilities and the second mortgage note holders.</w:t>
      </w:r>
    </w:p>
    <w:p>
      <w:pPr>
        <w:ind w:left="540" w:hanging="532"/>
        <w:spacing w:after="0" w:line="187" w:lineRule="auto"/>
        <w:tabs>
          <w:tab w:leader="none" w:pos="540" w:val="left"/>
        </w:tabs>
        <w:numPr>
          <w:ilvl w:val="0"/>
          <w:numId w:val="47"/>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and (b) the revolving credit facility, the term loan facility and the FF&amp;E facility.</w:t>
      </w:r>
    </w:p>
    <w:p>
      <w:pPr>
        <w:sectPr>
          <w:pgSz w:w="11900" w:h="16838" w:orient="portrait"/>
          <w:cols w:equalWidth="0" w:num="1">
            <w:col w:w="11420"/>
          </w:cols>
          <w:pgMar w:left="240" w:top="131" w:right="239" w:bottom="211"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1"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capitalization of Wynn Las Vegas and the guarantors of the second mortgage notes as of June 30, 2002:</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$350 million in aggregate principal amount of the second mortgage notes in this offering; and</w:t>
      </w:r>
    </w:p>
    <w:p>
      <w:pPr>
        <w:spacing w:after="0" w:line="199"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the second mortgage note offering, the FF&amp;E facility and contributions from Wynn Resorts expected to be necessary for the construction of Le Rêve has occurred. See "Use of Proceeds." We have assumed that approximately $701.4 million of the $750 million revolving credit facility will be drawn for the construction of Le Rêve.</w:t>
      </w:r>
    </w:p>
    <w:p>
      <w:pPr>
        <w:spacing w:after="0" w:line="197"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 of June 30, 2002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5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Second Mortgage Note</w:t>
            </w:r>
          </w:p>
        </w:tc>
        <w:tc>
          <w:tcPr>
            <w:tcW w:w="1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Offerings</w:t>
            </w:r>
          </w:p>
        </w:tc>
        <w:tc>
          <w:tcPr>
            <w:tcW w:w="10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Revolving credit facility(1)</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Delay draw term loan facility(1)</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FF&amp;E facility(2)</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mortgage notes(3)</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Other long-term debt(4)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Contributed capital(5)</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Members' Equity (Excluding Non-Guarantors)(6)</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0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553.3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1,266.8</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2,368.2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-3230245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-3230245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-2604135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-2604135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-2604135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-2604135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-2604135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-2604135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-1540510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-1540510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-1540510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-1540510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-1540510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-1540510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-786130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-786130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-786130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-786130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-786130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-786130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-477520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-477520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-477520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-477520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-477520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196" w:lineRule="auto"/>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Wynn Las Vegas, Wynn Resorts Holdings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Other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40" w:hanging="532"/>
        <w:spacing w:after="0" w:line="209" w:lineRule="auto"/>
        <w:tabs>
          <w:tab w:leader="none" w:pos="540" w:val="left"/>
        </w:tabs>
        <w:numPr>
          <w:ilvl w:val="0"/>
          <w:numId w:val="50"/>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give Wynn Las Vegas an intercompany note in the amount of the funds received by it to repay the Bank of America loan.</w:t>
      </w:r>
    </w:p>
    <w:p>
      <w:pPr>
        <w:spacing w:after="0" w:line="74" w:lineRule="exact"/>
        <w:rPr>
          <w:rFonts w:ascii="Arial" w:cs="Arial" w:eastAsia="Arial" w:hAnsi="Arial"/>
          <w:sz w:val="26"/>
          <w:szCs w:val="26"/>
          <w:color w:val="auto"/>
          <w:vertAlign w:val="subscript"/>
        </w:rPr>
      </w:pPr>
    </w:p>
    <w:p>
      <w:pPr>
        <w:ind w:left="540" w:hanging="532"/>
        <w:spacing w:after="0" w:line="186"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w:t>
      </w:r>
    </w:p>
    <w:p>
      <w:pPr>
        <w:spacing w:after="0" w:line="70" w:lineRule="exact"/>
        <w:rPr>
          <w:rFonts w:ascii="Arial" w:cs="Arial" w:eastAsia="Arial" w:hAnsi="Arial"/>
          <w:sz w:val="24"/>
          <w:szCs w:val="24"/>
          <w:color w:val="auto"/>
          <w:vertAlign w:val="subscript"/>
        </w:rPr>
      </w:pPr>
    </w:p>
    <w:p>
      <w:pPr>
        <w:ind w:left="540" w:right="20" w:hanging="532"/>
        <w:spacing w:after="0" w:line="188" w:lineRule="auto"/>
        <w:tabs>
          <w:tab w:leader="none" w:pos="540" w:val="left"/>
        </w:tabs>
        <w:numPr>
          <w:ilvl w:val="0"/>
          <w:numId w:val="50"/>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from World Travel, LLC to Bank of America, N.A., with respect to the aircraft. See footnote (2).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1" w:lineRule="exact"/>
        <w:rPr>
          <w:rFonts w:ascii="Arial" w:cs="Arial" w:eastAsia="Arial" w:hAnsi="Arial"/>
          <w:sz w:val="26"/>
          <w:szCs w:val="26"/>
          <w:color w:val="auto"/>
          <w:vertAlign w:val="subscript"/>
        </w:rPr>
      </w:pPr>
    </w:p>
    <w:p>
      <w:pPr>
        <w:ind w:left="540" w:hanging="532"/>
        <w:spacing w:after="0" w:line="223"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Contributed capital on a pro forma basis includes the expected contributions by Wynn Resorts to Wynn Las Vegas of $363.5 million in net proceeds from Wynn Resorts' initial public offering.</w:t>
      </w:r>
    </w:p>
    <w:p>
      <w:pPr>
        <w:spacing w:after="0" w:line="70" w:lineRule="exact"/>
        <w:rPr>
          <w:rFonts w:ascii="Arial" w:cs="Arial" w:eastAsia="Arial" w:hAnsi="Arial"/>
          <w:sz w:val="24"/>
          <w:szCs w:val="24"/>
          <w:color w:val="auto"/>
          <w:vertAlign w:val="subscript"/>
        </w:rPr>
      </w:pPr>
    </w:p>
    <w:p>
      <w:pPr>
        <w:ind w:left="540" w:right="380" w:hanging="532"/>
        <w:spacing w:after="0" w:line="186"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Excludes members' equity of approximately $20.8 million of the non-guarantor subsidiaries Valvino had as of June 30, 2002, including Wynn Macau. For more information on the non-guarantor entities, see note 11 to the financial statements included in this prospectus.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 OF WYNN RESORTS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Resorts Holdings. Wynn Group Nevada, LLC is the sole member of Wynn Resorts Holdings. Valvino is the sole member of Wynn Group Nevada.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ectPr>
          <w:pgSz w:w="11900" w:h="16838" w:orient="portrait"/>
          <w:cols w:equalWidth="0" w:num="1">
            <w:col w:w="11380"/>
          </w:cols>
          <w:pgMar w:left="240" w:top="341" w:right="279" w:bottom="0" w:gutter="0" w:footer="0" w:header="0"/>
        </w:sectPr>
      </w:pPr>
    </w:p>
    <w:bookmarkStart w:id="35" w:name="page36"/>
    <w:bookmarkEnd w:id="35"/>
    <w:p>
      <w:pPr>
        <w:ind w:right="16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From 1973 until 2000, Mr. Wynn served as the Chairman of the Board, President and Chief Executive Officer of Mirage Resorts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predecessor. Mr. Wynn has more than thirty years of experience in the gaming, hotel and tourism industries as a designer, developer and operator of hotel casino resorts.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right="10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August 16, 2002, Aruze Corp. had a market capitalization of approximately ¥221 billion, or approximately $1.9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8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this offering, the current subsidiaries that will not guarantee the second mortgage notes, including Wynn Macau, will be transferred to Wynn Resorts and thus will no longer be subsidiaries of Valvino. Therefore, following this offering the assets and operations of the restricted group will no longer include those of the non-guarantor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Six Months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2001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41"/>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7"/>
              </w:rPr>
              <w:t>(in thousands, except per share amounts)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(19,233)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(15,627)</w:t>
            </w: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(16,899)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(14,693)</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(82.24)</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-1186815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-1186815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-1186815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-1186815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-1186815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-1186815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-1186815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-1186815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-1186815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-1186815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31" w:right="13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w w:val="88"/>
              </w:rPr>
              <w:t>December 31, 2000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2001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3"/>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60" w:type="dxa"/>
            <w:vAlign w:val="bottom"/>
            <w:gridSpan w:val="5"/>
          </w:tcPr>
          <w:p>
            <w:pPr>
              <w:ind w:left="8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388,467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390,788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383,417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386,518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-879475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-879475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-879475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-879475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-879475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-879475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7"/>
              <w:spacing w:after="0"/>
              <w:rPr>
                <w:sz w:val="20"/>
                <w:szCs w:val="20"/>
                <w:color w:val="auto"/>
              </w:rPr>
            </w:pPr>
            <w:r>
              <w:rPr>
                <w:rFonts w:ascii="Arial" w:cs="Arial" w:eastAsia="Arial" w:hAnsi="Arial"/>
                <w:sz w:val="14"/>
                <w:szCs w:val="14"/>
                <w:b w:val="1"/>
                <w:bCs w:val="1"/>
                <w:color w:val="auto"/>
                <w:w w:val="89"/>
              </w:rPr>
              <w:t>2000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87"/>
              <w:spacing w:after="0"/>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Deficiency of Earning to Cover Fixed Charges: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Earnings Deficiency</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(10,468)</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(33,770)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(28,699)</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-443230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-443230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-443230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-443230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-443230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-443230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5440" w:type="dxa"/>
            <w:vAlign w:val="bottom"/>
          </w:tcPr>
          <w:p>
            <w:pPr>
              <w:jc w:val="right"/>
              <w:ind w:right="2662"/>
              <w:spacing w:after="0"/>
              <w:rPr>
                <w:sz w:val="20"/>
                <w:szCs w:val="20"/>
                <w:color w:val="auto"/>
              </w:rPr>
            </w:pPr>
            <w:r>
              <w:rPr>
                <w:rFonts w:ascii="Arial" w:cs="Arial" w:eastAsia="Arial" w:hAnsi="Arial"/>
                <w:sz w:val="14"/>
                <w:szCs w:val="14"/>
                <w:color w:val="auto"/>
                <w:w w:val="94"/>
              </w:rPr>
              <w:t>Includes the current portion of long-term debt.</w:t>
            </w: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3"/>
        </w:trPr>
        <w:tc>
          <w:tcPr>
            <w:tcW w:w="360" w:type="dxa"/>
            <w:vAlign w:val="bottom"/>
          </w:tcPr>
          <w:p>
            <w:pPr>
              <w:spacing w:after="0"/>
              <w:rPr>
                <w:sz w:val="24"/>
                <w:szCs w:val="24"/>
                <w:color w:val="auto"/>
              </w:rPr>
            </w:pPr>
          </w:p>
        </w:tc>
        <w:tc>
          <w:tcPr>
            <w:tcW w:w="5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historical financial statements and related notes included elsewhere in this prospectus. Some of the information contained in this discussion and analysis or set forth elsewhere in this prospectus, including information with respect to our plans and strategies for our business, includes forward-looking statements that involve risk and uncertainties. You should review the "Risk Factors" set forth elsewhere in this prospectus for a discussion of important factors which could cause actual results to differ materially from the results described in or implied by the forward-looking statements contained herein. See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Valvino was organized in April 2000. Wynn Resorts was formed in June 2002, and before the consummation of this offering and the offering of common stock by Wynn Resorts, Mr. Wynn, Aruze USA, Baron Asset Fund and the Kenneth R. Wynn Family Trust will contribute their Valvino membership interests to Wynn Resorts in exchange for all of the issued and outstanding shares of Wynn Resorts. Since Valvino's formation, our activities have been limited principally to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at a premier location on the Las Vegas Strip in Las Vegas, Nevada. The site is the former location of the Desert Inn Resort &amp; Casino. We expect Le Rêve to commence operations in March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3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had no significant operations to date. In June 2000, we acquired the Desert Inn Resort &amp; Casino assets from Starwood Hotels &amp; Resorts Worldwide, Inc. We ceased operating the Desert Inn Resort &amp; Casino after approximately ten weeks. We have demolished some of the buildings constituting the former Desert Inn Resort &amp; Casino hotel in anticipation of the construction of Le Rêve. The remaining structures have been and will continue to be utilized as offices at least through the completion of Le Rêve. Since we ceased operating the Desert Inn Resort &amp; Casino, our efforts have been devoted principally to the development activities described above with respect to Le Rêve and Wynn Macau's opportunity in Macau. In addition, we continue to operate an art gallery displaying works from The Wynn Collection, which consists of artwork from the personal art collection of Stephen and Elaine Wynn, and, until summer 2002, the golf course located on the site of the former Desert Inn Resort &amp; Casino. Our historical operating results will not be indicative of future operating results.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As a result of increased development activities, Valvino recognized a net loss accumulated during the development stage of approximately $16.9 million for the year ended December 31, 2001, an approximate increase of 85% from the loss incurred during the period from inception (April 21, 2000) to December 2000 of approximately $9.2 million.</w:t>
      </w:r>
    </w:p>
    <w:p>
      <w:pPr>
        <w:sectPr>
          <w:pgSz w:w="11900" w:h="16838" w:orient="portrait"/>
          <w:cols w:equalWidth="0" w:num="1">
            <w:col w:w="11400"/>
          </w:cols>
          <w:pgMar w:left="240" w:top="127" w:right="259" w:bottom="0" w:gutter="0" w:footer="0" w:header="0"/>
        </w:sectPr>
      </w:pPr>
    </w:p>
    <w:bookmarkStart w:id="37" w:name="page38"/>
    <w:bookmarkEnd w:id="37"/>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$920,000 from the period from inception to December 31, 2000 primarily as a result of Kevyn, LLC, which Valvino acquired in April 2001, leasing its aircraft to Las Vegas 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$9.6 million as compared to the period from inception to December 31, 2000 primarily as a result of increased pre-opening costs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Pre-opening costs for the year ended December 31, 2001 increased approximately $6.5 million, as compared to the period from inception to December 31,</w:t>
      </w:r>
    </w:p>
    <w:p>
      <w:pPr>
        <w:spacing w:after="0" w:line="38"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auto"/>
        </w:rPr>
        <w:t>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incidental operations of approximately $1.2 million as compared to no recognized net loss for the year ended December 31, 2001. The net loss in 2000 was attributable to the incidental casino and hotel operations incurred prior to its closing in August 2000.</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Continued development activities resulted in a net loss during the development stage for the six months ended June 30, 2002. The net loss for the six months ended June 30, 2002 was approximately $14.7 million as compared to an approximate $7.9 million net loss accumulated during the development stage for the six months ended June 2001.</w:t>
      </w:r>
    </w:p>
    <w:p>
      <w:pPr>
        <w:spacing w:after="0" w:line="194"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 revenues was partially offset by revenues from the art gallery and the retail shop, which were opened in November 2001.</w:t>
      </w:r>
    </w:p>
    <w:p>
      <w:pPr>
        <w:spacing w:after="0" w:line="142"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is directly attributable to an increase in pre-opening activities as compared to the same period in the prior year. Management expects pre-opening costs to continue to increase as development of Le Rêve progresses. During the six months ended June 30, 2002, Valvino acquired an affiliate, Las Vegas Jet, and forgave amounts receivable from Las Vegas Jet, which resulted in the recognition of a loss on the acquisition.</w:t>
      </w:r>
    </w:p>
    <w:p>
      <w:pPr>
        <w:spacing w:after="0" w:line="15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results of operations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confidence in the economy, could reduce customer demand for the products and services we will offer, thus imposing practical limits on pricing and harming our operations.</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31" w:right="239" w:bottom="211" w:gutter="0" w:footer="0" w:header="0"/>
        </w:sect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Material Transactions Affecting Liquidity and Capital Resources</w:t>
      </w:r>
    </w:p>
    <w:p>
      <w:pPr>
        <w:sectPr>
          <w:pgSz w:w="11900" w:h="16838" w:orient="portrait"/>
          <w:cols w:equalWidth="0" w:num="1">
            <w:col w:w="11420"/>
          </w:cols>
          <w:pgMar w:left="240" w:top="131" w:right="239" w:bottom="211" w:gutter="0" w:footer="0" w:header="0"/>
          <w:type w:val="continuous"/>
        </w:sectPr>
      </w:pPr>
    </w:p>
    <w:bookmarkStart w:id="38" w:name="page39"/>
    <w:bookmarkEnd w:id="38"/>
    <w:p>
      <w:pPr>
        <w:jc w:val="both"/>
        <w:ind w:right="70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Mr. 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all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On July 11,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10, 2000, the Deutsche Bank loan was repaid in full and $70 million of Mr. Wynn's loan was repaid out of the proceeds of this capital contribution.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3.70%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91"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interest in Wynn Macau, which in June 2002 entered into a concession agreement with the government of Macau permitting the construction and operation of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3.7% of the membership interests in Valvino are held, and (2) the Baron Growth Fund Series, on whose behalf approximately 1.4% of the membership interests in Valvino are held. Neither Mr. Wynn nor Aruze USA received additional shares in connection with the April 2002 capital contributions.</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39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Equity Contributions</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ind w:right="499"/>
              <w:spacing w:after="0"/>
              <w:rPr>
                <w:sz w:val="20"/>
                <w:szCs w:val="20"/>
                <w:color w:val="auto"/>
              </w:rPr>
            </w:pPr>
            <w:r>
              <w:rPr>
                <w:rFonts w:ascii="Arial" w:cs="Arial" w:eastAsia="Arial" w:hAnsi="Arial"/>
                <w:sz w:val="14"/>
                <w:szCs w:val="14"/>
                <w:b w:val="1"/>
                <w:bCs w:val="1"/>
                <w:color w:val="auto"/>
              </w:rPr>
              <w:t>Net Value of Non-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1880" w:type="dxa"/>
            <w:vAlign w:val="bottom"/>
          </w:tcPr>
          <w:p>
            <w:pPr>
              <w:jc w:val="right"/>
              <w:ind w:right="459"/>
              <w:spacing w:after="0"/>
              <w:rPr>
                <w:sz w:val="20"/>
                <w:szCs w:val="20"/>
                <w:color w:val="auto"/>
              </w:rPr>
            </w:pPr>
            <w:r>
              <w:rPr>
                <w:rFonts w:ascii="Arial" w:cs="Arial" w:eastAsia="Arial" w:hAnsi="Arial"/>
                <w:sz w:val="14"/>
                <w:szCs w:val="14"/>
                <w:b w:val="1"/>
                <w:bCs w:val="1"/>
                <w:color w:val="auto"/>
              </w:rPr>
              <w:t>Cash Contributions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2"/>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2"/>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40" w:hanging="532"/>
        <w:spacing w:after="0" w:line="188" w:lineRule="auto"/>
        <w:tabs>
          <w:tab w:leader="none" w:pos="540" w:val="left"/>
        </w:tabs>
        <w:numPr>
          <w:ilvl w:val="0"/>
          <w:numId w:val="52"/>
        </w:numPr>
        <w:rPr>
          <w:rFonts w:ascii="Arial" w:cs="Arial" w:eastAsia="Arial" w:hAnsi="Arial"/>
          <w:sz w:val="26"/>
          <w:szCs w:val="26"/>
          <w:color w:val="auto"/>
          <w:vertAlign w:val="subscript"/>
        </w:rPr>
      </w:pPr>
      <w:r>
        <w:rPr>
          <w:rFonts w:ascii="Arial" w:cs="Arial" w:eastAsia="Arial" w:hAnsi="Arial"/>
          <w:sz w:val="13"/>
          <w:szCs w:val="13"/>
          <w:color w:val="auto"/>
        </w:rPr>
        <w:t>As described above, Mr. Wynn's interest in Wynn Macau was valued at approximately $56,000,000 (less reimbursement for certain costs) by the parties in the negotiation of Mr. Wynn's contribution of such interest to Valvino in April 2002, prior to Wynn Macau's entry into a concession agreement with the government of Macau permitting the construction and operation of one or more casinos in Macau.</w:t>
      </w:r>
    </w:p>
    <w:p>
      <w:pPr>
        <w:sectPr>
          <w:pgSz w:w="11900" w:h="16838" w:orient="portrait"/>
          <w:cols w:equalWidth="0" w:num="1">
            <w:col w:w="11400"/>
          </w:cols>
          <w:pgMar w:left="240" w:top="131" w:right="259" w:bottom="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31" w:right="259" w:bottom="0" w:gutter="0" w:footer="0" w:header="0"/>
          <w:type w:val="continuous"/>
        </w:sectPr>
      </w:pPr>
    </w:p>
    <w:bookmarkStart w:id="39" w:name="page40"/>
    <w:bookmarkEnd w:id="39"/>
    <w:p>
      <w:pPr>
        <w:ind w:right="20" w:firstLine="34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At June 30, 2002, Valvino had approximately $187.9 million ($160.9 million excluding the cash held by non-guarantor entities)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$2.35 billion (including the cost of the land, capitalized interest, pre-opening expenses and all financing fees) had been expended or incurred to fund the development of Le Rêve. The remaining approximately $2 billion of the estimated development costs for Le Rêve is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of approximately $701.4 million of the available $750 million under our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of $250 million under our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of $178.5 million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anticipated interest income of approximately $30.5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gross proceeds from this offering of second mortgage notes of approximately $350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proceeds from Wynn Resorts' expected initial public offering of approximately $363.5 million;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$77 million of our cash on hand.</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since Wynn Resorts' Macau-related subsidiaries are not guarantors on the second mortgage notes or any other Le Rêve-related indebtedness. All time periods in these tables are measured from the closing of this offering and are based upon our best estimate at this time of our expected long-term indebtedness and commercial commitments.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8"/>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600" w:type="dxa"/>
            <w:vAlign w:val="bottom"/>
            <w:gridSpan w:val="6"/>
          </w:tcPr>
          <w:p>
            <w:pPr>
              <w:jc w:val="center"/>
              <w:ind w:right="372"/>
              <w:spacing w:after="0"/>
              <w:rPr>
                <w:sz w:val="20"/>
                <w:szCs w:val="20"/>
                <w:color w:val="auto"/>
              </w:rPr>
            </w:pPr>
            <w:r>
              <w:rPr>
                <w:rFonts w:ascii="Arial" w:cs="Arial" w:eastAsia="Arial" w:hAnsi="Arial"/>
                <w:sz w:val="14"/>
                <w:szCs w:val="14"/>
                <w:b w:val="1"/>
                <w:bCs w:val="1"/>
                <w:color w:val="auto"/>
                <w:w w:val="86"/>
              </w:rPr>
              <w:t>Less than 1 Year</w:t>
            </w:r>
          </w:p>
        </w:tc>
        <w:tc>
          <w:tcPr>
            <w:tcW w:w="66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w w:val="80"/>
              </w:rPr>
              <w:t>1-3 Years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3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(1)</w:t>
            </w:r>
          </w:p>
        </w:tc>
        <w:tc>
          <w:tcPr>
            <w:tcW w:w="1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87"/>
              </w:rPr>
              <w:t>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2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4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tcPr>
          <w:p>
            <w:pPr>
              <w:jc w:val="center"/>
              <w:ind w:left="154"/>
              <w:spacing w:after="0"/>
              <w:rPr>
                <w:sz w:val="20"/>
                <w:szCs w:val="20"/>
                <w:color w:val="auto"/>
              </w:rPr>
            </w:pPr>
            <w:r>
              <w:rPr>
                <w:rFonts w:ascii="Arial" w:cs="Arial" w:eastAsia="Arial" w:hAnsi="Arial"/>
                <w:sz w:val="18"/>
                <w:szCs w:val="18"/>
                <w:color w:val="auto"/>
                <w:w w:val="87"/>
              </w:rPr>
              <w:t>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20" w:type="dxa"/>
            <w:vAlign w:val="bottom"/>
            <w:gridSpan w:val="12"/>
          </w:tcPr>
          <w:p>
            <w:pPr>
              <w:jc w:val="center"/>
              <w:ind w:right="36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272"/>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Over</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0"/>
              </w:rPr>
              <w:t>Committed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1-3 Years</w:t>
            </w: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4-5 Years</w:t>
            </w:r>
          </w:p>
        </w:tc>
        <w:tc>
          <w:tcPr>
            <w:tcW w:w="180" w:type="dxa"/>
            <w:vAlign w:val="bottom"/>
          </w:tcPr>
          <w:p>
            <w:pPr>
              <w:spacing w:after="0"/>
              <w:rPr>
                <w:sz w:val="15"/>
                <w:szCs w:val="15"/>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660" w:type="dxa"/>
            <w:vAlign w:val="bottom"/>
            <w:tcBorders>
              <w:right w:val="single" w:sz="8" w:color="CCEEFF"/>
            </w:tcBorders>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100" w:type="dxa"/>
            <w:vAlign w:val="bottom"/>
            <w:gridSpan w:val="4"/>
          </w:tcPr>
          <w:p>
            <w:pPr>
              <w:jc w:val="right"/>
              <w:ind w:right="392"/>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3"/>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660" w:type="dxa"/>
            <w:vAlign w:val="bottom"/>
            <w:tcBorders>
              <w:right w:val="single" w:sz="8" w:color="CCEEFF"/>
            </w:tcBorders>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-3582035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-3582035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-3238500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-3238500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-3238500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-3238500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-3238500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-3238500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-3238500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-3238500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-3238500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-3238500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-3238500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-2149475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-2149475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-2149475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-2149475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-2149475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-2149475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-2149475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-2149475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-2149475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-2149475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-1591945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-1155065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-1155065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-1155065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-1155065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-1155065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-1155065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20" w:hanging="532"/>
        <w:spacing w:after="0" w:line="192" w:lineRule="auto"/>
        <w:tabs>
          <w:tab w:leader="none" w:pos="540" w:val="left"/>
        </w:tabs>
        <w:numPr>
          <w:ilvl w:val="0"/>
          <w:numId w:val="54"/>
        </w:numPr>
        <w:rPr>
          <w:rFonts w:ascii="Arial" w:cs="Arial" w:eastAsia="Arial" w:hAnsi="Arial"/>
          <w:sz w:val="27"/>
          <w:szCs w:val="27"/>
          <w:color w:val="auto"/>
          <w:vertAlign w:val="subscript"/>
        </w:rPr>
      </w:pPr>
      <w:r>
        <w:rPr>
          <w:rFonts w:ascii="Arial" w:cs="Arial" w:eastAsia="Arial" w:hAnsi="Arial"/>
          <w:sz w:val="14"/>
          <w:szCs w:val="14"/>
          <w:color w:val="auto"/>
        </w:rPr>
        <w:t>We anticipate that we will draw down approximately $701.4 million under the revolving credit facility to fund the design, construction, development, equipping and opening of Le Rêve, assuming that Le Rêve is completed on schedule.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3"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54"/>
        </w:numPr>
        <w:rPr>
          <w:rFonts w:ascii="Arial" w:cs="Arial" w:eastAsia="Arial" w:hAnsi="Arial"/>
          <w:sz w:val="27"/>
          <w:szCs w:val="27"/>
          <w:color w:val="auto"/>
          <w:vertAlign w:val="subscript"/>
        </w:rPr>
      </w:pPr>
      <w:r>
        <w:rPr>
          <w:rFonts w:ascii="Arial" w:cs="Arial" w:eastAsia="Arial" w:hAnsi="Arial"/>
          <w:sz w:val="14"/>
          <w:szCs w:val="14"/>
          <w:color w:val="auto"/>
        </w:rPr>
        <w:t>Term loans under this facility will be repayable in quarterly installments in amounts to be determined from the opening of Le Rêve until the seventh anniversary of the closing.</w:t>
      </w:r>
    </w:p>
    <w:p>
      <w:pPr>
        <w:spacing w:after="0" w:line="71" w:lineRule="exact"/>
        <w:rPr>
          <w:rFonts w:ascii="Arial" w:cs="Arial" w:eastAsia="Arial" w:hAnsi="Arial"/>
          <w:sz w:val="27"/>
          <w:szCs w:val="27"/>
          <w:color w:val="auto"/>
          <w:vertAlign w:val="subscript"/>
        </w:rPr>
      </w:pPr>
    </w:p>
    <w:p>
      <w:pPr>
        <w:ind w:left="540" w:right="80" w:hanging="532"/>
        <w:spacing w:after="0" w:line="209" w:lineRule="auto"/>
        <w:tabs>
          <w:tab w:leader="none" w:pos="540" w:val="left"/>
        </w:tabs>
        <w:numPr>
          <w:ilvl w:val="0"/>
          <w:numId w:val="54"/>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 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give Wynn Las Vegas an intercompany note in the amount of the funds received by it to repay the Bank of America loan.</w:t>
      </w:r>
    </w:p>
    <w:p>
      <w:pPr>
        <w:spacing w:after="0" w:line="88"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54"/>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4"/>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54"/>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ectPr>
          <w:pgSz w:w="11900" w:h="16838" w:orient="portrait"/>
          <w:cols w:equalWidth="0" w:num="1">
            <w:col w:w="11420"/>
          </w:cols>
          <w:pgMar w:left="240" w:top="374" w:right="239" w:bottom="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74" w:right="239" w:bottom="0" w:gutter="0" w:footer="0" w:header="0"/>
          <w:type w:val="continuous"/>
        </w:sectPr>
      </w:pPr>
    </w:p>
    <w:bookmarkStart w:id="40" w:name="page41"/>
    <w:bookmarkEnd w:id="40"/>
    <w:p>
      <w:pPr>
        <w:ind w:left="5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will mature on the sixth anniversary of the closing of the credit facilities. Borrowings under the delay draw term loan facility will be available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anniversary of the closing of the credit facilities and will be repayable in quarterly installments in amounts to be determined from the opening of 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Rêve until the seventh anniversary of the closing of the credit facilities. The credit facilities are expected to close concurrently with the closing of this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amounts outstanding under the credit facilities will bear interest, at our option (subject to certain limitations), at either (1) a base rate equal to the greater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agent's prime lending rate and 0.5% in excess of the federal funds rate or (2) the Eurodollar rate, as determined by the administrative agent,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cases plus certain margins. For each year after Le Rêve commences operations, we will be required to prepay borrowings under the credit facilities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our excess cash flow (as it will be defined in the credit facilities), initially 75%, reducing to 50% and then to 0% as we meet certain leverage ratios.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availability of financing under the credit facilities is subject to certain conditions, including the negotiation and execution of definitive agreements,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progress of the construction and other customary funding conditions for facilities of this kind.</w:t>
      </w:r>
    </w:p>
    <w:p>
      <w:pPr>
        <w:spacing w:after="0" w:line="219"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Wynn Las Vegas has entered into an engagement letter with Banc of America Leasing &amp; Capital LLC, Bank of America, N.A.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Obtaining the FF&amp;E facility will be a condition to the consummation of this offering. For more information, see "Use of Proceeds," "Certain Relationships and Related Party Transactions—Aircraft Arrangements" and "Description of Certain Indebtedness."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Las Vegas and Wynn Capital, each of which is an indirect subsidiary of Valvino, are jointly offering $350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and its domestic and foreign subsidiaries related to the Macau opportunity will not be guarantors and will not be subject to the covenants in the second mortgage notes or the credit facilities. However, Wynn Resorts itself will become a guarantor, but will not be bound by the covenants, under the second mortgage notes or the credit facilities, if Wynn Resorts incurs, or becomes a guarantor on, other indebtedness, subject to certain limited exceptions. 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representatives for the lenders under our credit facilities and the trustee for the second mortgage notes may release the liens on the approximately 137-acre golf course parcel and related water rights. The credit facility and indenture will provide that the liens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specified percentage of the lenders, may release the liens on the 20-acre parcel if we meet certain earnings before interest, taxes, depreciation and amortization targets for two consecutive calendar quarters after the commencement of operations at Le Rêve. Upon such</w:t>
      </w:r>
    </w:p>
    <w:p>
      <w:pPr>
        <w:sectPr>
          <w:pgSz w:w="11900" w:h="16838" w:orient="portrait"/>
          <w:cols w:equalWidth="0" w:num="1">
            <w:col w:w="11420"/>
          </w:cols>
          <w:pgMar w:left="240" w:top="374" w:right="239" w:bottom="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release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but not all, of our assets."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by Wynn Resorts before accessing the proceeds from the offering of the second mortgage notes. The disbursement agreement also requires us to use all of the proceeds from this offering of second mortgage notes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16-19 months after the closing of this offering and after applying all of the proceeds of this offering towards the development and construction of Le Rêve.</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or the FF&amp;E facility;</w:t>
      </w:r>
    </w:p>
    <w:p>
      <w:pPr>
        <w:spacing w:after="0" w:line="252"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construction of Le Rêve must be "in balance," meaning that the undisbursed portions of the credit facilities and the FF&amp;E facility, together with certain other funds available to us, must equal or exceed the remaining costs to complete Le Rêve's construction plus a required contingency;</w:t>
      </w:r>
    </w:p>
    <w:p>
      <w:pPr>
        <w:spacing w:after="0" w:line="152"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certain limited permitted extensions due to force majeure events;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taken together;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shall have been entered into and shall be in full force and effect to ensure that a gaming license for the Le Rêve project will be obtainable in the event that one of our major stockholders is unable to qualify for such license;</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must have obtained, if available on commercially reasonable terms, taking into account the state of the insurance market at such time and the then current practices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comparable projects, terrorism insurance in size and substance satisfactory to the lenders under the credit facilities; and</w:t>
      </w:r>
    </w:p>
    <w:p>
      <w:pPr>
        <w:spacing w:after="0" w:line="239" w:lineRule="exact"/>
        <w:rPr>
          <w:sz w:val="20"/>
          <w:szCs w:val="20"/>
          <w:color w:val="auto"/>
        </w:rPr>
      </w:pPr>
    </w:p>
    <w:p>
      <w:pPr>
        <w:ind w:left="1080" w:right="44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Factors—Risks Associated with Our Construction of Le Rêve—Development costs of Le Rêve are estimates only and actual costs may be higher than expected." The disbursement agreement will contain conditions precedent to our entering into scope change orders that will increase the anticipated costs of the project. These conditions will require us to fund equity into an account subject to a security interest in favor of the lenders under the credit facilities and the holders of the second mortgage notes in an amount equal to the anticipated incremental cost of the change orders. In addition, if we do not complete construction of Le Rêve by August 31, 2005, subject to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Initial Public Offering of Wynn Resorts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Concurrent with this offering, we expect that Wynn Resorts will offer shares of its common stock in an initial public offering with expected gross proceeds of approximately $395 million.</w:t>
      </w:r>
    </w:p>
    <w:p>
      <w:pPr>
        <w:sectPr>
          <w:pgSz w:w="11900" w:h="16838" w:orient="portrait"/>
          <w:cols w:equalWidth="0" w:num="1">
            <w:col w:w="11420"/>
          </w:cols>
          <w:pgMar w:left="240" w:top="131" w:right="239" w:bottom="0" w:gutter="0" w:footer="0" w:header="0"/>
        </w:sectPr>
      </w:pPr>
    </w:p>
    <w:bookmarkStart w:id="42" w:name="page43"/>
    <w:bookmarkEnd w:id="42"/>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Following the completion of Le Rêve, we expect to fund our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and, if Wynn Resorts incurs debt to do this, it may become a guarantor under the second mortgage notes and the credit facilities, subject to certain limited exceptions. Similarly, if Wynn Resorts pledges assets to secure guarantees of other specified indebtedness prior to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prescribed leverage ratio and debt rating tests, then the credit facilities and second mortgage notes may be secured by liens on Wynn Resorts' assets. We cannot assure you that we will be able to refinance any of our indebtedness, including the credit facilities, the FF&amp;E facility or the second mortgage notes on acceptable terms or at all. See "Risk Factors—Risks Related to Our Substantial Indebtedness—After Le Rêve opens, we may not generate sufficient cash flow to meet our substantial debt service obligations."</w:t>
      </w:r>
    </w:p>
    <w:p>
      <w:pPr>
        <w:spacing w:after="0" w:line="197"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second mortgage note holders to secure completion in full of the construction and opening of Le Rêve, including all furniture, fixtures and equipment, the parking structure, the golf course and the availability of initial working capital. Wynn Resorts will contribute $50 million of the net proceeds of its equity offering to that subsidiary to support its obligations under the completion guarantee. These funds will be deposited into a collateral account to be held in cash or short-term highly-rated securities, and pledged to the lenders under the credit facilities and second mortgage note holders to secure the completion capital commitment. These funds will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Except for any application of these funds to the costs of the project in accordance with the disbursement agreement, these funds will not be available for any other purpose until Le Rêve is completed and opens, at which time any amounts remaining in this account will be released to Wynn Resorts.</w:t>
      </w:r>
    </w:p>
    <w:p>
      <w:pPr>
        <w:spacing w:after="0" w:line="18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Wynn Resorts will contribute $30 million of the net proceeds of its common stock offering to Wynn Las Vegas to be held in a separate liquidity reserve account and pledged to the lenders under the credit facilities and the holders of the second mortgage notes to secure Wynn Las Vegas' obligation to complete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we will use any remaining funds to reduce the outstanding balance on our revolving credit facility but wihtout reducing the revolving credit facility commitment.</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noted above, we operate an art gallery displaying works from The Wynn Collection on the former premises of the Desert Inn Resort &amp; Casino. We expect the art gallery to remain open during the construction of Le Rêve. We currently lease The Wynn Collection from Mr. and Mrs. Wynn at a monthly rate equal to the gross revenue received by the gallery each month, less direct expenses, subject to a monthly cap. Our lease agreement with Mr. and Mrs. Wynn did not require any such lease payments through June 30, 2002. However, had we been required to make such payments, no amounts would have been due under the lease payment formula because, to date, our expenses in operating the art gallery have exceeded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revenue generated from such operations.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94"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will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no less than a total of 4 billion Macau patacas (currently approximately $500 million, using the exchange rate as of August 11, 2002)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While Wynn Macau is still formulating its plans for the development of its operations in Macau, it is expected that significant additional financing will be needed to fund the development and construction of any Wynn Macau project in Macau. Wynn Macau is not part of the restricted group. We do not expect financing for any such project to be provided by or through any of the issuers or guarantors (except for possibly Wynn Resorts, if it becomes a guarantor) of the second mortgage notes</w:t>
      </w:r>
    </w:p>
    <w:p>
      <w:pPr>
        <w:sectPr>
          <w:pgSz w:w="11900" w:h="16838" w:orient="portrait"/>
          <w:cols w:equalWidth="0" w:num="1">
            <w:col w:w="11420"/>
          </w:cols>
          <w:pgMar w:left="240" w:top="131" w:right="239" w:bottom="0" w:gutter="0" w:footer="0" w:header="0"/>
        </w:sectPr>
      </w:pPr>
    </w:p>
    <w:bookmarkStart w:id="43" w:name="page44"/>
    <w:bookmarkEnd w:id="43"/>
    <w:p>
      <w:pPr>
        <w:ind w:right="480"/>
        <w:spacing w:after="0" w:line="268" w:lineRule="auto"/>
        <w:rPr>
          <w:sz w:val="20"/>
          <w:szCs w:val="20"/>
          <w:color w:val="auto"/>
        </w:rPr>
      </w:pPr>
      <w:r>
        <w:rPr>
          <w:rFonts w:ascii="Arial" w:cs="Arial" w:eastAsia="Arial" w:hAnsi="Arial"/>
          <w:sz w:val="18"/>
          <w:szCs w:val="18"/>
          <w:color w:val="auto"/>
        </w:rPr>
        <w:t>or any other financing relating to the Le Rêve project. Wynn Resorts' indirect economic ownership interest in Wynn Macau is expected to be approximately 82.5% prior to any such financing.</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Limited, and debt financing at the Wynn Macau level. Wynn Macau has no commitments relating to such financing and we cannot assure you that Wynn Macau will be able to obtain such financing on acceptable terms or at all.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Party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111,500 square foot casino, 18 distinctive dining outlets, an exclusive 18-hole championship golf course and a new water-based entertainment production.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9"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Showcase the "Wynn Brand." </w:t>
      </w:r>
      <w:r>
        <w:rPr>
          <w:rFonts w:ascii="Arial" w:cs="Arial" w:eastAsia="Arial" w:hAnsi="Arial"/>
          <w:sz w:val="18"/>
          <w:szCs w:val="18"/>
          <w:color w:val="auto"/>
        </w:rPr>
        <w:t>We believe that Mr. Wynn's involvement with Le Rêve provides a distinct advantage over other gaming enterprises in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ectPr>
          <w:pgSz w:w="11900" w:h="16838" w:orient="portrait"/>
          <w:cols w:equalWidth="0" w:num="1">
            <w:col w:w="11420"/>
          </w:cols>
          <w:pgMar w:left="240" w:top="131" w:right="239" w:bottom="0" w:gutter="0" w:footer="0" w:header="0"/>
        </w:sectPr>
      </w:pPr>
    </w:p>
    <w:bookmarkStart w:id="44" w:name="page45"/>
    <w:bookmarkEnd w:id="44"/>
    <w:p>
      <w:pPr>
        <w:ind w:right="600" w:firstLine="351"/>
        <w:spacing w:after="0" w:line="332"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offerings, to create resorts that appeal to a variety of customers, especially high-end customers. We believe that Le Rêve will be Mr. Wynn's most innovative work to date.</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 Rooms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 du</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-3372485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-3372485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-3372485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-3372485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-3372485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-3372485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00" w:hanging="532"/>
        <w:spacing w:after="0" w:line="191" w:lineRule="auto"/>
        <w:tabs>
          <w:tab w:leader="none" w:pos="540" w:val="left"/>
        </w:tabs>
        <w:numPr>
          <w:ilvl w:val="0"/>
          <w:numId w:val="57"/>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7"/>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85" w:lineRule="auto"/>
        <w:tabs>
          <w:tab w:leader="none" w:pos="540" w:val="left"/>
        </w:tabs>
        <w:numPr>
          <w:ilvl w:val="0"/>
          <w:numId w:val="57"/>
        </w:numPr>
        <w:rPr>
          <w:rFonts w:ascii="Arial" w:cs="Arial" w:eastAsia="Arial" w:hAnsi="Arial"/>
          <w:sz w:val="18"/>
          <w:szCs w:val="18"/>
          <w:color w:val="auto"/>
          <w:vertAlign w:val="subscript"/>
        </w:rPr>
      </w:pPr>
      <w:r>
        <w:rPr>
          <w:rFonts w:ascii="Arial" w:cs="Arial" w:eastAsia="Arial" w:hAnsi="Arial"/>
          <w:sz w:val="10"/>
          <w:szCs w:val="10"/>
          <w:color w:val="auto"/>
        </w:rPr>
        <w:t>Based on information located at www.mirage.com as of May 23, 2002.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8"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27"/>
          <w:szCs w:val="27"/>
          <w:color w:val="auto"/>
          <w:vertAlign w:val="subscript"/>
        </w:rPr>
      </w:pPr>
      <w:r>
        <w:rPr>
          <w:rFonts w:ascii="Arial" w:cs="Arial" w:eastAsia="Arial" w:hAnsi="Arial"/>
          <w:sz w:val="14"/>
          <w:szCs w:val="14"/>
          <w:color w:val="auto"/>
        </w:rPr>
        <w:t>Shadow Creek golf course is located off-site approximately twelve miles from The Mirage.</w:t>
      </w:r>
    </w:p>
    <w:p>
      <w:pPr>
        <w:ind w:left="540" w:hanging="532"/>
        <w:spacing w:after="0" w:line="185" w:lineRule="auto"/>
        <w:tabs>
          <w:tab w:leader="none" w:pos="540" w:val="left"/>
        </w:tabs>
        <w:numPr>
          <w:ilvl w:val="0"/>
          <w:numId w:val="58"/>
        </w:numPr>
        <w:rPr>
          <w:rFonts w:ascii="Arial" w:cs="Arial" w:eastAsia="Arial" w:hAnsi="Arial"/>
          <w:sz w:val="18"/>
          <w:szCs w:val="18"/>
          <w:color w:val="auto"/>
          <w:vertAlign w:val="subscript"/>
        </w:rPr>
      </w:pPr>
      <w:r>
        <w:rPr>
          <w:rFonts w:ascii="Arial" w:cs="Arial" w:eastAsia="Arial" w:hAnsi="Arial"/>
          <w:sz w:val="10"/>
          <w:szCs w:val="10"/>
          <w:color w:val="auto"/>
        </w:rPr>
        <w:t>Featuring works from The Wynn Collection.</w:t>
      </w:r>
    </w:p>
    <w:p>
      <w:pPr>
        <w:spacing w:after="0" w:line="196" w:lineRule="exact"/>
        <w:rPr>
          <w:sz w:val="20"/>
          <w:szCs w:val="20"/>
          <w:color w:val="auto"/>
        </w:rPr>
      </w:pPr>
    </w:p>
    <w:p>
      <w:pPr>
        <w:ind w:right="2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ectPr>
          <w:pgSz w:w="11900" w:h="16838" w:orient="portrait"/>
          <w:cols w:equalWidth="0" w:num="1">
            <w:col w:w="11400"/>
          </w:cols>
          <w:pgMar w:left="240" w:top="131" w:right="259" w:bottom="0" w:gutter="0" w:footer="0" w:header="0"/>
        </w:sectPr>
      </w:pPr>
    </w:p>
    <w:bookmarkStart w:id="45" w:name="page46"/>
    <w:bookmarkEnd w:id="45"/>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will offer approximately 290 suites and six villas, all elegantly decorated and furnished.</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Facilities.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w:t>
      </w:r>
    </w:p>
    <w:p>
      <w:pPr>
        <w:sectPr>
          <w:pgSz w:w="11900" w:h="16838" w:orient="portrait"/>
          <w:cols w:equalWidth="0" w:num="1">
            <w:col w:w="11420"/>
          </w:cols>
          <w:pgMar w:left="240" w:top="131" w:right="239" w:bottom="0" w:gutter="0" w:footer="0" w:header="0"/>
        </w:sectPr>
      </w:pPr>
    </w:p>
    <w:bookmarkStart w:id="46" w:name="page47"/>
    <w:bookmarkEnd w:id="46"/>
    <w:p>
      <w:pPr>
        <w:jc w:val="both"/>
        <w:ind w:right="140"/>
        <w:spacing w:after="0" w:line="259" w:lineRule="auto"/>
        <w:rPr>
          <w:sz w:val="20"/>
          <w:szCs w:val="20"/>
          <w:color w:val="auto"/>
        </w:rPr>
      </w:pPr>
      <w:r>
        <w:rPr>
          <w:rFonts w:ascii="Arial" w:cs="Arial" w:eastAsia="Arial" w:hAnsi="Arial"/>
          <w:sz w:val="18"/>
          <w:szCs w:val="18"/>
          <w:color w:val="auto"/>
        </w:rPr>
        <w:t>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Las Vegas Convention Center contains approximately 3.2 million square feet of space. According to the Las Vegas Convention and Visitors Authority, approximately 1.3 million visitors attended trade shows and conventions at the Las Vegas Convention Center during 2001. We anticipate that Le Rêve will be connected to the Las Vegas Convention Center by a pedestrian bridge over Paradise Road, and that the Las Vegas monorail at the intersection of Desert Inn Road and Paradise Road will meet the anticipated pedestrian bridge. In addition, we anticipate that our free shuttle service will transport convention and trade show attendees and other Le Rêve visitors to and from the Las Vegas Convention Center in approximately four minutes. The shuttle service will run along the north perimeter of the golf course and will be able to move several thousand people per hour. We believe that this will be attractive to convention and trade show visitors who will not need to wait in long lines for taxicabs and can avoid traffic congestion around the Las Vegas Convention Center in travelling to or from Le Rêve.</w:t>
      </w:r>
    </w:p>
    <w:p>
      <w:pPr>
        <w:spacing w:after="0" w:line="19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Le Rêve will be connected to the Sands Expo and Convention Center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believe that our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Capitalize on Our Experienced Management Team. </w:t>
      </w:r>
      <w:r>
        <w:rPr>
          <w:rFonts w:ascii="Arial" w:cs="Arial" w:eastAsia="Arial" w:hAnsi="Arial"/>
          <w:sz w:val="18"/>
          <w:szCs w:val="18"/>
          <w:color w:val="auto"/>
        </w:rPr>
        <w:t>The members of our management team have extensive experience in developing and operating large-scale hotels and casinos and many of them worked with Mr. Wynn at Mirage Resorts to develop Bellagio. In addition to our executive officers, each of whose background is described in "Management," Wynn Resorts' management team includes:</w:t>
      </w:r>
    </w:p>
    <w:p>
      <w:pPr>
        <w:spacing w:after="0" w:line="208"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team provide a substantial competitive advantage.</w:t>
      </w:r>
    </w:p>
    <w:p>
      <w:pPr>
        <w:spacing w:after="0" w:line="248"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Carefully Manage Construction Costs and Risks. </w:t>
      </w:r>
      <w:r>
        <w:rPr>
          <w:rFonts w:ascii="Arial" w:cs="Arial" w:eastAsia="Arial" w:hAnsi="Arial"/>
          <w:sz w:val="16"/>
          <w:szCs w:val="16"/>
          <w:color w:val="auto"/>
        </w:rPr>
        <w:t>Wynn Design &amp; Development, a wholly owned subsidiary of Valvino, is responsible for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w:t>
      </w:r>
    </w:p>
    <w:p>
      <w:pPr>
        <w:sectPr>
          <w:pgSz w:w="11900" w:h="16838" w:orient="portrait"/>
          <w:cols w:equalWidth="0" w:num="1">
            <w:col w:w="11420"/>
          </w:cols>
          <w:pgMar w:left="240" w:top="131" w:right="239" w:bottom="333"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33" w:gutter="0" w:footer="0" w:header="0"/>
          <w:type w:val="continuous"/>
        </w:sectPr>
      </w:pPr>
    </w:p>
    <w:bookmarkStart w:id="47" w:name="page48"/>
    <w:bookmarkEnd w:id="47"/>
    <w:p>
      <w:pPr>
        <w:ind w:right="80"/>
        <w:spacing w:after="0" w:line="294" w:lineRule="auto"/>
        <w:rPr>
          <w:sz w:val="20"/>
          <w:szCs w:val="20"/>
          <w:color w:val="auto"/>
        </w:rPr>
      </w:pPr>
      <w:r>
        <w:rPr>
          <w:rFonts w:ascii="Arial" w:cs="Arial" w:eastAsia="Arial" w:hAnsi="Arial"/>
          <w:sz w:val="16"/>
          <w:szCs w:val="16"/>
          <w:color w:val="auto"/>
        </w:rPr>
        <w:t>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based on scope changes and other exceptions, to construct the Le Rêve hotel and casino. Plans for a substantial portion of the budget for this contract have not been finalized. We plan to implement specific mechanisms that are intended to reduce the risk of construction cost overruns and delays, including:</w:t>
      </w:r>
    </w:p>
    <w:p>
      <w:pPr>
        <w:spacing w:after="0" w:line="183" w:lineRule="exact"/>
        <w:rPr>
          <w:sz w:val="20"/>
          <w:szCs w:val="20"/>
          <w:color w:val="auto"/>
        </w:rPr>
      </w:pPr>
    </w:p>
    <w:p>
      <w:pPr>
        <w:ind w:left="1080" w:right="2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500" w:hanging="532"/>
        <w:spacing w:after="0" w:line="298"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80"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separate liquidity reserve account to be held by Wynn Las Vegas into which Wynn Resorts will deposit $30 million of the net proceeds of its common stock offering pledged to the lenders under the credit facilities and second mortgage note holders to secure Wynn Las Vegas' obligation to complete the project and to be applied to the costs of the project in accordance with the disbursement agreement; and</w:t>
      </w:r>
    </w:p>
    <w:p>
      <w:pPr>
        <w:spacing w:after="0" w:line="174"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anticipated availability under our revolving credit facility to fund interest and commitment fees on our debt obligations through the fourth month after our scheduled opening, if the opening is delayed.</w:t>
      </w:r>
    </w:p>
    <w:p>
      <w:pPr>
        <w:spacing w:after="0" w:line="186"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expect to solicit competitive bids in late summer 2002 for construction of the new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Benefit from the Significant Equity Investment. </w:t>
      </w:r>
      <w:r>
        <w:rPr>
          <w:rFonts w:ascii="Arial" w:cs="Arial" w:eastAsia="Arial" w:hAnsi="Arial"/>
          <w:sz w:val="16"/>
          <w:szCs w:val="16"/>
          <w:color w:val="auto"/>
        </w:rPr>
        <w:t>We will have a significant cash equity capitalization for the development of Le Rêve. From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completion of Le Rêve, we expect to have received a total of approximately $926 million in cash equity, which represents approximately 38% of the total project costs. To date, Mr. Wynn has invested $175 million in cash equity which demonstrates his commitment to the Le Rêve project.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Le Rêve hotel guest main arrival area will feature an atrium garden adjacent to the registration desk with a view of Le Rêve lake below. We are designing Le Rêve to provide an intimate setting by minimizing walking distances throughout the hotel with a well-designed, organized floor plan to facilitate guest orientation and familiarity with the property. On average,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the maximum walking distance to the most remote guest room will be approximately 240 feet, as compared to similar hotels such as Bellagio, The Mirage, Treasure Island at The Mirage and The Venetian at approximately 360 feet.</w:t>
      </w:r>
    </w:p>
    <w:p>
      <w:pPr>
        <w:spacing w:after="0" w:line="17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will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is not currently available in the guest rooms of other hotels in Las Vegas.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also plan for Le Rêve to provide single and multiple bedroom luxury suites with superior amenities and furnishings designed to accommodate high-end hotel guests. Le Rêve will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ectPr>
          <w:pgSz w:w="11900" w:h="16838" w:orient="portrait"/>
          <w:cols w:equalWidth="0" w:num="1">
            <w:col w:w="11420"/>
          </w:cols>
          <w:pgMar w:left="240" w:top="131" w:right="239" w:bottom="0" w:gutter="0" w:footer="0" w:header="0"/>
        </w:sectPr>
      </w:pPr>
    </w:p>
    <w:bookmarkStart w:id="48" w:name="page49"/>
    <w:bookmarkEnd w:id="48"/>
    <w:p>
      <w:pPr>
        <w:spacing w:after="0" w:line="123"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believe that we have designed these elegant and spacious suites to satisfy the expectations of the highly sought-after international gaming customer. The salon suites' living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Each of our fairway lanai suites will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also will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111,500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Each private gaming room will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our course. The Le Rêve golf course will be accessible only to hotel guests of Le Rêve. We expect that the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our golf course will be adjacent to the hotel, and will be visible from the windows of many of Le Rêve's meeting and convention rooms. We expect that Le Rêve's golf course will be available for play when Le Rêve opens.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and is known for his New York restaurants, DANIEL and Café Boulud. DANIEL has been awarded four stars by the New York Times, rated one of the ten best restaurants in the world by </w:t>
      </w:r>
      <w:r>
        <w:rPr>
          <w:rFonts w:ascii="Arial" w:cs="Arial" w:eastAsia="Arial" w:hAnsi="Arial"/>
          <w:sz w:val="18"/>
          <w:szCs w:val="18"/>
          <w:i w:val="1"/>
          <w:iCs w:val="1"/>
          <w:color w:val="auto"/>
        </w:rPr>
        <w:t>The International Herald Tribune</w:t>
      </w:r>
      <w:r>
        <w:rPr>
          <w:rFonts w:ascii="Arial" w:cs="Arial" w:eastAsia="Arial" w:hAnsi="Arial"/>
          <w:sz w:val="18"/>
          <w:szCs w:val="18"/>
          <w:color w:val="auto"/>
        </w:rPr>
        <w:t xml:space="preserve"> and received </w:t>
      </w:r>
      <w:r>
        <w:rPr>
          <w:rFonts w:ascii="Arial" w:cs="Arial" w:eastAsia="Arial" w:hAnsi="Arial"/>
          <w:sz w:val="18"/>
          <w:szCs w:val="18"/>
          <w:i w:val="1"/>
          <w:iCs w:val="1"/>
          <w:color w:val="auto"/>
        </w:rPr>
        <w:t>Gourmet Magazine's</w:t>
      </w:r>
      <w:r>
        <w:rPr>
          <w:rFonts w:ascii="Arial" w:cs="Arial" w:eastAsia="Arial" w:hAnsi="Arial"/>
          <w:sz w:val="18"/>
          <w:szCs w:val="18"/>
          <w:color w:val="auto"/>
        </w:rPr>
        <w:t xml:space="preserve"> "Top Table" award.</w:t>
      </w:r>
    </w:p>
    <w:p>
      <w:pPr>
        <w:spacing w:after="0" w:line="19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have been consistently sold out since opening.</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currently operate an art gallery in our office building on the 20-acre parcel and pay for the insurance on the works of art and will continue to do so after Le Rêve opens. We lease The Wynn Collection from Mr. and Mrs. Wynn at a monthly rate equal to the gross revenue received by the gallery each month, less direct expenses, subject to a monthly cap.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74"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The Ferrari and Maserati Dealership. </w:t>
      </w:r>
      <w:r>
        <w:rPr>
          <w:rFonts w:ascii="Arial" w:cs="Arial" w:eastAsia="Arial" w:hAnsi="Arial"/>
          <w:sz w:val="15"/>
          <w:szCs w:val="15"/>
          <w:color w:val="auto"/>
        </w:rPr>
        <w:t>We have entered into letters of intent with Ferrari North America, Inc. and Maserati North America, Inc. to open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authorized on-site, full-service Ferrari and Maserati dealership. We expect that our franchises will include a service and maintenance facility, as well as a café and</w:t>
      </w:r>
    </w:p>
    <w:p>
      <w:pPr>
        <w:sectPr>
          <w:pgSz w:w="11900" w:h="16962" w:orient="portrait"/>
          <w:cols w:equalWidth="0" w:num="1">
            <w:col w:w="11420"/>
          </w:cols>
          <w:pgMar w:left="240" w:top="131" w:right="239" w:bottom="0" w:gutter="0" w:footer="0" w:header="0"/>
        </w:sectPr>
      </w:pPr>
    </w:p>
    <w:bookmarkStart w:id="49" w:name="page50"/>
    <w:bookmarkEnd w:id="49"/>
    <w:p>
      <w:pPr>
        <w:ind w:right="80"/>
        <w:spacing w:after="0" w:line="268" w:lineRule="auto"/>
        <w:rPr>
          <w:sz w:val="20"/>
          <w:szCs w:val="20"/>
          <w:color w:val="auto"/>
        </w:rPr>
      </w:pPr>
      <w:r>
        <w:rPr>
          <w:rFonts w:ascii="Arial" w:cs="Arial" w:eastAsia="Arial" w:hAnsi="Arial"/>
          <w:sz w:val="18"/>
          <w:szCs w:val="18"/>
          <w:color w:val="auto"/>
        </w:rPr>
        <w:t>retail store. Currently, there are only 29 Ferrari dealerships in the United States and we expect ours to be the first in Nevada. The dealership will be located near the main entrance to the hotel.</w:t>
      </w:r>
    </w:p>
    <w:p>
      <w:pPr>
        <w:spacing w:after="0" w:line="186"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letters of intent require us to submit designs and plans for the dealership to Ferrari North America and Maserati North America for approval and to satisfy certain financing and other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have first and senior priority security interests in their respective franchises. Under the letters of intent, no changes in the proportional equity interests in Wynn Resorts held by Mr. Wynn, Aruze USA, Baron Asset Fund and our public stockholders as a group upon consummation of this offering can be made without the approval of Ferrari North America and Maserati North America.</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Retail Space. </w:t>
      </w:r>
      <w:r>
        <w:rPr>
          <w:rFonts w:ascii="Arial" w:cs="Arial" w:eastAsia="Arial" w:hAnsi="Arial"/>
          <w:sz w:val="16"/>
          <w:szCs w:val="16"/>
          <w:color w:val="auto"/>
        </w:rPr>
        <w:t>Le Rêve will contain approximately 77,500 square feet dedicated to retail shops. We expect to lease approximately eight of the shops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The Spa, Salon and Fitness Complex. </w:t>
      </w:r>
      <w:r>
        <w:rPr>
          <w:rFonts w:ascii="Arial" w:cs="Arial" w:eastAsia="Arial" w:hAnsi="Arial"/>
          <w:sz w:val="16"/>
          <w:szCs w:val="16"/>
          <w:color w:val="auto"/>
        </w:rPr>
        <w:t>We will own and operate a world-class spa, salon and fitness complex offering high-end spa treatments and fitness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custom label and branded skin and body treatment products, as well as clothing, accessories, and athletic wear. The 38,000 square foot spa and salon complex will be directly accessible from the main guestrooms, the suites and villas, and pool deck elevators.</w:t>
      </w:r>
    </w:p>
    <w:p>
      <w:pPr>
        <w:spacing w:after="0" w:line="16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One swimming pool and one whirlpool spa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dedicated for the exclusive use of our suite guests. The pool areas will feature private cabanas and lush landscaping.</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Le Rêve will feature approximately 223,000 square feet of convention, meeting and reception space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61"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hanging="532"/>
        <w:spacing w:after="0" w:line="25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including Bellagio, The Mirage, Treasure Island at The Mirage and Golden Nugget—Las Vegas.</w:t>
      </w:r>
    </w:p>
    <w:p>
      <w:pPr>
        <w:spacing w:after="0" w:line="25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W. Todd Nisbet, Executive Vice President</w:t>
      </w:r>
      <w:r>
        <w:rPr>
          <w:rFonts w:ascii="Arial" w:cs="Arial" w:eastAsia="Arial" w:hAnsi="Arial"/>
          <w:sz w:val="16"/>
          <w:szCs w:val="16"/>
          <w:color w:val="auto"/>
        </w:rPr>
        <w:t>—Project Director. Mr. Nisbet will be supervising the construction of Le Rêve. Mr. Nisbet has over</w:t>
      </w:r>
    </w:p>
    <w:p>
      <w:pPr>
        <w:spacing w:after="0" w:line="38" w:lineRule="exact"/>
        <w:rPr>
          <w:rFonts w:ascii="Arial" w:cs="Arial" w:eastAsia="Arial" w:hAnsi="Arial"/>
          <w:sz w:val="16"/>
          <w:szCs w:val="16"/>
          <w:color w:val="auto"/>
        </w:rPr>
      </w:pPr>
    </w:p>
    <w:p>
      <w:pPr>
        <w:ind w:left="10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DeRuyter O. Butler, Executive Vice President—Architecture</w:t>
      </w:r>
      <w:r>
        <w:rPr>
          <w:rFonts w:ascii="Arial" w:cs="Arial" w:eastAsia="Arial" w:hAnsi="Arial"/>
          <w:sz w:val="18"/>
          <w:szCs w:val="18"/>
          <w:color w:val="auto"/>
        </w:rPr>
        <w:t>. 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Roger P. Thomas, Executive Vice President—Design</w:t>
      </w:r>
      <w:r>
        <w:rPr>
          <w:rFonts w:ascii="Arial" w:cs="Arial" w:eastAsia="Arial" w:hAnsi="Arial"/>
          <w:sz w:val="16"/>
          <w:szCs w:val="16"/>
          <w:color w:val="auto"/>
        </w:rPr>
        <w:t>. Mr. Thomas, who served as the Vice President—Design for Atlandia Design &amp; Furnishings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over 15 years, was responsible for the interior design of The Mirage, including the standard rooms, suites and villas, the spa and salon, the Siegfried &amp; Roy and Danny Gans showrooms and the expansion of the convention center. In addition, Mr. Thomas supervised the interior design of Bellagio, Treasure Island at The Mirage and the Golden Nugget—Las Vegas.</w:t>
      </w:r>
    </w:p>
    <w:p>
      <w:pPr>
        <w:spacing w:after="0" w:line="193"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Janellen Sachs Radoff, Vice President—Design</w:t>
      </w:r>
      <w:r>
        <w:rPr>
          <w:rFonts w:ascii="Arial" w:cs="Arial" w:eastAsia="Arial" w:hAnsi="Arial"/>
          <w:sz w:val="16"/>
          <w:szCs w:val="16"/>
          <w:color w:val="auto"/>
        </w:rPr>
        <w:t>. 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ectPr>
          <w:pgSz w:w="11900" w:h="16838" w:orient="portrait"/>
          <w:cols w:equalWidth="0" w:num="1">
            <w:col w:w="11320"/>
          </w:cols>
          <w:pgMar w:left="240" w:top="131" w:right="339" w:bottom="0" w:gutter="0" w:footer="0" w:header="0"/>
        </w:sectPr>
      </w:pPr>
    </w:p>
    <w:bookmarkStart w:id="50" w:name="page51"/>
    <w:bookmarkEnd w:id="50"/>
    <w:p>
      <w:pPr>
        <w:ind w:left="360"/>
        <w:spacing w:after="0"/>
        <w:rPr>
          <w:sz w:val="20"/>
          <w:szCs w:val="20"/>
          <w:color w:val="auto"/>
        </w:rPr>
      </w:pPr>
      <w:r>
        <w:rPr>
          <w:rFonts w:ascii="Arial" w:cs="Arial" w:eastAsia="Arial" w:hAnsi="Arial"/>
          <w:sz w:val="16"/>
          <w:szCs w:val="16"/>
          <w:color w:val="auto"/>
        </w:rPr>
        <w:t>We have scheduled groundbreaking for Le Rêve to occur in September 2002, with an opening to the general public scheduled for March 2005.</w:t>
      </w:r>
    </w:p>
    <w:p>
      <w:pPr>
        <w:spacing w:after="0" w:line="24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golf course and principal parking garage, but excluding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97" w:lineRule="exact"/>
        <w:rPr>
          <w:sz w:val="20"/>
          <w:szCs w:val="20"/>
          <w:color w:val="auto"/>
        </w:rPr>
      </w:pPr>
    </w:p>
    <w:p>
      <w:pPr>
        <w:ind w:right="320" w:firstLine="351"/>
        <w:spacing w:after="0" w:line="254" w:lineRule="auto"/>
        <w:rPr>
          <w:sz w:val="20"/>
          <w:szCs w:val="20"/>
          <w:color w:val="auto"/>
        </w:rPr>
      </w:pPr>
      <w:r>
        <w:rPr>
          <w:rFonts w:ascii="Arial" w:cs="Arial" w:eastAsia="Arial" w:hAnsi="Arial"/>
          <w:sz w:val="18"/>
          <w:szCs w:val="18"/>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contract is subject to 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9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$485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 we expect to solicit competitive bids in late summer 2002 for construction of the new golf course and to award the construction contract in the fourth quarter of 2002;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have spent money or received non-binding bids for a total of approximately 45% of these remaining budgeted costs.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expect to solicit competitive bids in late summer 2002 for the construction of the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We expect to lease approximately eight of the retail shops at Le Rêve to third parties and intend to provide some of our retail tenants an allowance for improvements as part of the lease arrangements. We will own and operate the remaining approximately eighteen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w:t>
      </w:r>
    </w:p>
    <w:p>
      <w:pPr>
        <w:sectPr>
          <w:pgSz w:w="11900" w:h="16838" w:orient="portrait"/>
          <w:cols w:equalWidth="0" w:num="1">
            <w:col w:w="11400"/>
          </w:cols>
          <w:pgMar w:left="240" w:top="131" w:right="259" w:bottom="0" w:gutter="0" w:footer="0" w:header="0"/>
        </w:sectPr>
      </w:pPr>
    </w:p>
    <w:bookmarkStart w:id="51" w:name="page52"/>
    <w:bookmarkEnd w:id="51"/>
    <w:p>
      <w:pPr>
        <w:ind w:right="220"/>
        <w:spacing w:after="0" w:line="268" w:lineRule="auto"/>
        <w:rPr>
          <w:sz w:val="20"/>
          <w:szCs w:val="20"/>
          <w:color w:val="auto"/>
        </w:rPr>
      </w:pPr>
      <w:r>
        <w:rPr>
          <w:rFonts w:ascii="Arial" w:cs="Arial" w:eastAsia="Arial" w:hAnsi="Arial"/>
          <w:sz w:val="18"/>
          <w:szCs w:val="18"/>
          <w:color w:val="auto"/>
        </w:rPr>
        <w:t>negotiate leases consistent with our design and construction budget, we may have to fund or construct, at our cost, additional improvements in connection with the leases relating to the space.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right="2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will be secured by $50 million of the proceeds of Wynn Resorts' common stock offering contributed to the subsidiary and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separate liquidity reserve account to be held by Wynn Las Vegas into which Wynn Resorts will deposit $30 million of the net proceeds of its offering of common stock pledged to the lenders under the credit facilities and second mortgage note holders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520"/>
        <w:spacing w:after="0" w:line="268" w:lineRule="auto"/>
        <w:rPr>
          <w:sz w:val="20"/>
          <w:szCs w:val="20"/>
          <w:color w:val="auto"/>
        </w:rPr>
      </w:pPr>
      <w:r>
        <w:rPr>
          <w:rFonts w:ascii="Arial" w:cs="Arial" w:eastAsia="Arial" w:hAnsi="Arial"/>
          <w:sz w:val="18"/>
          <w:szCs w:val="18"/>
          <w:color w:val="auto"/>
        </w:rPr>
        <w:t>secure Wynn Las Vegas' obligation to complete the project and to be applied to the costs of the project in accordance with the disbursement agreement; and</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revolving credit facility.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August 31, 2005, subject to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 —Risks Related to Our Substantial Indebtedness—We are highly leveraged and future cash flow may not be sufficient to meet our obligations, including our obligations under the second mortgage notes, and we might have difficulty obtaining more financing." We do not expect to be able to obtain insurance for delayed opening of Le Rêve, loss of use of the project or loss due to force majeure events. See "Risk Factors—Risks Associated with Our Construction."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 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this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77"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we will be required to pay an additional $1 million if we exercise the option.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Following the completion of this offering and the offering of Wynn Resorts' common stock, Wynn Resorts plans to grant Mr. Dragone an award</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of shares of restricted stock. The restricted stock will be subject to Wynn Resorts' repurchase right, which will lapse in June 2006. This restricted stock award is intended to be part of the compensation paid to Mr. Dragone for his role as principal creator of the production.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Growth Opportunities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ectPr>
          <w:pgSz w:w="11900" w:h="16838" w:orient="portrait"/>
          <w:cols w:equalWidth="0" w:num="1">
            <w:col w:w="11400"/>
          </w:cols>
          <w:pgMar w:left="240" w:top="131" w:right="259" w:bottom="0" w:gutter="0" w:footer="0" w:header="0"/>
        </w:sectPr>
      </w:pPr>
    </w:p>
    <w:bookmarkStart w:id="52" w:name="page53"/>
    <w:bookmarkEnd w:id="52"/>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visitors in 2001, a compound annual growth rate of 3.3%. Aggregate expenditures by these visitors increased at a compound annual growth rate of 7.5%, from approximately $22.5 billion in 1996 to approximately $31.6 billion in 2001. The number of residents in Clark County, the greater Las Vegas area, has increased from 1,115,940 residents in 1996 to 1,425,723 residents in 2000, a compound annual growth rate of 6.6%.</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rooms in Las Vegas, 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133350</wp:posOffset>
            </wp:positionV>
            <wp:extent cx="5454015" cy="2735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According to the Las Vegas Convention and Visitors Authority, Clark County gross gaming revenue has increased by 31%, from approximately $5.8 billion in 1996 to approximately $7.6 billion in 2001.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107315</wp:posOffset>
            </wp:positionV>
            <wp:extent cx="5668645" cy="25298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Las Vegas Retail Sector and Non-Gaming Revenue Expenditures. </w:t>
      </w:r>
      <w:r>
        <w:rPr>
          <w:rFonts w:ascii="Arial" w:cs="Arial" w:eastAsia="Arial" w:hAnsi="Arial"/>
          <w:sz w:val="16"/>
          <w:szCs w:val="16"/>
          <w:color w:val="auto"/>
        </w:rPr>
        <w:t>The Las Vegas market continues to evolve from its historical gaming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broader entertainment and 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ectPr>
          <w:pgSz w:w="11900" w:h="16838" w:orient="portrait"/>
          <w:cols w:equalWidth="0" w:num="1">
            <w:col w:w="11420"/>
          </w:cols>
          <w:pgMar w:left="240" w:top="125" w:right="239" w:bottom="2" w:gutter="0" w:footer="0" w:header="0"/>
        </w:sectPr>
      </w:pPr>
    </w:p>
    <w:bookmarkStart w:id="53" w:name="page54"/>
    <w:bookmarkEnd w:id="53"/>
    <w:p>
      <w:pPr>
        <w:spacing w:after="0" w:line="10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convention revenue.</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Trade shows are held for the purpose of getting sellers and buyers of products or services together in order to conduct business. Trade shows differ from conventions in that trade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6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8"/>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8"/>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in Las Vegas</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hotels on the Las Vegas Strip and those in downtown Las Vegas, as well as a large number of hotels and motels in and near Las Vegas.</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date in October 2003. Other than the expansions of The Venetian and Mandalay Bay Resort &amp; Casino, we are not aware of any significant additions of hotel rooms to major hotel casino resort properties in Las Vegas or any developments of new major hotel casino resort properties in Las Vegas in the near future. Many competing properties, such as the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7"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w:t>
      </w:r>
    </w:p>
    <w:p>
      <w:pPr>
        <w:sectPr>
          <w:pgSz w:w="11900" w:h="16947" w:orient="portrait"/>
          <w:cols w:equalWidth="0" w:num="1">
            <w:col w:w="11420"/>
          </w:cols>
          <w:pgMar w:left="240" w:top="131" w:right="239" w:bottom="0" w:gutter="0" w:footer="0" w:header="0"/>
        </w:sectPr>
      </w:pPr>
    </w:p>
    <w:bookmarkStart w:id="54" w:name="page55"/>
    <w:bookmarkEnd w:id="54"/>
    <w:p>
      <w:pPr>
        <w:spacing w:after="0" w:line="6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"Our Affiliate's Opportunity in Macau—Competition within Macau and from Regional Markets."</w:t>
      </w:r>
    </w:p>
    <w:p>
      <w:pPr>
        <w:spacing w:after="0" w:line="197"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Retail Competition. </w:t>
      </w:r>
      <w:r>
        <w:rPr>
          <w:rFonts w:ascii="Arial" w:cs="Arial" w:eastAsia="Arial" w:hAnsi="Arial"/>
          <w:sz w:val="18"/>
          <w:szCs w:val="18"/>
          <w:color w:val="auto"/>
        </w:rPr>
        <w:t>Le Rêve's retail stores will operate in a highly competitive environment. Le Rêve's retail stores will compete with other retail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retail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a number of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complementary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Wynn Las Vegas and Wynn Macau anticipate that they will be able to cross-market Le Rêve and the planned Macau property to both domestic and international customers.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believe that we will be able to capitalize on Mr. Wynn's reputation and established relationships with former gaming, hotel and food and beverage employees in the Nevada community to supply the necessary work force to adequately operate Le Rêve's hotel casino resort. Under Mr. Wynn, Mirage Resorts was ranked as the fourth best company in the United States in quality of management in the March 3, 1997 issue of Fortune magazine. We will pay competitive market wages to our employees.</w:t>
      </w:r>
    </w:p>
    <w:p>
      <w:pPr>
        <w:sectPr>
          <w:pgSz w:w="11900" w:h="16904" w:orient="portrait"/>
          <w:cols w:equalWidth="0" w:num="1">
            <w:col w:w="11420"/>
          </w:cols>
          <w:pgMar w:left="240" w:top="131" w:right="239" w:bottom="0" w:gutter="0" w:footer="0" w:header="0"/>
        </w:sectPr>
      </w:pPr>
    </w:p>
    <w:bookmarkStart w:id="55" w:name="page56"/>
    <w:bookmarkEnd w:id="55"/>
    <w:p>
      <w:pPr>
        <w:spacing w:after="0" w:line="45"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If no member of the public opposes or seeks time to oppose by August 16, 2002, LE RÊVE will be registered for hotel services, and restaurant, bar, lounge and health spa services.</w:t>
      </w:r>
    </w:p>
    <w:p>
      <w:pPr>
        <w:spacing w:after="0" w:line="170" w:lineRule="exact"/>
        <w:rPr>
          <w:sz w:val="20"/>
          <w:szCs w:val="20"/>
          <w:color w:val="auto"/>
        </w:rPr>
      </w:pPr>
    </w:p>
    <w:p>
      <w:pPr>
        <w:ind w:right="320" w:firstLine="348"/>
        <w:spacing w:after="0" w:line="323" w:lineRule="auto"/>
        <w:rPr>
          <w:sz w:val="20"/>
          <w:szCs w:val="20"/>
          <w:color w:val="auto"/>
        </w:rPr>
      </w:pPr>
      <w:r>
        <w:rPr>
          <w:rFonts w:ascii="Arial" w:cs="Arial" w:eastAsia="Arial" w:hAnsi="Arial"/>
          <w:sz w:val="15"/>
          <w:szCs w:val="15"/>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to proceed toward registration. The PTO's objection appears to relate solely to entertainment services, and not casino services. Accordingly, we will divide the application to register LE RÊVE for casino services from entertainment services and therefore not be subject to the objections to entertainment services.</w:t>
      </w:r>
    </w:p>
    <w:p>
      <w:pPr>
        <w:spacing w:after="0" w:line="152"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are for goods or services that would, if finally rejected, have a material impact on our business.</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 of LE RÊVE and seek to overcome the presumptions afforded by the registration.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Land. </w:t>
      </w:r>
      <w:r>
        <w:rPr>
          <w:rFonts w:ascii="Arial" w:cs="Arial" w:eastAsia="Arial" w:hAnsi="Arial"/>
          <w:sz w:val="18"/>
          <w:szCs w:val="18"/>
          <w:color w:val="auto"/>
        </w:rPr>
        <w:t>We currently own approximately 212 acres of land on or near the Las Vegas Strip on the site of the former Desert Inn Resort &amp; Casino.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 Rêve will total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w:t>
      </w:r>
    </w:p>
    <w:p>
      <w:pPr>
        <w:spacing w:after="0" w:line="197"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Desert Inn Improvement Co. is a public utility under Nevada law and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subject to regulatory restrictions imposed by the Nevada Public Utilities Commission. See "Risk Factors—General Risks Associated with Our Business—We will be subject to regulatory control by the Public Utilities Commission of Nevada." Desert Inn Improvement Co. does not use these water rights to provide water to its public utility customers. Under Nevada law, we obtained the approval of the Public Utilities Commission of Nevada for Wynn Resorts to complete its offering of common stock.</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ectPr>
          <w:pgSz w:w="11900" w:h="16884" w:orient="portrait"/>
          <w:cols w:equalWidth="0" w:num="1">
            <w:col w:w="11420"/>
          </w:cols>
          <w:pgMar w:left="240" w:top="131"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homeowners whose lots Valvino did not purchase filed an action in Clark County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trial in this matter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ectPr>
          <w:pgSz w:w="11900" w:h="16838" w:orient="portrait"/>
          <w:cols w:equalWidth="0" w:num="1">
            <w:col w:w="11400"/>
          </w:cols>
          <w:pgMar w:left="240" w:top="125" w:right="259" w:bottom="0" w:gutter="0" w:footer="0" w:header="0"/>
        </w:sectPr>
      </w:pPr>
    </w:p>
    <w:bookmarkStart w:id="57" w:name="page58"/>
    <w:bookmarkEnd w:id="57"/>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62" w:lineRule="exact"/>
        <w:rPr>
          <w:sz w:val="20"/>
          <w:szCs w:val="20"/>
          <w:color w:val="auto"/>
        </w:rPr>
      </w:pPr>
    </w:p>
    <w:p>
      <w:pPr>
        <w:ind w:left="1080" w:right="2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213"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the credit facilities.</w:t>
      </w:r>
    </w:p>
    <w:p>
      <w:pPr>
        <w:spacing w:after="0" w:line="17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delays caused by us.</w:t>
      </w:r>
    </w:p>
    <w:p>
      <w:pPr>
        <w:sectPr>
          <w:pgSz w:w="11900" w:h="16838" w:orient="portrait"/>
          <w:cols w:equalWidth="0" w:num="1">
            <w:col w:w="11400"/>
          </w:cols>
          <w:pgMar w:left="240" w:top="131" w:right="259" w:bottom="40" w:gutter="0" w:footer="0" w:header="0"/>
        </w:sectPr>
      </w:pPr>
    </w:p>
    <w:bookmarkStart w:id="58" w:name="page59"/>
    <w:bookmarkEnd w:id="58"/>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on the credit facilities and the FF&amp;E facility, if any such "out of balance" event occurs in the latter stages of construction, the second mortgage note holders would be fully exposed and the lenders under our credit facilities and FF&amp;E facility would have no obligation to commence or continue funding loans under their respective facilities.</w:t>
      </w:r>
    </w:p>
    <w:p>
      <w:pPr>
        <w:spacing w:after="0" w:line="19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delays in Marnell Corrao's performance arising from a force majeure occurrence, which includes industry-wide labor disputes affecting the general Las Vegas area and not limited to the project, fire, unavoidable casualties, adverse weather conditions not reasonably anticipated;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agent for the lenders under the credit facilities and the trustee on behalf of the second mortgage note holders as obligees and beneficiaries. After it is issued, the performance and payment bond may not be increased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decreased unless we approve in advance. Certain of the subcontractors performing work for Marnell Corrao on the project will also be bonded.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ectPr>
          <w:pgSz w:w="11900" w:h="16838" w:orient="portrait"/>
          <w:cols w:equalWidth="0" w:num="1">
            <w:col w:w="11420"/>
          </w:cols>
          <w:pgMar w:left="240" w:top="131" w:right="239" w:bottom="59" w:gutter="0" w:footer="0" w:header="0"/>
        </w:sectPr>
      </w:pPr>
    </w:p>
    <w:bookmarkStart w:id="59" w:name="page60"/>
    <w:bookmarkEnd w:id="59"/>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Marnell Corrao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discovered first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off-site activities.</w:t>
      </w:r>
    </w:p>
    <w:p>
      <w:pPr>
        <w:sectPr>
          <w:pgSz w:w="11900" w:h="16838" w:orient="portrait"/>
          <w:cols w:equalWidth="0" w:num="1">
            <w:col w:w="11400"/>
          </w:cols>
          <w:pgMar w:left="240" w:top="131" w:right="259" w:bottom="0" w:gutter="0" w:footer="0" w:header="0"/>
        </w:sectPr>
      </w:pPr>
    </w:p>
    <w:bookmarkStart w:id="60" w:name="page61"/>
    <w:bookmarkEnd w:id="60"/>
    <w:p>
      <w:pPr>
        <w:ind w:right="16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we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 /or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ectPr>
          <w:pgSz w:w="11900" w:h="16838" w:orient="portrait"/>
          <w:cols w:equalWidth="0" w:num="1">
            <w:col w:w="11420"/>
          </w:cols>
          <w:pgMar w:left="240" w:top="131" w:right="239" w:bottom="238" w:gutter="0" w:footer="0" w:header="0"/>
        </w:sectPr>
      </w:pPr>
    </w:p>
    <w:bookmarkStart w:id="61" w:name="page62"/>
    <w:bookmarkEnd w:id="61"/>
    <w:p>
      <w:pPr>
        <w:ind w:right="26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dispute. See "Risk Factors—Risks Associated with Our Construction—Development costs of Le Rêve are estimates only and actual development costs may be higher than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expect to solicit bids in late summer 2002 for the construction of the golf course and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AFFILIATE'S OPPORTUNITY IN MACAU</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Currently, Wynn Macau is an indirect, 90% 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 Wynn Resorts owns its interest in Wynn Macau through a line of subsidiaries that is separate from the subsidiaries of Wynn Resorts that own Le Rêve and, accordingly, Wynn Macau is not part of the restricted group. As a result, cash flow generated by the Macau casino(s) operated by Wynn Macau may not be available to service our indebtedness, including our obligations under the second mortgage notes, or support our operations, and the financing documents for the Macau opportunity may contain restrictions or prohibitions on the distribution to Wynn Resorts of any cash flow generated by the Macau casino(s).</w:t>
      </w:r>
    </w:p>
    <w:p>
      <w:pPr>
        <w:sectPr>
          <w:pgSz w:w="11900" w:h="16838" w:orient="portrait"/>
          <w:cols w:equalWidth="0" w:num="1">
            <w:col w:w="11400"/>
          </w:cols>
          <w:pgMar w:left="240" w:top="131" w:right="259" w:bottom="54" w:gutter="0" w:footer="0" w:header="0"/>
        </w:sectPr>
      </w:pPr>
    </w:p>
    <w:bookmarkStart w:id="62" w:name="page63"/>
    <w:bookmarkEnd w:id="62"/>
    <w:p>
      <w:pPr>
        <w:ind w:firstLine="348"/>
        <w:spacing w:after="0" w:line="254" w:lineRule="auto"/>
        <w:rPr>
          <w:sz w:val="20"/>
          <w:szCs w:val="20"/>
          <w:color w:val="auto"/>
        </w:rPr>
      </w:pPr>
      <w:r>
        <w:rPr>
          <w:rFonts w:ascii="Arial" w:cs="Arial" w:eastAsia="Arial" w:hAnsi="Arial"/>
          <w:sz w:val="18"/>
          <w:szCs w:val="18"/>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using the exchange rate as of August 11, 2002)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currency used in the concession agreement is the Macau pataca. We have converted all pataca references into U.S. dollars, using the exchange rate as of August 11, 2002. Although the Macau pataca is not a freely convertible currency, the Macau pataca and the Hong Kong dollar are linked to each other, and in many cases are used interchangeably in Macau. If Wynn Macau builds and/or operates one or more casinos in Macau, Wynn Reosrts will be subject to foreign exchange risk with respect to the foreign currency exchange rates between the Hong Kong dollar and the U.S. dollar. The exchange rate between the U.S. dollar and the Hong Kong dollar is linked and has remained relatively stable over the past several years.</w:t>
      </w:r>
    </w:p>
    <w:p>
      <w:pPr>
        <w:spacing w:after="0" w:line="170"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Macau peninsula, located in southeast China on the South China Sea, is approximately 37 miles southwest of Hong Kong. Macau was a colony of Portugal for almost 450 years. In December 1999, Portugal transferred administration of Macau to China, which reestablished the territory as a special administrative region. In the past, gaming in Macau had been administered as a government sanctioned monopoly concession held by Sociedade de Turismo e Diversoes de Macau, controlled by Mr. Stanley Ho. This gaming business in Macau is currently conducted through a different entity named Sociedade de Jogos de Macau which is controlled by Mr. Ho.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under the heading "Risk Factors—Risks Associated with Our Affiliate's Macau Opportunity," the development and completion of casino(s)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is subject to numerous conditions and risks, including the following:</w:t>
      </w:r>
    </w:p>
    <w:p>
      <w:pPr>
        <w:spacing w:after="0" w:line="23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acquiring the rights to use suitable parcels of land in satisfactory locations in Macau on which to build casino(s);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obtaining significant financing to develop and construct Macau casino(s);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attracting qualified management, key personnel and employees to operate the casino(s);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political, economic and social risks inherent in doing business in an emerging market such as China, including the risks related to Macau's untested gaming regulatory framework;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relief from the complementary income tax and the withholding tax on dividends imposed in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Wynn Macau may not proceed with the construction of casino(s) in Macau if, in the judgment of its management, such conditions and risks cannot be adequately resolved, or if these conditions and risks would adversely affect our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5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construct one or more casinos in Macau, Wynn Macau will have to acquire rights to land satisfactory for its project(s). The Macau Special Administrative Region owns most of the land in Macau and, in most cases, private interests in real property located in Macau are obtained only through leases and other grants of rights to use land from the government. The government of Macau has provisionally awarded Wynn Macau a concession to lease a parcel of land of approximately 14 acres located opposite the Hotel Lisboa (Macau's largest and most well-known hotel and casino) on which Wynn Macau intends to construct and operate a casino project. If Wynn Macau ultimately signs a land concession agreement formalizing this agreement in principle, the amount of the rent and other terms and conditions of the land concession will be fixed in that agreement. The term of the land concession would be 25 years, commencing on the date the concession contract is published in the Macau Official Gazette, and may be renewed at the option of Wynn Macau for successive periods terminating no later than December 19, 2049. In exchange for the land concession, Wynn Macau will be obligated to pay a premium of approximately 318 million patacas (currently approximately US $40 million). In addition, once the land concession is entered into, Wynn Macau would become obligated to pay the former concessionaire of a portion of that site approximately 160 million patacas (currently approximately US $20 million) for relinquishing that entity's rights to use its part of the land. Wynn Macau would be able to credit both this land concession premium and the payment to the former concessionaire toward its 4 billion pataca required investment in Macau.</w:t>
      </w:r>
    </w:p>
    <w:p>
      <w:pPr>
        <w:spacing w:after="0" w:line="17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Currently, Wynn Macau is in the preliminary stages of formulating its strategy for its Macau operations. Wynn Macau has not yet determined how many casinos it will build, the scope, design or the timing of any project, or whether it will begin construction and operations in separate phases at the first permanent Macau casino resort or open one or more temporary casinos in locations other than the permanant site. Moreover, Wynn Macau would need to obtain the necessary financing to fund the development, design and construction of such project or projects.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Holdings, Ltd., and debt financing at the Wynn Macau level. Wynn Macau has no commitments relating to such financing and we cannot assure you that Wynn Macau will be able to obtain such financing on acceptable terms or at all.</w:t>
      </w:r>
    </w:p>
    <w:p>
      <w:pPr>
        <w:sectPr>
          <w:pgSz w:w="11900" w:h="16838" w:orient="portrait"/>
          <w:cols w:equalWidth="0" w:num="1">
            <w:col w:w="11360"/>
          </w:cols>
          <w:pgMar w:left="240" w:top="131" w:right="299" w:bottom="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The concession agreement prohibits Wynn Macau from engaging in internet gaming and horse race or sports betting or offering games to the public on boats or aircraft, or in the form of a lottery.</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Wynn Macau must pay a fixed premium of 30 million patacas (currently approximately US $3.8 million) per year, and a variable premium based on the number of table games and machines Wynn Macau operates in Macau, with a set minimum of 45 million patacas (currently approximately US $5.6 million) per year (which is temporarily lowered if Wynn Macau operates a temporary casino before completion of its first permanent casino resort).</w:t>
      </w:r>
    </w:p>
    <w:p>
      <w:pPr>
        <w:spacing w:after="0" w:line="16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Wynn Macau must pay 35% of its gross gaming revenue to the government as a special gaming tax. In addition, the concession agreement obligates Wynn Macau to pay a total of 4.0% of its gross gaming revenue for the promotion of public interests, infrastructure and tourism.</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Macau generally imposes a complementary income tax at the rate of 15% on the profits realized from conducting business in Macau. In addition, Macau imposes a 15% withholding tax rate on dividends paid from Macau entities to their stockholders. Wynn Macau is seeking exemptions from the complementary income tax and the withholding tax on dividends throughout the term of the concession.</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 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74"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Stock Market's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by Wynn Resorts' principal stockholders, Mr. Wynn and Aruze USA, Inc.</w:t>
      </w:r>
    </w:p>
    <w:p>
      <w:pPr>
        <w:spacing w:after="0" w:line="172"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concession agreement provides that if a controlling stockholder of Wynn Macau receives written instructions to dispose of its shares by a gaming authority outside of Macau, and if the government of Macau finds that the disposition is not attributable to the actions of Wynn Macau, then that controlling stockholder will be permitted to transfer the shares that it</w:t>
      </w:r>
    </w:p>
    <w:p>
      <w:pPr>
        <w:sectPr>
          <w:pgSz w:w="11900" w:h="16838" w:orient="portrait"/>
          <w:cols w:equalWidth="0" w:num="1">
            <w:col w:w="11380"/>
          </w:cols>
          <w:pgMar w:left="240" w:top="125" w:right="279" w:bottom="317"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317" w:gutter="0" w:footer="0" w:header="0"/>
          <w:type w:val="continuous"/>
        </w:sectPr>
      </w:pPr>
    </w:p>
    <w:bookmarkStart w:id="64" w:name="page65"/>
    <w:bookmarkEnd w:id="64"/>
    <w:p>
      <w:pPr>
        <w:spacing w:after="0" w:line="268" w:lineRule="auto"/>
        <w:rPr>
          <w:sz w:val="20"/>
          <w:szCs w:val="20"/>
          <w:color w:val="auto"/>
        </w:rPr>
      </w:pPr>
      <w:r>
        <w:rPr>
          <w:rFonts w:ascii="Arial" w:cs="Arial" w:eastAsia="Arial" w:hAnsi="Arial"/>
          <w:sz w:val="18"/>
          <w:szCs w:val="18"/>
          <w:color w:val="auto"/>
        </w:rPr>
        <w:t>holds without seeking government approval. If the controlling stockholder desires to transfer its shares to a third party, the government of Macau must approve of the transferee.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From June 27, 2017 until the end of the term of the concession agreement, the government of Macau will have the right to redeem Wynn Macau's gaming concession and take title to all of its assets in Macau, including any hotel-casino-resort, with one year's prior notice. If the government so redeems the concession agreement prior to its expiration, Wynn Macau will be entitled to compensation for the resulting losses it incurs equal to the earnings from the redeemed hotel-casino-resort before interest, depreciation and amortization for the fiscal year immediately preceding the date the redemption is declared, multiplied by the number of years remaining on the term of the concession agreement. Under the concession agreement, the compensation to be provided by the Macau government is for a resort-hotel-casino complex under the investment plan. However, the concession agreement is unclear as to how the compensation provision will apply if there is more than one resort-hotel-casino built.</w:t>
      </w:r>
    </w:p>
    <w:p>
      <w:pPr>
        <w:spacing w:after="0" w:line="172"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At the end of the term of the concession agreement and any agreed upon extensions, the areas defined as casino under Macau law and all the gaming equipment owned by Wynn Macau, but not any hotel or resort assets (other than areas defined as casino under Macau law), will be automatically transferred to the government of Macau without compensation to Wynn Macau.</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The concession agreement also prohibits Wynn Macau from granting, without government approval, a sub-concession to conduct gaming in Macau.</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w:t>
      </w:r>
    </w:p>
    <w:p>
      <w:pPr>
        <w:spacing w:after="0" w:line="194" w:lineRule="exact"/>
        <w:rPr>
          <w:sz w:val="20"/>
          <w:szCs w:val="20"/>
          <w:color w:val="auto"/>
        </w:rPr>
      </w:pPr>
    </w:p>
    <w:p>
      <w:pPr>
        <w:jc w:val="both"/>
        <w:ind w:right="700" w:firstLine="348"/>
        <w:spacing w:after="0" w:line="306" w:lineRule="auto"/>
        <w:rPr>
          <w:sz w:val="20"/>
          <w:szCs w:val="20"/>
          <w:color w:val="auto"/>
        </w:rPr>
      </w:pPr>
      <w:r>
        <w:rPr>
          <w:rFonts w:ascii="Arial" w:cs="Arial" w:eastAsia="Arial" w:hAnsi="Arial"/>
          <w:sz w:val="16"/>
          <w:szCs w:val="16"/>
          <w:color w:val="auto"/>
        </w:rPr>
        <w:t>The government of Macau may unilaterally rescind the concession if Wynn Macau fails to fulfill its fundamental obligations under the concession agreement. If the government of Macau unilaterally rescinds the concession agreement, Wynn Macau will be required to compensate the government in accordance with applicable law, and its main casino(s) and gaming equipment will be transferred to the government without compensation.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Before Le Rêve opens, Wynn Las Vegas, as the owner, operator and manager of Le Rêve, will be required to seek approval from, and be licensed by, the Nevada Gaming Authorities as a limited liability company licensee, referred to as a company licensee. If we are granted a gaming license, we will have to pay</w:t>
      </w:r>
    </w:p>
    <w:p>
      <w:pPr>
        <w:sectPr>
          <w:pgSz w:w="11900" w:h="16838" w:orient="portrait"/>
          <w:cols w:equalWidth="0" w:num="1">
            <w:col w:w="11360"/>
          </w:cols>
          <w:pgMar w:left="240" w:top="131" w:right="299" w:bottom="0" w:gutter="0" w:footer="0" w:header="0"/>
        </w:sectPr>
      </w:pPr>
    </w:p>
    <w:bookmarkStart w:id="65" w:name="page66"/>
    <w:bookmarkEnd w:id="65"/>
    <w:p>
      <w:pPr>
        <w:ind w:right="140"/>
        <w:spacing w:after="0" w:line="268" w:lineRule="auto"/>
        <w:rPr>
          <w:sz w:val="20"/>
          <w:szCs w:val="20"/>
          <w:color w:val="auto"/>
        </w:rPr>
      </w:pPr>
      <w:r>
        <w:rPr>
          <w:rFonts w:ascii="Arial" w:cs="Arial" w:eastAsia="Arial" w:hAnsi="Arial"/>
          <w:sz w:val="18"/>
          <w:szCs w:val="18"/>
          <w:color w:val="auto"/>
        </w:rPr>
        <w:t>periodic fees and taxes. The gaming license will not be transferable. We cannot assure you that Wynn Las Vegas will be able to obtain approval and license from the Nevada Gaming Authorities on a timely basis or at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approvals from the Nevada Gaming Authorities will be obtained on a timely basis or at all.</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w:t>
      </w:r>
    </w:p>
    <w:p>
      <w:pPr>
        <w:spacing w:after="0" w:line="172"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Aruze USA, which, immediately before the closing of Wynn Resorts' common stock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ectPr>
          <w:pgSz w:w="11900" w:h="16838" w:orient="portrait"/>
          <w:cols w:equalWidth="0" w:num="1">
            <w:col w:w="11420"/>
          </w:cols>
          <w:pgMar w:left="240" w:top="131" w:right="239" w:bottom="0" w:gutter="0" w:footer="0" w:header="0"/>
        </w:sectPr>
      </w:pPr>
    </w:p>
    <w:bookmarkStart w:id="66" w:name="page67"/>
    <w:bookmarkEnd w:id="66"/>
    <w:p>
      <w:pPr>
        <w:ind w:right="40" w:firstLine="351"/>
        <w:spacing w:after="0" w:line="259" w:lineRule="auto"/>
        <w:rPr>
          <w:sz w:val="20"/>
          <w:szCs w:val="20"/>
          <w:color w:val="auto"/>
        </w:rPr>
      </w:pPr>
      <w:r>
        <w:rPr>
          <w:rFonts w:ascii="Arial" w:cs="Arial" w:eastAsia="Arial" w:hAnsi="Arial"/>
          <w:sz w:val="18"/>
          <w:szCs w:val="18"/>
          <w:color w:val="auto"/>
        </w:rPr>
        <w:t>In addition to Wynn Resorts' redemption rights under its articles of incorporation, Mr. Wynn, Kazuo Okada, Aruze USA, Aruze Corp. and Wynn Resorts have entered into arrangements which provide that if any gaming application of Aruze USA, Aruze Corp. or Kazuo Okada concerning Aruze USA's ownership of Wynn Resorts' stock is denied by Nevada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Transactions—Buy-Out of Aruze USA Stock."</w:t>
      </w:r>
    </w:p>
    <w:p>
      <w:pPr>
        <w:spacing w:after="0" w:line="170"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Resorts Holdings, Wynn Las Vegas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will include provisions intended to help it implement the above restrictions.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ectPr>
          <w:pgSz w:w="11900" w:h="16838" w:orient="portrait"/>
          <w:cols w:equalWidth="0" w:num="1">
            <w:col w:w="11420"/>
          </w:cols>
          <w:pgMar w:left="240" w:top="131" w:right="239" w:bottom="140" w:gutter="0" w:footer="0" w:header="0"/>
        </w:sectPr>
      </w:pPr>
    </w:p>
    <w:bookmarkStart w:id="67" w:name="page68"/>
    <w:bookmarkEnd w:id="67"/>
    <w:p>
      <w:pPr>
        <w:ind w:firstLine="341"/>
        <w:spacing w:after="0" w:line="294" w:lineRule="auto"/>
        <w:rPr>
          <w:sz w:val="20"/>
          <w:szCs w:val="20"/>
          <w:color w:val="auto"/>
        </w:rPr>
      </w:pPr>
      <w:r>
        <w:rPr>
          <w:rFonts w:ascii="Arial" w:cs="Arial" w:eastAsia="Arial" w:hAnsi="Arial"/>
          <w:sz w:val="16"/>
          <w:szCs w:val="16"/>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Nevada Gaming Commission may be guilty of a criminal offense. Wynn Resorts will be subject to disciplinary action if, after it receives notice that a person is unsuitable to hold an equity interest or to have any other relationship with, it:</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that person any dividend or interest upon any voting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Clark County Liquor and Gaming License Board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the Clark County Liquor and Gaming License Board has the authority to approve all persons owning or controlling the stock of any corporation controlling a gaming license.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may not make a public offering of their securities without the prior approval of the Nevada Gaming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9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Wynn Resorts and Wynn Las Vegas have filed a ruling request with the Nevada State Gaming Control Board Chairman for a ruling that it is not necessary to submit the offering of common stock by Wynn Resorts or this offering for prior approval. We cannot assure you that the ruling request will be granted or that it will be considered on a timely basis. If the ruling request is not granted, Wynn Resorts and Wynn Las Vegas will promptly file an application requesting approval of this offering and the offering of common stock. If the ruling request is not granted, this offering and the offering of common stock could be</w:t>
      </w:r>
    </w:p>
    <w:p>
      <w:pPr>
        <w:sectPr>
          <w:pgSz w:w="11900" w:h="16838" w:orient="portrait"/>
          <w:cols w:equalWidth="0" w:num="1">
            <w:col w:w="11420"/>
          </w:cols>
          <w:pgMar w:left="240" w:top="131" w:right="239" w:bottom="0" w:gutter="0" w:footer="0" w:header="0"/>
        </w:sectPr>
      </w:pPr>
    </w:p>
    <w:bookmarkStart w:id="68" w:name="page69"/>
    <w:bookmarkEnd w:id="68"/>
    <w:p>
      <w:pPr>
        <w:ind w:right="160"/>
        <w:spacing w:after="0" w:line="332" w:lineRule="auto"/>
        <w:rPr>
          <w:sz w:val="20"/>
          <w:szCs w:val="20"/>
          <w:color w:val="auto"/>
        </w:rPr>
      </w:pPr>
      <w:r>
        <w:rPr>
          <w:rFonts w:ascii="Arial" w:cs="Arial" w:eastAsia="Arial" w:hAnsi="Arial"/>
          <w:sz w:val="16"/>
          <w:szCs w:val="16"/>
          <w:color w:val="auto"/>
        </w:rPr>
        <w:t>significantly delayed while we seek approval of the Nevada State Gaming Control Board and Nevada Gaming Commission. We cannot assure you that approval of this offering or the offering of common stock, if required, will be granted or if granted, will be granted on a timely basis.</w:t>
      </w:r>
    </w:p>
    <w:p>
      <w:pPr>
        <w:spacing w:after="0" w:line="139"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pledge of the equity interests in Wynn Resorts Holdings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Resorts Holdings,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them.</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licensed subsidiaries respective operations are conducted. Depending upon the particular fee or tax involved, these fees and taxes are payable either monthly, quarterly or annually and are based upon either:</w:t>
      </w:r>
    </w:p>
    <w:p>
      <w:pPr>
        <w:spacing w:after="0" w:line="19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ectPr>
          <w:pgSz w:w="11900" w:h="16838" w:orient="portrait"/>
          <w:cols w:equalWidth="0" w:num="1">
            <w:col w:w="11420"/>
          </w:cols>
          <w:pgMar w:left="240" w:top="131" w:right="239" w:bottom="0" w:gutter="0" w:footer="0" w:header="0"/>
        </w:sectPr>
      </w:pPr>
    </w:p>
    <w:bookmarkStart w:id="69" w:name="page70"/>
    <w:bookmarkEnd w:id="69"/>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discredit or disrepute upon the State of Nevada or gaming in Nevada, or is contrary to the gaming policies of Nevada;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Sale of Alcoholic Beverages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sale of alcoholic beverages at Le Rêve will be subject to licensing, control and regulation by the Clark County Liquor and Gaming Licensing Board.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Wynn Group Nevada, LLC is the sole member of Wynn Resorts Holdings. Valvino is the sole member of Wynn Resorts Holdings.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 Upon consummation of this offering, Wynn Resorts' directors and executive officers and their ages and positions will be as follows:</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Chairman of the Board of Directors and Chief Executive</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2"/>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-2275205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-2275205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-2275205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-2275205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-2275205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-2275205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45" w:right="279" w:bottom="173" w:gutter="0" w:footer="0" w:header="0"/>
        </w:sectPr>
      </w:pPr>
    </w:p>
    <w:bookmarkStart w:id="70" w:name="page71"/>
    <w:bookmarkEnd w:id="70"/>
    <w:p>
      <w:pPr>
        <w:ind w:left="360"/>
        <w:spacing w:after="0"/>
        <w:rPr>
          <w:sz w:val="20"/>
          <w:szCs w:val="20"/>
          <w:color w:val="auto"/>
        </w:rPr>
      </w:pPr>
      <w:r>
        <w:rPr>
          <w:rFonts w:ascii="Arial" w:cs="Arial" w:eastAsia="Arial" w:hAnsi="Arial"/>
          <w:sz w:val="16"/>
          <w:szCs w:val="16"/>
          <w:i w:val="1"/>
          <w:iCs w:val="1"/>
          <w:color w:val="auto"/>
        </w:rPr>
        <w:t xml:space="preserve">Stephen A. Wynn </w:t>
      </w:r>
      <w:r>
        <w:rPr>
          <w:rFonts w:ascii="Arial" w:cs="Arial" w:eastAsia="Arial" w:hAnsi="Arial"/>
          <w:sz w:val="16"/>
          <w:szCs w:val="16"/>
          <w:color w:val="auto"/>
        </w:rPr>
        <w:t>has served as Chairman of the board of directors and Chief Executive Officer of Wynn Resorts since June 2002. Since April 2000,</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Wynn has been 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the board of directors of Wynn Resorts. Mr. Okada founded Aruze Corp., a Japanese manufacturer of</w:t>
      </w:r>
      <w:r>
        <w:rPr>
          <w:rFonts w:ascii="Arial" w:cs="Arial" w:eastAsia="Arial" w:hAnsi="Arial"/>
          <w:sz w:val="16"/>
          <w:szCs w:val="16"/>
          <w:i w:val="1"/>
          <w:iCs w:val="1"/>
          <w:color w:val="auto"/>
        </w:rPr>
        <w:t xml:space="preserve"> </w:t>
      </w:r>
      <w:r>
        <w:rPr>
          <w:rFonts w:ascii="Arial" w:cs="Arial" w:eastAsia="Arial" w:hAnsi="Arial"/>
          <w:sz w:val="16"/>
          <w:szCs w:val="16"/>
          <w:color w:val="auto"/>
        </w:rPr>
        <w:t>pachislot 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agreed to serve as President and as a director of Wynn Resorts. Mr. Kramer has served as President of Wynn Resorts Holdings, the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 parent entity of Wynn Las Vegas and a wholly owned indirect subsidiary of Wynn Resorts, since April 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42" w:lineRule="exact"/>
        <w:rPr>
          <w:sz w:val="20"/>
          <w:szCs w:val="20"/>
          <w:color w:val="auto"/>
        </w:rPr>
      </w:pPr>
    </w:p>
    <w:p>
      <w:pPr>
        <w:ind w:right="280" w:firstLine="351"/>
        <w:spacing w:after="0" w:line="318" w:lineRule="auto"/>
        <w:rPr>
          <w:sz w:val="20"/>
          <w:szCs w:val="20"/>
          <w:color w:val="auto"/>
        </w:rPr>
      </w:pPr>
      <w:r>
        <w:rPr>
          <w:rFonts w:ascii="Arial" w:cs="Arial" w:eastAsia="Arial" w:hAnsi="Arial"/>
          <w:sz w:val="15"/>
          <w:szCs w:val="15"/>
          <w:i w:val="1"/>
          <w:iCs w:val="1"/>
          <w:color w:val="auto"/>
        </w:rPr>
        <w:t xml:space="preserve">Robert J. Miller </w:t>
      </w:r>
      <w:r>
        <w:rPr>
          <w:rFonts w:ascii="Arial" w:cs="Arial" w:eastAsia="Arial" w:hAnsi="Arial"/>
          <w:sz w:val="15"/>
          <w:szCs w:val="15"/>
          <w:color w:val="auto"/>
        </w:rPr>
        <w:t>has agreed to serve as a director of Wynn Resorts. Robert J. Miller has been a partner of the Nevada law firm of Jones Vargas since</w:t>
      </w:r>
      <w:r>
        <w:rPr>
          <w:rFonts w:ascii="Arial" w:cs="Arial" w:eastAsia="Arial" w:hAnsi="Arial"/>
          <w:sz w:val="15"/>
          <w:szCs w:val="15"/>
          <w:i w:val="1"/>
          <w:iCs w:val="1"/>
          <w:color w:val="auto"/>
        </w:rPr>
        <w:t xml:space="preserve"> </w:t>
      </w:r>
      <w:r>
        <w:rPr>
          <w:rFonts w:ascii="Arial" w:cs="Arial" w:eastAsia="Arial" w:hAnsi="Arial"/>
          <w:sz w:val="15"/>
          <w:szCs w:val="15"/>
          <w:color w:val="auto"/>
        </w:rPr>
        <w:t>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5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agreed to serve as a director of Wynn Resorts. Mr. Moran is the retired Chairman of Dyson-Kissner-Moran Corporation,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of Wynn Resorts.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agreed to serve as a director of Wynn Resorts.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agreed to serve as a director of Wynn Resorts. Mr. Zeman has served as chairman of Lan Kwai Fong Holdings Limited, a company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of Wynn Resorts. Since April 2001, Mr. Schorr has served as Chief Operating Officer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From 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John Strzemp </w:t>
      </w:r>
      <w:r>
        <w:rPr>
          <w:rFonts w:ascii="Arial" w:cs="Arial" w:eastAsia="Arial" w:hAnsi="Arial"/>
          <w:sz w:val="16"/>
          <w:szCs w:val="16"/>
          <w:color w:val="auto"/>
        </w:rPr>
        <w:t>serves as Executive Vice President and Chief Financial Officer of Wynn Resorts. Since November 2001, Mr. Strzemp has served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 and General Counsel of Wynn Resorts. Since April 2001, Mr. Rubinstein has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President—General 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of Wynn Resorts. Mr. Maddox has served as Vice President—Investor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subsidiary of Valvino, since June 2000. From 1973 until</w:t>
      </w:r>
      <w:r>
        <w:rPr>
          <w:rFonts w:ascii="Arial" w:cs="Arial" w:eastAsia="Arial" w:hAnsi="Arial"/>
          <w:sz w:val="16"/>
          <w:szCs w:val="16"/>
          <w:i w:val="1"/>
          <w:iCs w:val="1"/>
          <w:color w:val="auto"/>
        </w:rPr>
        <w:t xml:space="preserve"> </w:t>
      </w:r>
      <w:r>
        <w:rPr>
          <w:rFonts w:ascii="Arial" w:cs="Arial" w:eastAsia="Arial" w:hAnsi="Arial"/>
          <w:sz w:val="16"/>
          <w:szCs w:val="16"/>
          <w:color w:val="auto"/>
        </w:rPr>
        <w:t>2000, he served as Vice President—Design and Construction and Secretary of Mirage Resorts, except for the periods August 1993 through July 1994 and</w:t>
      </w:r>
    </w:p>
    <w:p>
      <w:pPr>
        <w:sectPr>
          <w:pgSz w:w="11900" w:h="16838" w:orient="portrait"/>
          <w:cols w:equalWidth="0" w:num="1">
            <w:col w:w="11400"/>
          </w:cols>
          <w:pgMar w:left="240" w:top="131" w:right="259" w:bottom="0" w:gutter="0" w:footer="0" w:header="0"/>
        </w:sectPr>
      </w:pPr>
    </w:p>
    <w:bookmarkStart w:id="71" w:name="page72"/>
    <w:bookmarkEnd w:id="71"/>
    <w:p>
      <w:pPr>
        <w:ind w:right="320"/>
        <w:spacing w:after="0" w:line="332" w:lineRule="auto"/>
        <w:rPr>
          <w:sz w:val="20"/>
          <w:szCs w:val="20"/>
          <w:color w:val="auto"/>
        </w:rPr>
      </w:pPr>
      <w:r>
        <w:rPr>
          <w:rFonts w:ascii="Arial" w:cs="Arial" w:eastAsia="Arial" w:hAnsi="Arial"/>
          <w:sz w:val="16"/>
          <w:szCs w:val="16"/>
          <w:color w:val="auto"/>
        </w:rPr>
        <w:t>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70"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Wynn Resorts' articles of incorporation and bylaws will, upon the completion of this offering, provide for a classified board of directors consisting of three classes of directors, each serving staggered three-year terms. As a result, a portion of Wynn Resorts' board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directors will be elected each year. To implement the classified board of directors structure, prior to the completion of Wynn Resorts' common stock offering, two of the members of the board of directors will be Class I directors elected to one-year terms, two will be Class II directors elected to two-year terms and three will be Class III directors elected to three-year terms. Thereafter, directors will be elected for three-year terms. Upon the completion of Wynn Resorts' common stock offering, Class I will consist of and ; Class II will consist of and ; and Class III will consist of , and .</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Upon completion of Wynn Resorts' common stock offering, the board of directors of Wynn Resorts intends to appoint an executive committee, an audit committee and a compensation committee. The executive committee will have all of the powers and authority of the board of directors in managing our business and affairs to the fullest extent authorized by Nevada law.</w:t>
      </w:r>
    </w:p>
    <w:p>
      <w:pPr>
        <w:spacing w:after="0" w:line="194"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Resorts' Annual Reports on Form 10-K to be filed with the Securities and Exchange Commission. The composition of the audit committee will comply with the requirements of The Nasdaq National Market and the Sarbanes-Oxley Act of 2002.</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of Wynn Resorts regarding the (1) annual salaries and other compensation of its officers, and (2) individual stock ans stock option grants. The compensation committee also will provide assistance and recommendations with respect to its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noted above, the board of directors of Wynn Resorts will appoint a compensation committee upon completion of this offering. We do not expect that any of Wynn Resorts' executive officers will serve as a director or member of the compensation committee of another entity, one of whose executive officers serves on Wynn Resorts'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this offering, each of the directors of Wynn Resorts who is not an employee of Wynn Resorts or its subsidiaries will receive a monthly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fee of $4,000 for services as a director. Directors who serve on the executive, audit and compensation committees will receive an additional monthly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Directors will also receive reimbursement for medical expenses and coverage under our life insurance program. Directors who are employees of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Resorts or its subsidiaries will not receive compensation for their services as directors.</w:t>
      </w:r>
    </w:p>
    <w:p>
      <w:pPr>
        <w:spacing w:after="0" w:line="219"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Each non-employee director will receive stock options each year under Wynn Resorts' 2002 stock incentive plan. The stock options will have an exercise price equal to the market value of Wynn Resorts' common stock on the date of grant and will vest over a period defined in the option agreement.</w:t>
      </w:r>
    </w:p>
    <w:p>
      <w:pPr>
        <w:spacing w:after="0" w:line="13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Non-employee directors will also be eligible to participate in Wynn Resorts' Directors' Deferred Compensation Plan, a non-qualified, unfunded deferred compensation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sets forth the annual and long-term compensation of Wynn Resorts' Chief Executive Officer.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4"/>
          </w:tcPr>
          <w:p>
            <w:pPr>
              <w:ind w:left="420"/>
              <w:spacing w:after="0"/>
              <w:rPr>
                <w:sz w:val="20"/>
                <w:szCs w:val="20"/>
                <w:color w:val="auto"/>
              </w:rPr>
            </w:pPr>
            <w:r>
              <w:rPr>
                <w:rFonts w:ascii="Arial" w:cs="Arial" w:eastAsia="Arial" w:hAnsi="Arial"/>
                <w:sz w:val="14"/>
                <w:szCs w:val="14"/>
                <w:b w:val="1"/>
                <w:bCs w:val="1"/>
                <w:color w:val="auto"/>
              </w:rPr>
              <w:t>Annual Compensation</w:t>
            </w:r>
          </w:p>
        </w:tc>
        <w:tc>
          <w:tcPr>
            <w:tcW w:w="1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Bonus($)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Stephen A. Wynn(2)(3)</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ind w:left="1020"/>
              <w:spacing w:after="0" w:line="138" w:lineRule="exact"/>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ind w:left="1760"/>
              <w:spacing w:after="0" w:line="138" w:lineRule="exact"/>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Chairman and Chief Executive Officer of Wynn Resorts Holdings</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360" w:type="dxa"/>
            <w:vAlign w:val="bottom"/>
            <w:gridSpan w:val="2"/>
            <w:shd w:val="clear" w:color="auto" w:fill="CCEEFF"/>
          </w:tcPr>
          <w:p>
            <w:pPr>
              <w:ind w:left="1020"/>
              <w:spacing w:after="0" w:line="159" w:lineRule="exact"/>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ind w:left="1760"/>
              <w:spacing w:after="0" w:line="159"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-561340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-561340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-269240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-269240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-269240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-269240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-269240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-269240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-269240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-269240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-269240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-269240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Marc D. Schorr(3)(4)</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2001</w:t>
            </w:r>
          </w:p>
        </w:tc>
        <w:tc>
          <w:tcPr>
            <w:tcW w:w="50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50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9"/>
        </w:trPr>
        <w:tc>
          <w:tcPr>
            <w:tcW w:w="5340" w:type="dxa"/>
            <w:vAlign w:val="bottom"/>
            <w:gridSpan w:val="2"/>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13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2000</w:t>
            </w:r>
          </w:p>
        </w:tc>
        <w:tc>
          <w:tcPr>
            <w:tcW w:w="50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1.00</w:t>
            </w:r>
          </w:p>
        </w:tc>
        <w:tc>
          <w:tcPr>
            <w:tcW w:w="500" w:type="dxa"/>
            <w:vAlign w:val="bottom"/>
          </w:tcPr>
          <w:p>
            <w:pPr>
              <w:spacing w:after="0"/>
              <w:rPr>
                <w:sz w:val="13"/>
                <w:szCs w:val="13"/>
                <w:color w:val="auto"/>
              </w:rPr>
            </w:pPr>
          </w:p>
        </w:tc>
        <w:tc>
          <w:tcPr>
            <w:tcW w:w="8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Kenneth R. Wynn(3)(5)</w:t>
            </w:r>
          </w:p>
        </w:tc>
        <w:tc>
          <w:tcPr>
            <w:tcW w:w="13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2001</w:t>
            </w:r>
          </w:p>
        </w:tc>
        <w:tc>
          <w:tcPr>
            <w:tcW w:w="50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r>
      <w:tr>
        <w:trPr>
          <w:trHeight w:val="159"/>
        </w:trPr>
        <w:tc>
          <w:tcPr>
            <w:tcW w:w="5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13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r>
      <w:tr>
        <w:trPr>
          <w:trHeight w:val="138"/>
        </w:trPr>
        <w:tc>
          <w:tcPr>
            <w:tcW w:w="5340" w:type="dxa"/>
            <w:vAlign w:val="bottom"/>
            <w:gridSpan w:val="2"/>
          </w:tcPr>
          <w:p>
            <w:pPr>
              <w:spacing w:after="0" w:line="138" w:lineRule="exact"/>
              <w:rPr>
                <w:sz w:val="20"/>
                <w:szCs w:val="20"/>
                <w:color w:val="auto"/>
              </w:rPr>
            </w:pPr>
            <w:r>
              <w:rPr>
                <w:rFonts w:ascii="Arial" w:cs="Arial" w:eastAsia="Arial" w:hAnsi="Arial"/>
                <w:sz w:val="14"/>
                <w:szCs w:val="14"/>
                <w:color w:val="auto"/>
              </w:rPr>
              <w:t>John Strzemp(6)</w:t>
            </w:r>
          </w:p>
        </w:tc>
        <w:tc>
          <w:tcPr>
            <w:tcW w:w="13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2001</w:t>
            </w:r>
          </w:p>
        </w:tc>
        <w:tc>
          <w:tcPr>
            <w:tcW w:w="50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450,000</w:t>
            </w:r>
          </w:p>
        </w:tc>
        <w:tc>
          <w:tcPr>
            <w:tcW w:w="50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300,530</w:t>
            </w:r>
          </w:p>
        </w:tc>
        <w:tc>
          <w:tcPr>
            <w:tcW w:w="900" w:type="dxa"/>
            <w:vAlign w:val="bottom"/>
          </w:tcPr>
          <w:p>
            <w:pPr>
              <w:jc w:val="right"/>
              <w:ind w:right="652"/>
              <w:spacing w:after="0" w:line="138"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38" w:lineRule="exact"/>
              <w:rPr>
                <w:sz w:val="20"/>
                <w:szCs w:val="20"/>
                <w:color w:val="auto"/>
              </w:rPr>
            </w:pPr>
            <w:r>
              <w:rPr>
                <w:rFonts w:ascii="Arial" w:cs="Arial" w:eastAsia="Arial" w:hAnsi="Arial"/>
                <w:sz w:val="14"/>
                <w:szCs w:val="14"/>
                <w:color w:val="auto"/>
              </w:rPr>
              <w:t>14,963</w:t>
            </w:r>
          </w:p>
        </w:tc>
      </w:tr>
      <w:tr>
        <w:trPr>
          <w:trHeight w:val="159"/>
        </w:trPr>
        <w:tc>
          <w:tcPr>
            <w:tcW w:w="5340" w:type="dxa"/>
            <w:vAlign w:val="bottom"/>
            <w:gridSpan w:val="2"/>
          </w:tcPr>
          <w:p>
            <w:pPr>
              <w:spacing w:after="0" w:line="159" w:lineRule="exact"/>
              <w:rPr>
                <w:sz w:val="20"/>
                <w:szCs w:val="20"/>
                <w:color w:val="auto"/>
              </w:rPr>
            </w:pPr>
            <w:r>
              <w:rPr>
                <w:rFonts w:ascii="Arial" w:cs="Arial" w:eastAsia="Arial" w:hAnsi="Arial"/>
                <w:sz w:val="14"/>
                <w:szCs w:val="14"/>
                <w:color w:val="auto"/>
              </w:rPr>
              <w:t>Executive Vice President and Chief Financial Officer of Wynn Resorts Holdings</w:t>
            </w:r>
          </w:p>
        </w:tc>
        <w:tc>
          <w:tcPr>
            <w:tcW w:w="13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2000</w:t>
            </w:r>
          </w:p>
        </w:tc>
        <w:tc>
          <w:tcPr>
            <w:tcW w:w="50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59" w:lineRule="exact"/>
              <w:rPr>
                <w:sz w:val="20"/>
                <w:szCs w:val="20"/>
                <w:color w:val="auto"/>
              </w:rPr>
            </w:pPr>
            <w:r>
              <w:rPr>
                <w:rFonts w:ascii="Arial" w:cs="Arial" w:eastAsia="Arial" w:hAnsi="Arial"/>
                <w:sz w:val="14"/>
                <w:szCs w:val="14"/>
                <w:color w:val="auto"/>
              </w:rPr>
              <w:t>65,769</w:t>
            </w:r>
          </w:p>
        </w:tc>
        <w:tc>
          <w:tcPr>
            <w:tcW w:w="50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150,000</w:t>
            </w:r>
          </w:p>
        </w:tc>
        <w:tc>
          <w:tcPr>
            <w:tcW w:w="900" w:type="dxa"/>
            <w:vAlign w:val="bottom"/>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1,648</w:t>
            </w:r>
          </w:p>
        </w:tc>
      </w:tr>
      <w:tr>
        <w:trPr>
          <w:trHeight w:val="138"/>
        </w:trPr>
        <w:tc>
          <w:tcPr>
            <w:tcW w:w="5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DeRuyter O. Butler(7)</w:t>
            </w:r>
          </w:p>
        </w:tc>
        <w:tc>
          <w:tcPr>
            <w:tcW w:w="13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2001</w:t>
            </w:r>
          </w:p>
        </w:tc>
        <w:tc>
          <w:tcPr>
            <w:tcW w:w="50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350,000</w:t>
            </w: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52"/>
              <w:spacing w:after="0" w:line="138"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4,596</w:t>
            </w:r>
          </w:p>
        </w:tc>
      </w:tr>
      <w:tr>
        <w:trPr>
          <w:trHeight w:val="159"/>
        </w:trPr>
        <w:tc>
          <w:tcPr>
            <w:tcW w:w="5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Executive Vice President—Architecture of Wynn Design &amp; Development</w:t>
            </w:r>
          </w:p>
        </w:tc>
        <w:tc>
          <w:tcPr>
            <w:tcW w:w="13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2000</w:t>
            </w:r>
          </w:p>
        </w:tc>
        <w:tc>
          <w:tcPr>
            <w:tcW w:w="5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197,885</w:t>
            </w:r>
          </w:p>
        </w:tc>
        <w:tc>
          <w:tcPr>
            <w:tcW w:w="5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35,000</w:t>
            </w:r>
          </w:p>
        </w:tc>
        <w:tc>
          <w:tcPr>
            <w:tcW w:w="900" w:type="dxa"/>
            <w:vAlign w:val="bottom"/>
            <w:shd w:val="clear" w:color="auto" w:fill="CCEEFF"/>
          </w:tcPr>
          <w:p>
            <w:pPr>
              <w:jc w:val="right"/>
              <w:ind w:right="652"/>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r>
      <w:tr>
        <w:trPr>
          <w:trHeight w:val="138"/>
        </w:trPr>
        <w:tc>
          <w:tcPr>
            <w:tcW w:w="5340" w:type="dxa"/>
            <w:vAlign w:val="bottom"/>
            <w:gridSpan w:val="2"/>
          </w:tcPr>
          <w:p>
            <w:pPr>
              <w:spacing w:after="0" w:line="138" w:lineRule="exact"/>
              <w:rPr>
                <w:sz w:val="20"/>
                <w:szCs w:val="20"/>
                <w:color w:val="auto"/>
              </w:rPr>
            </w:pPr>
            <w:r>
              <w:rPr>
                <w:rFonts w:ascii="Arial" w:cs="Arial" w:eastAsia="Arial" w:hAnsi="Arial"/>
                <w:sz w:val="14"/>
                <w:szCs w:val="14"/>
                <w:color w:val="auto"/>
              </w:rPr>
              <w:t>Marc H. Rubinstein(8)</w:t>
            </w:r>
          </w:p>
        </w:tc>
        <w:tc>
          <w:tcPr>
            <w:tcW w:w="13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2001</w:t>
            </w:r>
          </w:p>
        </w:tc>
        <w:tc>
          <w:tcPr>
            <w:tcW w:w="50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286,279</w:t>
            </w:r>
          </w:p>
        </w:tc>
        <w:tc>
          <w:tcPr>
            <w:tcW w:w="500" w:type="dxa"/>
            <w:vAlign w:val="bottom"/>
          </w:tcPr>
          <w:p>
            <w:pPr>
              <w:spacing w:after="0"/>
              <w:rPr>
                <w:sz w:val="11"/>
                <w:szCs w:val="11"/>
                <w:color w:val="auto"/>
              </w:rPr>
            </w:pPr>
          </w:p>
        </w:tc>
        <w:tc>
          <w:tcPr>
            <w:tcW w:w="860" w:type="dxa"/>
            <w:vAlign w:val="bottom"/>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52"/>
              <w:spacing w:after="0" w:line="138"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38" w:lineRule="exact"/>
              <w:rPr>
                <w:sz w:val="20"/>
                <w:szCs w:val="20"/>
                <w:color w:val="auto"/>
              </w:rPr>
            </w:pPr>
            <w:r>
              <w:rPr>
                <w:rFonts w:ascii="Arial" w:cs="Arial" w:eastAsia="Arial" w:hAnsi="Arial"/>
                <w:sz w:val="14"/>
                <w:szCs w:val="14"/>
                <w:color w:val="auto"/>
              </w:rPr>
              <w:t>11,847</w:t>
            </w:r>
          </w:p>
        </w:tc>
      </w:tr>
      <w:tr>
        <w:trPr>
          <w:trHeight w:val="172"/>
        </w:trPr>
        <w:tc>
          <w:tcPr>
            <w:tcW w:w="5340" w:type="dxa"/>
            <w:vAlign w:val="bottom"/>
            <w:gridSpan w:val="2"/>
          </w:tcPr>
          <w:p>
            <w:pPr>
              <w:spacing w:after="0"/>
              <w:rPr>
                <w:sz w:val="20"/>
                <w:szCs w:val="20"/>
                <w:color w:val="auto"/>
              </w:rPr>
            </w:pPr>
            <w:r>
              <w:rPr>
                <w:rFonts w:ascii="Arial" w:cs="Arial" w:eastAsia="Arial" w:hAnsi="Arial"/>
                <w:sz w:val="14"/>
                <w:szCs w:val="14"/>
                <w:color w:val="auto"/>
              </w:rPr>
              <w:t>Senior Vice President and General Counsel of Wynn Resorts Holdings</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50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113,708</w:t>
            </w:r>
          </w:p>
        </w:tc>
        <w:tc>
          <w:tcPr>
            <w:tcW w:w="50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12,500</w:t>
            </w:r>
          </w:p>
        </w:tc>
        <w:tc>
          <w:tcPr>
            <w:tcW w:w="90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11,883</w:t>
            </w:r>
          </w:p>
        </w:tc>
      </w:tr>
      <w:tr>
        <w:trPr>
          <w:trHeight w:val="105"/>
        </w:trPr>
        <w:tc>
          <w:tcPr>
            <w:tcW w:w="680" w:type="dxa"/>
            <w:vAlign w:val="bottom"/>
            <w:tcBorders>
              <w:bottom w:val="single" w:sz="8" w:color="808080"/>
            </w:tcBorders>
          </w:tcPr>
          <w:p>
            <w:pPr>
              <w:spacing w:after="0"/>
              <w:rPr>
                <w:sz w:val="9"/>
                <w:szCs w:val="9"/>
                <w:color w:val="auto"/>
              </w:rPr>
            </w:pPr>
          </w:p>
        </w:tc>
        <w:tc>
          <w:tcPr>
            <w:tcW w:w="4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91"/>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91"/>
        </w:numPr>
        <w:rPr>
          <w:rFonts w:ascii="Arial" w:cs="Arial" w:eastAsia="Arial" w:hAnsi="Arial"/>
          <w:sz w:val="10"/>
          <w:szCs w:val="10"/>
          <w:color w:val="auto"/>
          <w:vertAlign w:val="subscript"/>
        </w:rPr>
      </w:pPr>
      <w:r>
        <w:rPr>
          <w:rFonts w:ascii="Arial" w:cs="Arial" w:eastAsia="Arial" w:hAnsi="Arial"/>
          <w:sz w:val="8"/>
          <w:szCs w:val="8"/>
          <w:color w:val="auto"/>
        </w:rPr>
        <w:t>Stephen A. Wynn's employment with Valvino commenced on June 1, 2000.</w:t>
      </w:r>
    </w:p>
    <w:p>
      <w:pPr>
        <w:ind w:left="540" w:right="100" w:hanging="532"/>
        <w:spacing w:after="0" w:line="181" w:lineRule="auto"/>
        <w:tabs>
          <w:tab w:leader="none" w:pos="540" w:val="left"/>
        </w:tabs>
        <w:numPr>
          <w:ilvl w:val="0"/>
          <w:numId w:val="91"/>
        </w:numPr>
        <w:rPr>
          <w:rFonts w:ascii="Arial" w:cs="Arial" w:eastAsia="Arial" w:hAnsi="Arial"/>
          <w:sz w:val="18"/>
          <w:szCs w:val="18"/>
          <w:color w:val="auto"/>
          <w:vertAlign w:val="subscript"/>
        </w:rPr>
      </w:pPr>
      <w:r>
        <w:rPr>
          <w:rFonts w:ascii="Arial" w:cs="Arial" w:eastAsia="Arial" w:hAnsi="Arial"/>
          <w:sz w:val="10"/>
          <w:szCs w:val="10"/>
          <w:color w:val="auto"/>
        </w:rPr>
        <w:t>Stephen A. Wynn, Marc D. Schorr and Kenneth R. Wynn may each have received perquisites and other personal benefits in an aggregate amount in excess of 10% of his annual salary and bonus of $0 or $1.00, as applicable. Any amount that any of them may have received was not material.</w:t>
      </w:r>
    </w:p>
    <w:p>
      <w:pPr>
        <w:ind w:left="540" w:hanging="532"/>
        <w:spacing w:after="0" w:line="187" w:lineRule="auto"/>
        <w:tabs>
          <w:tab w:leader="none" w:pos="540" w:val="left"/>
        </w:tabs>
        <w:numPr>
          <w:ilvl w:val="0"/>
          <w:numId w:val="91"/>
        </w:numPr>
        <w:rPr>
          <w:rFonts w:ascii="Arial" w:cs="Arial" w:eastAsia="Arial" w:hAnsi="Arial"/>
          <w:sz w:val="12"/>
          <w:szCs w:val="12"/>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91"/>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97" w:lineRule="auto"/>
        <w:tabs>
          <w:tab w:leader="none" w:pos="540" w:val="left"/>
        </w:tabs>
        <w:numPr>
          <w:ilvl w:val="0"/>
          <w:numId w:val="91"/>
        </w:numPr>
        <w:rPr>
          <w:rFonts w:ascii="Arial" w:cs="Arial" w:eastAsia="Arial" w:hAnsi="Arial"/>
          <w:sz w:val="10"/>
          <w:szCs w:val="10"/>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87" w:lineRule="auto"/>
        <w:tabs>
          <w:tab w:leader="none" w:pos="540" w:val="left"/>
        </w:tabs>
        <w:numPr>
          <w:ilvl w:val="0"/>
          <w:numId w:val="91"/>
        </w:numPr>
        <w:rPr>
          <w:rFonts w:ascii="Arial" w:cs="Arial" w:eastAsia="Arial" w:hAnsi="Arial"/>
          <w:sz w:val="12"/>
          <w:szCs w:val="12"/>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91"/>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Wynn Resorts intends to adopt its 2002 stock incentive plan before the closing of this offering. The 2002 stock incentive plan provides for the grant of stock awards, incentive stock options and non-qualified stock options to our employees, directors and specified consultants.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Wynn Resorts intends to reserve a total of 8,600,000 shares of Wynn Resorts' common stock for issuance pursuant to the 2002 stock incentive plan, subject to certain adjustments set forth in the 2002 stock incentive plan.</w:t>
      </w:r>
    </w:p>
    <w:p>
      <w:pPr>
        <w:spacing w:after="0" w:line="186"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exercise price of incentive stock options must be at least 100% of the fair market value of the common stock on the date of grant. Incentive stock options granted to optionees who own more than 10% of Wynn Resorts' outstanding common stock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 (1) pursuant to a qualified domestic relations order or (2) to a family member. During any fiscal year, no optionee may receive grants of incentive stock options and non-qualified stock options in the aggregate which cover more</w:t>
      </w:r>
    </w:p>
    <w:p>
      <w:pPr>
        <w:spacing w:after="0"/>
        <w:tabs>
          <w:tab w:leader="none" w:pos="82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shares.</w:t>
      </w:r>
    </w:p>
    <w:p>
      <w:pPr>
        <w:spacing w:after="0" w:line="219"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If termination is for cause, all options, including vested and exercisable ones, are immediately terminated and cancelled.</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If certain events occur that result in a change of Wynn Resorts'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Following the completion of this offering and the offering of Wynn Resorts' common stock, Wynn Resorts intends to grant awards of shares of restricted stock under its 2002 stock incentive plan to each of the following employees: DeRuyter O. Butler, William Todd Nisbet, Marc D. Schorr, John</w:t>
      </w:r>
    </w:p>
    <w:p>
      <w:pPr>
        <w:spacing w:after="0"/>
        <w:tabs>
          <w:tab w:leader="none" w:pos="8020" w:val="left"/>
        </w:tabs>
        <w:rPr>
          <w:sz w:val="20"/>
          <w:szCs w:val="20"/>
          <w:color w:val="auto"/>
        </w:rPr>
      </w:pPr>
      <w:r>
        <w:rPr>
          <w:rFonts w:ascii="Arial" w:cs="Arial" w:eastAsia="Arial" w:hAnsi="Arial"/>
          <w:sz w:val="18"/>
          <w:szCs w:val="18"/>
          <w:color w:val="auto"/>
        </w:rPr>
        <w:t>Strzemp, Roger P. Thomas and Kenneth R. Wynn. Wynn Resorts also intends to grant an award of</w:t>
      </w:r>
      <w:r>
        <w:rPr>
          <w:sz w:val="20"/>
          <w:szCs w:val="20"/>
          <w:color w:val="auto"/>
        </w:rPr>
        <w:tab/>
      </w:r>
      <w:r>
        <w:rPr>
          <w:rFonts w:ascii="Arial" w:cs="Arial" w:eastAsia="Arial" w:hAnsi="Arial"/>
          <w:sz w:val="15"/>
          <w:szCs w:val="15"/>
          <w:color w:val="auto"/>
        </w:rPr>
        <w:t>shares of restricted stock outside of the 2002</w:t>
      </w:r>
    </w:p>
    <w:p>
      <w:pPr>
        <w:sectPr>
          <w:pgSz w:w="11900" w:h="16838" w:orient="portrait"/>
          <w:cols w:equalWidth="0" w:num="1">
            <w:col w:w="11420"/>
          </w:cols>
          <w:pgMar w:left="240" w:top="157" w:right="239" w:bottom="0" w:gutter="0" w:footer="0" w:header="0"/>
        </w:sectPr>
      </w:pPr>
    </w:p>
    <w:bookmarkStart w:id="73" w:name="page74"/>
    <w:bookmarkEnd w:id="73"/>
    <w:p>
      <w:pPr>
        <w:ind w:right="80"/>
        <w:spacing w:after="0" w:line="253" w:lineRule="auto"/>
        <w:rPr>
          <w:sz w:val="20"/>
          <w:szCs w:val="20"/>
          <w:color w:val="auto"/>
        </w:rPr>
      </w:pPr>
      <w:r>
        <w:rPr>
          <w:rFonts w:ascii="Arial" w:cs="Arial" w:eastAsia="Arial" w:hAnsi="Arial"/>
          <w:sz w:val="18"/>
          <w:szCs w:val="18"/>
          <w:color w:val="auto"/>
        </w:rPr>
        <w:t>stock incentive plan to Franco Dragone, the creator of our new entertainment production. The restricted stock will be subject to Wynn Resorts' repurchase right, which will lapse in November 2004 as to Mr. Strzemp, in June 2005 as to Mr. Schorr and Mr. Kenneth Wynn, in June 2006 as to Mr. Butler, Mr. Thomas and Mr. Dragone and in July 2006 as to Mr. Nisbet. Our repurchase right will lapse immediately with respect to any individual other than Mr. Dragone if such individual terminates employment with us under circumstances which entitle him to receive a "separation payment" under his employment contract (as described below). In the case of Messrs. Butler, Nisbet, and Thomas, however, the lapse of our restriction right on a termination of employment which entitles such individual to receive a separation payment will not occur to the extent that such early lapsing would subject the individual to the golden parachute excise tax under Internal Revenue Code Section 4999.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intend to enter into employment contracts with certain other named executive officers, including Stephen A. Wynn, Marc D. Schorr, Kenneth R. Wynn, John Strzemp, DeRuyter O. Butler and Marc H. Rubinstein, prior to the completion of this offering.</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Under the employment contracts, the annual base salaries will be $1,250,000 for Stephen A. Wynn, $750,000 for Mr. Schorr, $459,000 for Mr. Strzemp, $350,000 for Mr. Butler, $360,000 for Mr. Rubinstein, and $250,000 for Kenneth Wynn.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other terms of the employment contracts will be substantially similar for each executive. Each executive will receive a bonus at such times and in such amounts as our board of directors, in its sole and exclusive discretion, may determine, but, after our board of directors adopts a performance-based bonus plan, bonuses will be determined in accordance with the performance-based plan. Mr. Strzemp, however, will be entitled to a minimum annual bonus of $150,000 per year. The term of each employment contract will begin on the later of the effective date of this offering or October 1, 2002, and end five year later, except that the term of Mr. Strzemp's employment contract will end on October 31, 2004. The employment contracts will become null and void if this offering does not close on or before April 1, 2003. In addition to base salary and bonuses, each executive will participate in all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Wynn, and Stephen Wynn, Mr. Schorr and Kenneth Wynn will enter into time-sharing agreements with us covering their personal use of our aircraft, with each such executive paying us the lesser of his and his family's share of the direct costs incurred by us in operating the aircraft or the amount permitted by applicable federal aviation regulations.</w:t>
      </w:r>
    </w:p>
    <w:p>
      <w:pPr>
        <w:spacing w:after="0" w:line="18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If we terminate the employment of an executive without "cause," or the executive terminates his employment with us upon "good reason" following a "change of control" (as such terms are defined in the employment contracts), we will pay the executive a "separation payment" in a lump such equal to (a) the executive's base salary for the remainder of the term of the employment contract, but not for less than one year, except in the case of: Kenneth Wynn and Messrs. Butler, and Rubinstein, in which case the lump sum shall be such person's base salary for one year, (b) a prorated portion of the bonus that the executive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received for the preceding bonus period, (c) any accrued but unpaid vacation pay, and (d) an amount necessary to gross the executive up for any golden parachute excise tax the executive incurs under the Internal Revenue Code Section 4999. The separation payment of Mr. Butler, however, will be limited to the amount necessary to avoid subjecting him to the golden parachute excise tax of Internal Revenue Code Section 4999. If the executive is entitled to receive the separation payment, he will also be entitled to continue participating in our health benefits coverage for the remaining portion of the term (but for not less than one year)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Mr.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w:t>
      </w:r>
    </w:p>
    <w:p>
      <w:pPr>
        <w:sectPr>
          <w:pgSz w:w="11900" w:h="16838" w:orient="portrait"/>
          <w:cols w:equalWidth="0" w:num="1">
            <w:col w:w="11400"/>
          </w:cols>
          <w:pgMar w:left="240" w:top="13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74" w:name="page75"/>
    <w:bookmarkEnd w:id="74"/>
    <w:p>
      <w:pPr>
        <w:ind w:right="60"/>
        <w:spacing w:after="0" w:line="289" w:lineRule="auto"/>
        <w:rPr>
          <w:sz w:val="20"/>
          <w:szCs w:val="20"/>
          <w:color w:val="auto"/>
        </w:rPr>
      </w:pPr>
      <w:r>
        <w:rPr>
          <w:rFonts w:ascii="Arial" w:cs="Arial" w:eastAsia="Arial" w:hAnsi="Arial"/>
          <w:sz w:val="16"/>
          <w:szCs w:val="16"/>
          <w:color w:val="auto"/>
        </w:rPr>
        <w:t>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RELATED PARTY TRANSACTIONS</w:t>
      </w:r>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Mr. Wynn owned a majority of the outstanding equity interests of Wynn Macau.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has entered into a concession agreement with the government of Macau permitting the construction and operation of casinos in Macau. See "Management's Discussion &amp; Analysis of Financial Condition and Results of Operations—Liquidity and Capital Resources—Material Transactions Affecting Liquidity and Capital Resources."</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As previously discussed, Mr. Wynn, Aruze USA and Baron Asset Fund are parties to a stockholders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agreement establishes 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such private placement.</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the parties also granted each other a tag-along right on their respective shares of Wynn Resorts' common stock. Under this tag-along right, any party to the stockholders agreement, before transferring his or its shares to any person other than a permitted transferee, must first allow the other parties to the agreement to participate in such transfer on the same terms and conditions.</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ectPr>
          <w:pgSz w:w="11900" w:h="16838" w:orient="portrait"/>
          <w:cols w:equalWidth="0" w:num="1">
            <w:col w:w="11420"/>
          </w:cols>
          <w:pgMar w:left="240" w:top="590" w:right="239" w:bottom="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subsidiary of Valvino, is responsible for the design and architecture of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We lease The Wynn Collection from Mr. and Mrs. Wynn pursuant to an Art Rental and Licensing Agreement. Under the agreement, we pay the expenses of exhibiting works from The Wynn Collection and reimburse Mr. and Mrs. Wynn for the expense of insuring the collection while we exhibit it, which insurance costs for the eight months ended June 30, 2002 were approximately $55,000 and for the twelve months ended June 30, 2003 will be approximately $275,000. In addition, we have agreed to make monthly lease payments for the art at a rate equal to the gross revenue received by the gallery each month, less direct expenses, subject to a monthly cap. Under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Any payment to Mr. and Mrs. Wynn would be made only from the net revenue of the art gallery. It is contemplated that, after Le Rêve opens, we will continue to lease The Wynn Collection under similar terms and will exhibit the works as an attraction at Le Rêve. Under the Art Rental and Licensing Agreement, subject to certain notice restrictions, Mr. and Mrs. Wynn will retain the right to remove or replace any or all of the works of art that will be displayed in the art gallery.</w:t>
      </w:r>
    </w:p>
    <w:p>
      <w:pPr>
        <w:spacing w:after="0" w:line="172"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On May 30, 2002, Mr. Wynn sold World Travel and Las Vegas Jet to Valvino for approximately $38.2 million,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59"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 under a Part 91 certificate. In connection with</w:t>
      </w:r>
    </w:p>
    <w:p>
      <w:pPr>
        <w:sectPr>
          <w:pgSz w:w="11900" w:h="16838" w:orient="portrait"/>
          <w:cols w:equalWidth="0" w:num="1">
            <w:col w:w="11400"/>
          </w:cols>
          <w:pgMar w:left="240" w:top="131" w:right="259" w:bottom="0" w:gutter="0" w:footer="0" w:header="0"/>
        </w:sectPr>
      </w:pPr>
    </w:p>
    <w:bookmarkStart w:id="76" w:name="page77"/>
    <w:bookmarkEnd w:id="76"/>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World Travel, approximately $2 million of accounts payable to Valvino from Las Vegas Jet were forgiven.</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the company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of 2002, the Internal Revenue Service issued a refund for $5,000,000 to Valvino and Valvino reimbursed this sum of money to Mr. Wynn.</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b w:val="1"/>
          <w:bCs w:val="1"/>
          <w:i w:val="1"/>
          <w:iCs w:val="1"/>
          <w:color w:val="auto"/>
        </w:rPr>
        <w:t xml:space="preserve">Tax Indemnification Agreement. </w:t>
      </w:r>
      <w:r>
        <w:rPr>
          <w:rFonts w:ascii="Arial" w:cs="Arial" w:eastAsia="Arial" w:hAnsi="Arial"/>
          <w:sz w:val="15"/>
          <w:szCs w:val="15"/>
          <w:color w:val="auto"/>
        </w:rPr>
        <w:t>Stephen A. Wynn, Aruze USA, Baron Asset Fund, and the Kenneth R. Wynn Family Trust, referred to collectively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Valvino members, Valvino and Wynn Resorts intend to enter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reported by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When the members of Valvino contribute their membership interests in Valvino to Wynn Resorts in exchange for shares of the common stock of Wynn Resorts, Wynn Resorts will become the sole member of Valvino. As a result, upon consummation of this offering and the offering of Wynn Resorts' common stock, Wynn Resorts will, through its subsidiaries, control Wynn Las Vegas and Wynn Capital.</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June 3, 2002, and in preparation for its offering of common stock, Wynn Resorts was incorporated in Nevada. The following table sets forth information regarding beneficial ownership of Wynn Resorts' common stock as of June 12, 2002, after giving effect to the contribution of membership interests in Valvino to Wynn Resorts, by:</w:t>
      </w:r>
    </w:p>
    <w:p>
      <w:pPr>
        <w:spacing w:after="0" w:line="208"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current directors and executive officers of Wynn Resorts as a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w:t>
      </w:r>
    </w:p>
    <w:p>
      <w:pPr>
        <w:spacing w:after="0" w:line="3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Percentage ownership is based on 40,000,000 shares of common stock outstanding as of 2002 and shares of common stock outstanding after completion of Wynn Resort's contemplated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Beneficial Ownership</w:t>
            </w: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ind w:left="582"/>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02"/>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87"/>
              </w:rPr>
              <w:t>Before Offering</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90"/>
              </w:rPr>
              <w:t>After Offering</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Percent</w:t>
            </w:r>
          </w:p>
        </w:tc>
        <w:tc>
          <w:tcPr>
            <w:tcW w:w="154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1,997,085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1,997,085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Kazuo Okada(1)(3)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40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-940435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-940435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-940435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-940435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-691515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-691515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-691515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-691515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-691515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-691515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-691515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-691515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-691515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-691515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77" w:name="page78"/>
    <w:bookmarkEnd w:id="77"/>
    <w:tbl>
      <w:tblPr>
        <w:tblLayout w:type="fixed"/>
        <w:tblInd w:w="126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Robert J. Miller</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Stanley R. Zax</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Kenneth R. Wynn(5)</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58,317</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0.146%</w:t>
            </w:r>
          </w:p>
        </w:tc>
        <w:tc>
          <w:tcPr>
            <w:tcW w:w="186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58,317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Marc D. Schorr</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John Strzemp</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Marc H. Rubinstein</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All Directors and Executive Officers as a Group(6)</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38,002,915</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95.008%</w:t>
            </w:r>
          </w:p>
        </w:tc>
        <w:tc>
          <w:tcPr>
            <w:tcW w:w="1860" w:type="dxa"/>
            <w:vAlign w:val="bottom"/>
          </w:tcPr>
          <w:p>
            <w:pPr>
              <w:jc w:val="right"/>
              <w:ind w:right="692"/>
              <w:spacing w:after="0"/>
              <w:rPr>
                <w:sz w:val="20"/>
                <w:szCs w:val="20"/>
                <w:color w:val="auto"/>
              </w:rPr>
            </w:pPr>
            <w:r>
              <w:rPr>
                <w:rFonts w:ascii="Arial" w:cs="Arial" w:eastAsia="Arial" w:hAnsi="Arial"/>
                <w:sz w:val="18"/>
                <w:szCs w:val="18"/>
                <w:color w:val="auto"/>
              </w:rPr>
              <w:t>38,002,915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43307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73" w:lineRule="exact"/>
        <w:rPr>
          <w:sz w:val="20"/>
          <w:szCs w:val="20"/>
          <w:color w:val="auto"/>
        </w:rPr>
      </w:pPr>
    </w:p>
    <w:p>
      <w:pPr>
        <w:ind w:left="540" w:right="140" w:hanging="532"/>
        <w:spacing w:after="0" w:line="188" w:lineRule="auto"/>
        <w:tabs>
          <w:tab w:leader="none" w:pos="540" w:val="left"/>
        </w:tabs>
        <w:numPr>
          <w:ilvl w:val="0"/>
          <w:numId w:val="95"/>
        </w:numPr>
        <w:rPr>
          <w:rFonts w:ascii="Arial" w:cs="Arial" w:eastAsia="Arial" w:hAnsi="Arial"/>
          <w:sz w:val="26"/>
          <w:szCs w:val="26"/>
          <w:color w:val="auto"/>
          <w:vertAlign w:val="subscript"/>
        </w:rPr>
      </w:pPr>
      <w:r>
        <w:rPr>
          <w:rFonts w:ascii="Arial" w:cs="Arial" w:eastAsia="Arial" w:hAnsi="Arial"/>
          <w:sz w:val="13"/>
          <w:szCs w:val="13"/>
          <w:color w:val="auto"/>
        </w:rPr>
        <w:t>Excludes shares which may be deemed to be beneficially owned by virtue of the voting agreement between Mr. Stephen A. Wynn and Aruze USA contained in the stockholders agreement between Mr. Wynn, Aruze USA and Baron Asset Fund. Under this agreement, Mr. Wynn and Aruze USA have agreed to vote their shares of Wynn Resorts' common stock for a slate of directors, a majority of which will be designated by Mr. Wynn, 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80"/>
        <w:spacing w:after="0" w:line="239" w:lineRule="auto"/>
        <w:rPr>
          <w:sz w:val="20"/>
          <w:szCs w:val="20"/>
          <w:color w:val="auto"/>
        </w:rPr>
      </w:pPr>
      <w:r>
        <w:rPr>
          <w:rFonts w:ascii="Arial" w:cs="Arial" w:eastAsia="Arial" w:hAnsi="Arial"/>
          <w:sz w:val="14"/>
          <w:szCs w:val="14"/>
          <w:color w:val="auto"/>
        </w:rPr>
        <w:t>which at least two will be independent directors, and the remaining members of which will be designated by Aruze USA. See "Certain Relationships and Related Party Transactions—Stockholders Agreement." Mr. Wynn, Aruze USA and Kazuo Okada disclaim beneficial ownership of such shares.</w:t>
      </w:r>
    </w:p>
    <w:p>
      <w:pPr>
        <w:spacing w:after="0" w:line="139" w:lineRule="exact"/>
        <w:rPr>
          <w:sz w:val="20"/>
          <w:szCs w:val="20"/>
          <w:color w:val="auto"/>
        </w:rPr>
      </w:pPr>
    </w:p>
    <w:p>
      <w:pPr>
        <w:ind w:left="540" w:right="40" w:hanging="532"/>
        <w:spacing w:after="0" w:line="188" w:lineRule="auto"/>
        <w:tabs>
          <w:tab w:leader="none" w:pos="540" w:val="left"/>
        </w:tabs>
        <w:numPr>
          <w:ilvl w:val="0"/>
          <w:numId w:val="96"/>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 Mr. Wynn disclaims beneficial ownership of such shares.</w:t>
      </w:r>
    </w:p>
    <w:p>
      <w:pPr>
        <w:spacing w:after="0" w:line="71" w:lineRule="exact"/>
        <w:rPr>
          <w:rFonts w:ascii="Arial" w:cs="Arial" w:eastAsia="Arial" w:hAnsi="Arial"/>
          <w:sz w:val="26"/>
          <w:szCs w:val="26"/>
          <w:color w:val="auto"/>
          <w:vertAlign w:val="subscript"/>
        </w:rPr>
      </w:pPr>
    </w:p>
    <w:p>
      <w:pPr>
        <w:ind w:left="540" w:right="140" w:hanging="532"/>
        <w:spacing w:after="0" w:line="186" w:lineRule="auto"/>
        <w:tabs>
          <w:tab w:leader="none" w:pos="540" w:val="left"/>
        </w:tabs>
        <w:numPr>
          <w:ilvl w:val="0"/>
          <w:numId w:val="96"/>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Greier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96"/>
        </w:numPr>
        <w:rPr>
          <w:rFonts w:ascii="Arial" w:cs="Arial" w:eastAsia="Arial" w:hAnsi="Arial"/>
          <w:sz w:val="27"/>
          <w:szCs w:val="27"/>
          <w:color w:val="auto"/>
          <w:vertAlign w:val="subscript"/>
        </w:rPr>
      </w:pPr>
      <w:r>
        <w:rPr>
          <w:rFonts w:ascii="Arial" w:cs="Arial" w:eastAsia="Arial" w:hAnsi="Arial"/>
          <w:sz w:val="14"/>
          <w:szCs w:val="14"/>
          <w:color w:val="auto"/>
        </w:rPr>
        <w:t>Includes 1,459,408 shares, or 3.644%, held on behalf of the Baron Asset Fund Series and 537,677 shares, or 1.348%, held on behalf of the Baron Growth Fund Series.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6"/>
        </w:numPr>
        <w:rPr>
          <w:rFonts w:ascii="Arial" w:cs="Arial" w:eastAsia="Arial" w:hAnsi="Arial"/>
          <w:sz w:val="23"/>
          <w:szCs w:val="23"/>
          <w:color w:val="auto"/>
          <w:vertAlign w:val="subscript"/>
        </w:rPr>
      </w:pPr>
      <w:r>
        <w:rPr>
          <w:rFonts w:ascii="Arial" w:cs="Arial" w:eastAsia="Arial" w:hAnsi="Arial"/>
          <w:sz w:val="12"/>
          <w:szCs w:val="12"/>
          <w:color w:val="auto"/>
        </w:rPr>
        <w:t>These shares are held by the Kenneth R. Wynn Family Trust. Kenneth Wynn may be deemed to have beneficial ownership of these shares.</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96"/>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b w:val="1"/>
          <w:bCs w:val="1"/>
          <w:i w:val="1"/>
          <w:iCs w:val="1"/>
          <w:color w:val="auto"/>
        </w:rPr>
        <w:t>Additional Stock Grants.</w:t>
      </w:r>
      <w:r>
        <w:rPr>
          <w:sz w:val="20"/>
          <w:szCs w:val="20"/>
          <w:color w:val="auto"/>
        </w:rPr>
        <w:tab/>
      </w:r>
      <w:r>
        <w:rPr>
          <w:rFonts w:ascii="Arial" w:cs="Arial" w:eastAsia="Arial" w:hAnsi="Arial"/>
          <w:sz w:val="16"/>
          <w:szCs w:val="16"/>
          <w:color w:val="auto"/>
        </w:rPr>
        <w:t>Following the completion of this offering and the offering of Wynn Resorts common stock, we intend to grant awards</w:t>
      </w:r>
    </w:p>
    <w:p>
      <w:pPr>
        <w:spacing w:after="0" w:line="1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shares of restricted stock under our 2002 stock incentive plan to each of the following employees: DeRuyter O. Butler, William Todd Nisbet, Marc D.</w:t>
      </w:r>
    </w:p>
    <w:p>
      <w:pPr>
        <w:spacing w:after="0" w:line="32"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Schorr, John Strzemp, Roger P. Thomas and Kenneth R. Wynn. We also intend to grant an award of</w:t>
      </w:r>
      <w:r>
        <w:rPr>
          <w:sz w:val="20"/>
          <w:szCs w:val="20"/>
          <w:color w:val="auto"/>
        </w:rPr>
        <w:tab/>
      </w:r>
      <w:r>
        <w:rPr>
          <w:rFonts w:ascii="Arial" w:cs="Arial" w:eastAsia="Arial" w:hAnsi="Arial"/>
          <w:sz w:val="15"/>
          <w:szCs w:val="15"/>
          <w:color w:val="auto"/>
        </w:rPr>
        <w:t>shares of restricted stock outside of the 2002 stock</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incentive plan to Franco Dragone, the creator of our new entertainment production. The restricted stock will be subject to our repurchase right, which will lapse in November 2004 as to Mr. Strzemp, in June 2005 as to Mr. Schorr and Kenneth R. Wynn, in June 2006 as to Mr. Butler, Mr. Thomas and Mr. Dragone and in July 2006 as to Mr. Nisbet.</w:t>
      </w:r>
    </w:p>
    <w:p>
      <w:pPr>
        <w:spacing w:after="0" w:line="19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Party Transactions— Stockholders Agreement."</w:t>
      </w:r>
    </w:p>
    <w:p>
      <w:pPr>
        <w:spacing w:after="0" w:line="17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"—The Nevada Gaming Commission may impose unanticipated requirements regarding the licensing of owners of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SECOND MORTGAGE NOTES</w:t>
      </w:r>
    </w:p>
    <w:p>
      <w:pPr>
        <w:spacing w:after="0" w:line="231" w:lineRule="exact"/>
        <w:rPr>
          <w:sz w:val="20"/>
          <w:szCs w:val="20"/>
          <w:color w:val="auto"/>
        </w:rPr>
      </w:pPr>
    </w:p>
    <w:p>
      <w:pPr>
        <w:ind w:right="140" w:firstLine="345"/>
        <w:spacing w:after="0" w:line="294" w:lineRule="auto"/>
        <w:rPr>
          <w:sz w:val="20"/>
          <w:szCs w:val="20"/>
          <w:color w:val="auto"/>
        </w:rPr>
      </w:pPr>
      <w:r>
        <w:rPr>
          <w:rFonts w:ascii="Arial" w:cs="Arial" w:eastAsia="Arial" w:hAnsi="Arial"/>
          <w:sz w:val="16"/>
          <w:szCs w:val="16"/>
          <w:color w:val="auto"/>
        </w:rPr>
        <w:t>You can find the definitions of certain terms used in this description under the subheading "Certain Definitions." In this description, (1) the word "Issuers" refers collectively to Wynn Las Vegas, LLC and Wynn Las Vegas Capital Corp. and not to any of their respective subsidiaries, (2) the words "Wynn Las Vegas" refer only to Wynn Las Vegas, LLC and not to any of its subsidiaries, (3) the words "Valvino Lamore" refer only to Valvino Lamore, LLC, and not to any of its subsidiaries, (4) the words "Wynn Resorts" refer only to Wynn Resorts, Limited and not to any of its subsidiaries, (5) the words "Resorts Holdings" refer only to Wynn Resorts Holdings, LLC and not to any of its subsidiaries and (6) the words "we", "us" and "our" refer to Wynn Las Vegas and its subsidiaries.</w:t>
      </w:r>
    </w:p>
    <w:p>
      <w:pPr>
        <w:sectPr>
          <w:pgSz w:w="11900" w:h="16838" w:orient="portrait"/>
          <w:cols w:equalWidth="0" w:num="1">
            <w:col w:w="11420"/>
          </w:cols>
          <w:pgMar w:left="240" w:top="140" w:right="239" w:bottom="0" w:gutter="0" w:footer="0" w:header="0"/>
        </w:sectPr>
      </w:pPr>
    </w:p>
    <w:bookmarkStart w:id="78" w:name="page79"/>
    <w:bookmarkEnd w:id="78"/>
    <w:p>
      <w:pPr>
        <w:ind w:firstLine="348"/>
        <w:spacing w:after="0" w:line="255" w:lineRule="auto"/>
        <w:rPr>
          <w:sz w:val="20"/>
          <w:szCs w:val="20"/>
          <w:color w:val="auto"/>
        </w:rPr>
      </w:pPr>
      <w:r>
        <w:rPr>
          <w:rFonts w:ascii="Arial" w:cs="Arial" w:eastAsia="Arial" w:hAnsi="Arial"/>
          <w:sz w:val="18"/>
          <w:szCs w:val="18"/>
          <w:color w:val="auto"/>
        </w:rPr>
        <w:t>The Issuers will issue the notes under an indenture among Wynn Las Vegas, LLC and Wynn Las Vegas Capital Corp. as joint and several obligors, Desert Inn Water Company, LLC, Desert Inn Improvement Co., Wynn Design &amp; Development, LLC, Wynn Resorts Holdings, Las Vegas Jet, LLC, World Travel, LLC, Palo, LLC and Valvino Lamore, as guarantors, and the indenture trustee. The terms of the notes include those stated in the indenture and those made part of the indenture by reference to the Trust Indenture Act of 1939, as amended. The Collateral Documents referred to under "—Security Interests" define the terms of the agreements that will secure the notes.</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Capital is a wholly owned subsidiary of Wynn Las Vegas that was incorporated solely for the purpose of serving as a co-issuer of the notes in order to facilitate this offering. Wynn Las Vegas believes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amounts required to be paid on the notes.</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the date of the indenture, Wynn Las Vegas' only Subsidiaries will be Wynn Capital and the Completion Guarantor. The Completion Guarantor will be an Unrestricted Subsidiary of Wynn Las Vegas. Valvino Lamore is an indirect parent of Wynn Las Vegas and the other guarantors described above are subsidiaries of Valvino Lamore.</w:t>
      </w:r>
    </w:p>
    <w:p>
      <w:pPr>
        <w:spacing w:after="0" w:line="194"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will be treated as the owner of that note for all purposes. Only registered Holders will have any rights under the indenture.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will be general obligations of the Issuers,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will be secured by a security interest in certain of the Issuers' existing and future assets, as more fully described under the section below captioned "—Security Interests",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left="1080" w:hanging="532"/>
        <w:spacing w:after="0" w:line="298"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will be effectively subordinated to the borrowings under the Credit Agreement and under the FF&amp;E Facility to the extent (1) that the lenders under the Credit Agreement have security interests in all the Collateral that rank prior to the security interests in the collateral securing the notes, (2) that the lenders under the FF&amp;E Facility have security interests in the FF&amp;E Collateral that rank prior to the security interests in that collateral securing the notes, and (3) of the restrictions on payment and exercise of remedies contained in the Intercreditor Agreements,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of the Issuers,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will be unconditionally guaranteed by the Guarantors and may under certain circumstances be guaranteed by Wynn Resorts.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Guarantees</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notes will be guaranteed by Wynn Las Vegas' indirect parent, Valvino Lamore, and Valvino Lamore's direct or indirect subsidiaries. Valvino Lamore and its subsidiaries (other than the Issuers and the Subsidiaries of the Issuers) are referred to as the "Restricted Entities." These subsidiaries are:</w:t>
      </w:r>
    </w:p>
    <w:p>
      <w:pPr>
        <w:spacing w:after="0" w:line="153"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Desert Inn Water Company, LLC, which owns 100% of the stock of Desert Inn Improvement Co.,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Desert Inn Improvement Co., which owns the water rights for the Golf Course Land,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Wynn Resorts Holdings, which owns the Golf Course Land,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a Part 91 federal aviation authority certificate,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World Travel, LLC, which owns the corporate aircraft and leases it to Las Vegas Jet,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Palo, LLC, which owns three residential lots adjacent to the Golf Course Land.</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Pursuant to the Wynn Resorts Agreement, Wynn Resorts may, in certain limited circumstances, provide for a guarantee of the notes and become a "Parent Guarantor" as more fully described in the covenant entitled "Certain Covenants—Restrictions on Incurrence of Indebtedness and Guarantees by Wynn Resorts."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The Issuers may issue notes with a maximum aggregate principal amount of $ million, of which $350.0 million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 under the indenture will be treated as a single class for all purposes under the indenture, including, without limitation, waivers, amendments, redemptions and offers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40" w:type="dxa"/>
            <w:vAlign w:val="bottom"/>
          </w:tcPr>
          <w:p>
            <w:pPr>
              <w:spacing w:after="0"/>
              <w:rPr>
                <w:sz w:val="20"/>
                <w:szCs w:val="20"/>
                <w:color w:val="auto"/>
              </w:rPr>
            </w:pPr>
            <w:r>
              <w:rPr>
                <w:rFonts w:ascii="Arial" w:cs="Arial" w:eastAsia="Arial" w:hAnsi="Arial"/>
                <w:sz w:val="18"/>
                <w:szCs w:val="18"/>
                <w:color w:val="auto"/>
                <w:w w:val="94"/>
              </w:rPr>
              <w:t>purchase. The Issuers will issue notes in denominations of $1,000 and integral multiples of $1,000. The notes will mature on</w:t>
            </w:r>
          </w:p>
        </w:tc>
        <w:tc>
          <w:tcPr>
            <w:tcW w:w="1040" w:type="dxa"/>
            <w:vAlign w:val="bottom"/>
          </w:tcPr>
          <w:p>
            <w:pPr>
              <w:jc w:val="right"/>
              <w:spacing w:after="0"/>
              <w:rPr>
                <w:sz w:val="20"/>
                <w:szCs w:val="20"/>
                <w:color w:val="auto"/>
              </w:rPr>
            </w:pPr>
            <w:r>
              <w:rPr>
                <w:rFonts w:ascii="Arial" w:cs="Arial" w:eastAsia="Arial" w:hAnsi="Arial"/>
                <w:sz w:val="18"/>
                <w:szCs w:val="18"/>
                <w:color w:val="auto"/>
              </w:rPr>
              <w:t>, 2010.</w:t>
            </w:r>
          </w:p>
        </w:tc>
      </w:tr>
    </w:tbl>
    <w:p>
      <w:pPr>
        <w:sectPr>
          <w:pgSz w:w="11900" w:h="16838" w:orient="portrait"/>
          <w:cols w:equalWidth="0" w:num="1">
            <w:col w:w="11420"/>
          </w:cols>
          <w:pgMar w:left="240" w:top="131" w:right="239" w:bottom="0" w:gutter="0" w:footer="0" w:header="0"/>
        </w:sectPr>
      </w:pPr>
    </w:p>
    <w:bookmarkStart w:id="79" w:name="page80"/>
    <w:bookmarkEnd w:id="79"/>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line="332" w:lineRule="auto"/>
        <w:rPr>
          <w:sz w:val="20"/>
          <w:szCs w:val="20"/>
          <w:color w:val="auto"/>
        </w:rPr>
      </w:pPr>
      <w:r>
        <w:rPr>
          <w:rFonts w:ascii="Arial" w:cs="Arial" w:eastAsia="Arial" w:hAnsi="Arial"/>
          <w:sz w:val="16"/>
          <w:szCs w:val="16"/>
          <w:color w:val="auto"/>
        </w:rPr>
        <w:t>Interest on the notes will accrue at the rate of      % per annum and will be payable semi-annually in arrears on , 2003. The Issuers will make each interest payment to the Holders of record on the immediately preceding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commencing</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sectPr>
          <w:pgSz w:w="11900" w:h="16838" w:orient="portrait"/>
          <w:cols w:equalWidth="0" w:num="4">
            <w:col w:w="180" w:space="180"/>
            <w:col w:w="8040" w:space="660"/>
            <w:col w:w="280" w:space="720"/>
            <w:col w:w="1340"/>
          </w:cols>
          <w:pgMar w:left="240" w:top="131" w:right="259" w:bottom="0" w:gutter="0" w:footer="0" w:header="0"/>
          <w:type w:val="continuous"/>
        </w:sectPr>
      </w:pPr>
    </w:p>
    <w:p>
      <w:pPr>
        <w:ind w:right="10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At any time prior to , 2005, the Issuers may on one or more occasions redeem up to 35% of the aggregate principal amount of notes issued under the indenture at a redemption price of % of the principal amount, plus accrued and unpaid interest to the redemption date, with the net cash proceeds of one</w:t>
      </w:r>
    </w:p>
    <w:p>
      <w:pPr>
        <w:spacing w:after="0"/>
        <w:rPr>
          <w:sz w:val="20"/>
          <w:szCs w:val="20"/>
          <w:color w:val="auto"/>
        </w:rPr>
      </w:pPr>
      <w:r>
        <w:rPr>
          <w:rFonts w:ascii="Arial" w:cs="Arial" w:eastAsia="Arial" w:hAnsi="Arial"/>
          <w:sz w:val="18"/>
          <w:szCs w:val="18"/>
          <w:color w:val="auto"/>
        </w:rPr>
        <w:t xml:space="preserve">or more Qualified Equity Offerings (other than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32" w:lineRule="exact"/>
        <w:rPr>
          <w:sz w:val="20"/>
          <w:szCs w:val="20"/>
          <w:color w:val="auto"/>
        </w:rPr>
      </w:pPr>
    </w:p>
    <w:p>
      <w:pPr>
        <w:ind w:left="540" w:right="700" w:hanging="532"/>
        <w:spacing w:after="0" w:line="26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issued under the indenture remains outstanding immediately after the occurrence of such redemption (excluding notes held by Wynn Resorts or any of its Subsidiaries);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Qualified Equity Offering.</w:t>
      </w:r>
    </w:p>
    <w:p>
      <w:pPr>
        <w:sectPr>
          <w:pgSz w:w="11900" w:h="16838" w:orient="portrait"/>
          <w:cols w:equalWidth="0" w:num="1">
            <w:col w:w="11400"/>
          </w:cols>
          <w:pgMar w:left="240" w:top="131" w:right="259" w:bottom="0" w:gutter="0" w:footer="0" w:header="0"/>
          <w:type w:val="continuous"/>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Except pursuant to the preceding paragraph, the notes will not be redeemable at the Issuers' option prior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2006.</w:t>
      </w:r>
    </w:p>
    <w:p>
      <w:pPr>
        <w:spacing w:after="0" w:line="200" w:lineRule="exact"/>
        <w:rPr>
          <w:sz w:val="20"/>
          <w:szCs w:val="20"/>
          <w:color w:val="auto"/>
        </w:rPr>
      </w:pPr>
    </w:p>
    <w:p>
      <w:pPr>
        <w:sectPr>
          <w:pgSz w:w="11900" w:h="16838" w:orient="portrait"/>
          <w:cols w:equalWidth="0" w:num="2">
            <w:col w:w="7840" w:space="700"/>
            <w:col w:w="2860"/>
          </w:cols>
          <w:pgMar w:left="240" w:top="131" w:right="259" w:bottom="0" w:gutter="0" w:footer="0" w:header="0"/>
          <w:type w:val="continuous"/>
        </w:sectPr>
      </w:pPr>
    </w:p>
    <w:p>
      <w:pPr>
        <w:spacing w:after="0" w:line="60"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notes upon not less than 30 nor more than 60 days' notice, at the redemption prices</w:t>
      </w:r>
    </w:p>
    <w:p>
      <w:pPr>
        <w:sectPr>
          <w:pgSz w:w="11900" w:h="16838" w:orient="portrait"/>
          <w:cols w:equalWidth="0" w:num="1">
            <w:col w:w="11400"/>
          </w:cols>
          <w:pgMar w:left="240" w:top="131" w:right="259" w:bottom="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(expressed as percentages of principal amount) set forth below plus accrued and unpaid interest on the notes redeemed, to the applicable redemption date, if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w w:val="96"/>
              </w:rPr>
              <w:t>redeemed during the twelve-month period beginning on</w:t>
            </w:r>
          </w:p>
        </w:tc>
        <w:tc>
          <w:tcPr>
            <w:tcW w:w="5200" w:type="dxa"/>
            <w:vAlign w:val="bottom"/>
            <w:gridSpan w:val="4"/>
          </w:tcPr>
          <w:p>
            <w:pPr>
              <w:jc w:val="right"/>
              <w:ind w:right="2820"/>
              <w:spacing w:after="0"/>
              <w:rPr>
                <w:sz w:val="20"/>
                <w:szCs w:val="20"/>
                <w:color w:val="auto"/>
              </w:rPr>
            </w:pPr>
            <w:r>
              <w:rPr>
                <w:rFonts w:ascii="Arial" w:cs="Arial" w:eastAsia="Arial" w:hAnsi="Arial"/>
                <w:sz w:val="18"/>
                <w:szCs w:val="18"/>
                <w:color w:val="auto"/>
              </w:rPr>
              <w:t>of the years indicated below:</w:t>
            </w:r>
          </w:p>
        </w:tc>
        <w:tc>
          <w:tcPr>
            <w:tcW w:w="0" w:type="dxa"/>
            <w:vAlign w:val="bottom"/>
          </w:tcPr>
          <w:p>
            <w:pPr>
              <w:spacing w:after="0"/>
              <w:rPr>
                <w:sz w:val="1"/>
                <w:szCs w:val="1"/>
                <w:color w:val="auto"/>
              </w:rPr>
            </w:pPr>
          </w:p>
        </w:tc>
      </w:tr>
      <w:tr>
        <w:trPr>
          <w:trHeight w:val="373"/>
        </w:trPr>
        <w:tc>
          <w:tcPr>
            <w:tcW w:w="1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196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2007</w:t>
            </w:r>
          </w:p>
        </w:tc>
        <w:tc>
          <w:tcPr>
            <w:tcW w:w="5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2008 and thereafter</w:t>
            </w:r>
          </w:p>
        </w:tc>
        <w:tc>
          <w:tcPr>
            <w:tcW w:w="5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-492760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-492760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-492760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-492760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211" w:lineRule="exact"/>
        <w:rPr>
          <w:sz w:val="20"/>
          <w:szCs w:val="20"/>
          <w:color w:val="auto"/>
        </w:rPr>
      </w:pPr>
    </w:p>
    <w:p>
      <w:pPr>
        <w:ind w:left="540" w:right="320" w:hanging="532"/>
        <w:spacing w:after="0" w:line="268"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receipt of the notice from the Gaming Authority that the holder or beneficial owner will not be licensed, qualified or found suitable by the Gaming Authority;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39"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213" w:lineRule="exact"/>
        <w:rPr>
          <w:sz w:val="20"/>
          <w:szCs w:val="20"/>
          <w:color w:val="auto"/>
        </w:rPr>
      </w:pPr>
    </w:p>
    <w:p>
      <w:pPr>
        <w:ind w:left="540" w:hanging="532"/>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238"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ectPr>
          <w:pgSz w:w="11900" w:h="16838" w:orient="portrait"/>
          <w:cols w:equalWidth="0" w:num="1">
            <w:col w:w="11400"/>
          </w:cols>
          <w:pgMar w:left="240" w:top="131" w:right="259" w:bottom="0" w:gutter="0" w:footer="0" w:header="0"/>
          <w:type w:val="continuous"/>
        </w:sectPr>
      </w:pPr>
    </w:p>
    <w:bookmarkStart w:id="80" w:name="page81"/>
    <w:bookmarkEnd w:id="80"/>
    <w:p>
      <w:pPr>
        <w:ind w:right="40" w:firstLine="348"/>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Guarantees will be joint and several obligations of the Guarantors. The obligations of each Guarantor under its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 the guarantees and require second mortgage note holders to return payments received from us or the Guarantors.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guarantee of the notes:</w:t>
      </w:r>
    </w:p>
    <w:p>
      <w:pPr>
        <w:spacing w:after="0" w:line="23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be a secured obligation of each Guarantor,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rank senior in right of payment to all of the existing and future subordinated Indebtedness of each Guarantor, and</w:t>
      </w:r>
    </w:p>
    <w:p>
      <w:pPr>
        <w:spacing w:after="0" w:line="238"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will be effectively subordinated to the Guarantee given by each Guarantor of (1) the obligations under the Credit Agreement to the extent that the lenders under the Credit Agreement have security interests in the collateral of that Guarantor that rank prior to the security interests in the collateral securing that Guarantor's Guarantee, (2) the obligations under the FF&amp;E Facility to the extent that the lenders under the FF&amp;E Facility have security interests in the portion of the collateral of that Guarantor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0"/>
        <w:spacing w:after="0" w:line="268" w:lineRule="auto"/>
        <w:rPr>
          <w:sz w:val="20"/>
          <w:szCs w:val="20"/>
          <w:color w:val="auto"/>
        </w:rPr>
      </w:pPr>
      <w:r>
        <w:rPr>
          <w:rFonts w:ascii="Arial" w:cs="Arial" w:eastAsia="Arial" w:hAnsi="Arial"/>
          <w:sz w:val="18"/>
          <w:szCs w:val="18"/>
          <w:color w:val="auto"/>
        </w:rPr>
        <w:t>consisting of the FF&amp;E Collateral that rank prior to the security interests in that collateral securing that Guarantor's Guarantee, and (3) of the restrictions on payment and exercise of remedies contained in the Intercreditor Agreements.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Guarantees will be secured by assets of the Guarantors as more fully described under "Security Interests—Security for the Guarantees." In the event that Wynn Resorts becomes a Parent Guarantor by issuing a Parent Guarantee, that Parent Guarantee may be secured by a security interest in all or specified existing or future assets of Wynn Resorts, and may constitute senior or subordinated Indebtedness of Wynn Resorts, as more fully described in the section captioned "Certain Covenants—Restrictions on Incurrence of Indebtedness and Guarantees by Wynn Resorts."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199" w:lineRule="exact"/>
        <w:rPr>
          <w:sz w:val="20"/>
          <w:szCs w:val="20"/>
          <w:color w:val="auto"/>
        </w:rPr>
      </w:pPr>
    </w:p>
    <w:p>
      <w:pPr>
        <w:ind w:left="540" w:hanging="532"/>
        <w:spacing w:after="0" w:line="259"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Wynn Las Vegas, a Restricted Subsidiary of Wynn Las Vegas or a Restricted Entity, if the sale or other disposition complies with the provisions of the indenture; or</w:t>
      </w:r>
    </w:p>
    <w:p>
      <w:pPr>
        <w:spacing w:after="0" w:line="221"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connection with any sale of all of the Capital Stock of a Guarantor to a Person that is not (either before or after giving effect to such transaction) Wynn Las Vegas, a Restricted Subsidiary of Wynn Las Vegas or a Restricted Entity, if the sale complies with the provisions of the indenture.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See "—Repurchase at the Option of Holders—Asset Sales," "—Designation of Restricted and Unrestricted Subsidiaries" and "—Merger, Consolidation or Sale of Assets."</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addition to the release of the Guarantees by Wynn Resorts Holdings or of Valvino Lamore pursuant to the provisions described above, the security interests of the noteholders in the real property assets owned by Wynn Resorts Holdings and Valvino Lamore may be released under the circumstances described below under "Security Interests—Release of Golf Course Land and Phase II Land." The Parent Guarantee, if any, of Wynn Resorts may be released as described under the covenant entitled "Restrictions on Incurrence of Indebtedness and Guarantees by Wynn Resorts."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Interests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Notes</w:t>
      </w:r>
    </w:p>
    <w:p>
      <w:pPr>
        <w:sectPr>
          <w:pgSz w:w="11900" w:h="16838" w:orient="portrait"/>
          <w:cols w:equalWidth="0" w:num="1">
            <w:col w:w="11380"/>
          </w:cols>
          <w:pgMar w:left="240" w:top="131" w:right="279" w:bottom="263"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7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194" w:lineRule="exact"/>
        <w:rPr>
          <w:sz w:val="20"/>
          <w:szCs w:val="20"/>
          <w:color w:val="auto"/>
        </w:rPr>
      </w:pPr>
    </w:p>
    <w:p>
      <w:pPr>
        <w:sectPr>
          <w:pgSz w:w="11900" w:h="16838" w:orient="portrait"/>
          <w:cols w:equalWidth="0" w:num="2">
            <w:col w:w="980" w:space="100"/>
            <w:col w:w="10300"/>
          </w:cols>
          <w:pgMar w:left="240" w:top="131" w:right="279" w:bottom="263"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63" w:gutter="0" w:footer="0" w:header="0"/>
          <w:type w:val="continuous"/>
        </w:sectPr>
      </w:pPr>
    </w:p>
    <w:bookmarkStart w:id="81" w:name="page82"/>
    <w:bookmarkEnd w:id="81"/>
    <w:p>
      <w:pPr>
        <w:ind w:left="1080" w:right="300" w:hanging="532"/>
        <w:spacing w:after="0" w:line="306"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perfected second priority security interest in the $50.0 million in funds deposited into the Completion Guarantee Deposit Account held at the Completion Guarantor to support the $50.0 million guarantee by the Completion Guarantor of the completion in full of the construction and opening of the Project, subject to disbursement pursuant to the Disbursement Agreement;</w:t>
      </w:r>
    </w:p>
    <w:p>
      <w:pPr>
        <w:spacing w:after="0" w:line="187"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perfected second priority security interest in the $30.0 million in funds deposited into the Liquidity Reserve Account held at Wynn Las Vegas to support completion of the construction and opening of the Project, subject to disbursement pursuant to the Disbursement Agreement;</w:t>
      </w:r>
    </w:p>
    <w:p>
      <w:pPr>
        <w:spacing w:after="0" w:line="152" w:lineRule="exact"/>
        <w:rPr>
          <w:rFonts w:ascii="Arial" w:cs="Arial" w:eastAsia="Arial" w:hAnsi="Arial"/>
          <w:sz w:val="16"/>
          <w:szCs w:val="16"/>
          <w:color w:val="auto"/>
        </w:rPr>
      </w:pPr>
    </w:p>
    <w:p>
      <w:pPr>
        <w:ind w:left="1080" w:right="260" w:hanging="532"/>
        <w:spacing w:after="0" w:line="332"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Issuers in any of their respective existing or future Restricted Subsidiaries, including the equity interests held by Wynn Las Vegas in Wynn Capital and the Completion Guarantor;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Secured Account. </w:t>
      </w:r>
      <w:r>
        <w:rPr>
          <w:rFonts w:ascii="Arial" w:cs="Arial" w:eastAsia="Arial" w:hAnsi="Arial"/>
          <w:sz w:val="16"/>
          <w:szCs w:val="16"/>
          <w:color w:val="auto"/>
        </w:rPr>
        <w:t>Pending application to the Project, the net proceeds of this offering will be held in a secured account at Wynn Las Vegas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by the Disbursement Agent, on behalf of the trustee for the benefit of the holders of the notes. The Secured Account will be established pursuant to a secured account agreement (the "Secured Account Agreement") to be entered into among the Issuers, the Disbursement Agent and the trustee. The Disbursement Agent, on behalf of the trustee, for the benefit of the holders of the notes, will have a perfected first priority security interest in the funds held in the Secured Account. Neither the lenders under the Credit Agreement nor the FF&amp;E Facility will have a security interest in the Secured Account or the funds held in it. The funds in the secured account will be required to be invested in Permitted Securities at the direction of Wynn Las Vegas.</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Wynn Las Vegas in accordance with the Disbursement Agreement and applied by Wynn Las Vegas to the development and construction of the Project, including for the payment of Allocable Project Overhead during the construction period, in each case in accordance with the Budget. See "Disbursement Agreement."</w:t>
      </w:r>
    </w:p>
    <w:p>
      <w:pPr>
        <w:spacing w:after="0" w:line="170"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i w:val="1"/>
          <w:iCs w:val="1"/>
          <w:color w:val="auto"/>
        </w:rPr>
        <w:t xml:space="preserve">Completion Guarantee Deposit Account. </w:t>
      </w:r>
      <w:r>
        <w:rPr>
          <w:rFonts w:ascii="Arial" w:cs="Arial" w:eastAsia="Arial" w:hAnsi="Arial"/>
          <w:sz w:val="16"/>
          <w:szCs w:val="16"/>
          <w:color w:val="auto"/>
        </w:rPr>
        <w:t>One of Wynn Las Vegas' Wholly Owned Unrestricted Subsidiaries (the "Completion Guarantor") will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 of this offering and the IPO, of</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$50.0 million of the net proceeds of the IPO to the Completion Guarantor to support its obligations under the completion guarantee. These funds will be deposited into a collateral account (the "Completion Guarantee Deposit Account") to be held in cash and/or Permitted Securities.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lenders under the Credit Agreement will have a first priority security interest in the funds in the Completion Guarantee Deposit Account, and the trustee will have a second priority security interest in the funds in the Completion Guarantee Deposit Account. Amounts in the Completion Guarantee Deposit Account may be applied to the costs of the Project in accordance with the Disbursement Agreement. Pursuant to the Disbursement Agreement, these funds will be available to 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 respective documents. Upon the Completion Date, any amounts then remaining in the Completion Guarantee Deposit Account will be released to Wynn Las Vegas, which may distribute such funds at its discretion, including to Wynn Resorts, and the Completion Guarantor will be dissolved. See "Disbursement Agreement— Completion Guarantee Deposit Account."</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Liquidity Reserve Account. </w:t>
      </w:r>
      <w:r>
        <w:rPr>
          <w:rFonts w:ascii="Arial" w:cs="Arial" w:eastAsia="Arial" w:hAnsi="Arial"/>
          <w:sz w:val="16"/>
          <w:szCs w:val="16"/>
          <w:color w:val="auto"/>
        </w:rPr>
        <w:t>Wynn Resorts will, concurrently with the closing of this offering and the IPO, make a common equity capital contribution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Reserve Capital Contribution") to Wynn Las Vegas in an amount equal to $30.0 million.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Amounts in the Liquidity Reserve Account may be applied to the costs of the Project in accordance with the Disbursement Agreement. Upon the Completion Date, any amounts then remaining in the Liquidity Reserve Account will, to the extent funds are not otherwise available from operations, be used solely to pay debt service under the Credit Facility and/or the notes until such time as the actual Consolidated EBITDA of Wynn Las Vegas and its Restricted Subsidiaries for the period of four full consecutive fiscal quarters of Wynn Las Vegas equals or exceeds certain specified Consolidated EBITDA levels. At such time, if any, any amounts then remaining in the Liquidity Reserve Account must be used to reduce the amounts then outstanding under the revolving loans under the Credit Agreement without reducing the corresponding commitments under the Credit Agreement. See "Disbursement Agreement—Liquidity Reserve Account."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Guarantees will be secured by, among other things:</w:t>
      </w:r>
    </w:p>
    <w:p>
      <w:pPr>
        <w:spacing w:after="0" w:line="275" w:lineRule="exact"/>
        <w:rPr>
          <w:sz w:val="20"/>
          <w:szCs w:val="20"/>
          <w:color w:val="auto"/>
        </w:rPr>
      </w:pPr>
    </w:p>
    <w:p>
      <w:pPr>
        <w:ind w:left="1080" w:right="14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perfected second priority security interest in substantially all of the existing and future assets (other than gaming licenses, FF&amp;E Collateral and Aircraft Assets, if any) of the Guarantors, including: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water rights for the Golf Course Land, owned by Desert Inn Improvement Co., if the grant of this security interest is approved by the Nevada Public Utilities Commission,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Golf Course Land owned by Wynn Resorts Holdings, and</w:t>
      </w:r>
    </w:p>
    <w:p>
      <w:pPr>
        <w:sectPr>
          <w:pgSz w:w="11900" w:h="16838" w:orient="portrait"/>
          <w:cols w:equalWidth="0" w:num="1">
            <w:col w:w="11400"/>
          </w:cols>
          <w:pgMar w:left="240" w:top="145" w:right="259" w:bottom="0" w:gutter="0" w:footer="0" w:header="0"/>
        </w:sectPr>
      </w:pPr>
    </w:p>
    <w:bookmarkStart w:id="82" w:name="page83"/>
    <w:bookmarkEnd w:id="82"/>
    <w:p>
      <w:pPr>
        <w:ind w:left="5580" w:right="5420" w:hanging="4492"/>
        <w:spacing w:after="0" w:line="670" w:lineRule="auto"/>
        <w:tabs>
          <w:tab w:leader="none" w:pos="1626"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 Key Project Documents to which any Guarantor is a party, 149</w:t>
      </w:r>
    </w:p>
    <w:p>
      <w:pPr>
        <w:spacing w:after="0" w:line="171" w:lineRule="exact"/>
        <w:rPr>
          <w:rFonts w:ascii="Arial" w:cs="Arial" w:eastAsia="Arial" w:hAnsi="Arial"/>
          <w:sz w:val="15"/>
          <w:szCs w:val="15"/>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Phase II Land and water rights held by Valvino Lamore,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perfected second priority pledge of the equity interests held by Valvino Lamore in: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Desert Inn Water Company, LLC, which owns all of the stock of Desert Inn Improvement Co.,</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a Part 91 federal aviation authority certificate,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World Travel, LLC, which owns the corporate aircraft and leases it to Las Vegas Jet, LLC,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Guarantors (other than Valvino Lamore) in any Restricted Entity, Wynn Las Vegas or any of its Restricted Subsidiaries, including the equity interests held by Wynn Group Nevada, LLC in Wynn Resorts Holdings, by Wynn Resorts Holdings in Wynn Las Vegas and Palo, LLC and by Desert Inn Water Company, LLC in Desert Inn Improvement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Guarantees will not be secured by a security interest in the Aircraft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Representatives of the lenders under the Credit Agreement, the trustee and the Issuers will enter into an intercreditor agreement (the "Project Intercreditor Agreement") that will govern the relations between the noteholders and the lenders under the Credit Agreement with respect to the Collateral other than the FF&amp;E Collateral. Representatives of the lenders under the Credit Agreement, the agent for the lenders under the FF&amp;E Facility, the trustee and the Issuers will enter into a different intercreditor agreement (the "FF&amp;E Intercreditor Agreement") that will govern the relations between the noteholders, the lenders under the Credit Agreement and the lenders under the FF&amp;E Facility with respect to the FF&amp;E Collateral. See "Intercreditor Agreements."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Golf Course Land and Phase II Land</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noteholders' security interests in all or certain portions of the Golf Course Land (and the related water rights) and in all of the Phase II Land may be released under the circumstances described below. Upon any such release of those security interests, the disposition or transfer of such assets will no longer be subject to any of the restrictive covenants in the indenture.</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Release of All of the Golf Course Land. </w:t>
      </w:r>
      <w:r>
        <w:rPr>
          <w:rFonts w:ascii="Arial" w:cs="Arial" w:eastAsia="Arial" w:hAnsi="Arial"/>
          <w:sz w:val="18"/>
          <w:szCs w:val="18"/>
          <w:color w:val="auto"/>
        </w:rPr>
        <w:t>The security interests in all of the Golf Course Land, the stock of Desert Inn Improvement Co.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water rights will be released so long as:</w:t>
      </w:r>
    </w:p>
    <w:p>
      <w:pPr>
        <w:spacing w:after="0" w:line="199" w:lineRule="exact"/>
        <w:rPr>
          <w:sz w:val="20"/>
          <w:szCs w:val="20"/>
          <w:color w:val="auto"/>
        </w:rPr>
      </w:pPr>
    </w:p>
    <w:p>
      <w:pPr>
        <w:ind w:left="1080" w:right="32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 binding agreement is entered into) and after giving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pro forma effect to that release (as if, for purposes of calculating the Consolidated Leverage Ratio, such release had been made at the beginning of the applicable four-quarter period):</w:t>
      </w:r>
    </w:p>
    <w:p>
      <w:pPr>
        <w:spacing w:after="0" w:line="199" w:lineRule="exact"/>
        <w:rPr>
          <w:sz w:val="20"/>
          <w:szCs w:val="20"/>
          <w:color w:val="auto"/>
        </w:rPr>
      </w:pPr>
    </w:p>
    <w:p>
      <w:pPr>
        <w:ind w:left="1620" w:hanging="532"/>
        <w:spacing w:after="0"/>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Default or Event of Default exists,</w:t>
      </w:r>
    </w:p>
    <w:p>
      <w:pPr>
        <w:spacing w:after="0" w:line="252"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release occurs on or after the third anniversary of the Completion Date,</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Golf Course Land, the stock of Desert Inn Improvement Co. and the water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Desert Inn Water Company owns no assets other than the stock of Desert Inn Improvement Co.,</w:t>
      </w:r>
    </w:p>
    <w:p>
      <w:pPr>
        <w:sectPr>
          <w:pgSz w:w="11900" w:h="16838" w:orient="portrait"/>
          <w:cols w:equalWidth="0" w:num="1">
            <w:col w:w="11420"/>
          </w:cols>
          <w:pgMar w:left="240" w:top="145" w:right="239" w:bottom="0" w:gutter="0" w:footer="0" w:header="0"/>
        </w:sectPr>
      </w:pPr>
    </w:p>
    <w:bookmarkStart w:id="83" w:name="page84"/>
    <w:bookmarkEnd w:id="83"/>
    <w:p>
      <w:pPr>
        <w:ind w:left="1080" w:right="4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water rights that are released are not necessary for the operation or use of the Project after giving effect to the release of the Golf Course Land, and</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Wynn Resorts Holdings delivers an officers' certificate (including supporting calculations in reasonable detail) to the trustee confirming that the conditions in clauses (a), (b), (c), (d) and (e) above have been satisfied.</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Release of Portions of the Golf Course Land. </w:t>
      </w:r>
      <w:r>
        <w:rPr>
          <w:rFonts w:ascii="Arial" w:cs="Arial" w:eastAsia="Arial" w:hAnsi="Arial"/>
          <w:sz w:val="16"/>
          <w:szCs w:val="16"/>
          <w:color w:val="auto"/>
        </w:rPr>
        <w:t>The security interests granted by Wynn Resorts Holdings in certain portions of the Golf Course Land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released if the lenders under the Credit Agreement concurrently release their first priority security interest in such portions of the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resulting in another party having a first priority lien on those assets.</w:t>
      </w:r>
    </w:p>
    <w:p>
      <w:pPr>
        <w:spacing w:after="0" w:line="17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Credit Agreement currently provides that the lenders will release their security interests in the portions of the Golf Course Land when Wynn Las Vegas achieves a specified minimum level of Consolidated EBITDA for four consecutive fiscal quarters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pacing w:after="0" w:line="198"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 xml:space="preserve">Release of Homesite Acreage. </w:t>
      </w:r>
      <w:r>
        <w:rPr>
          <w:rFonts w:ascii="Arial" w:cs="Arial" w:eastAsia="Arial" w:hAnsi="Arial"/>
          <w:sz w:val="18"/>
          <w:szCs w:val="18"/>
          <w:color w:val="auto"/>
        </w:rPr>
        <w:t>The security interests in approximately two acres of the Golf Course Land will be released in order to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personal residence for Stephen A. Wynn, so long as:</w:t>
      </w:r>
    </w:p>
    <w:p>
      <w:pPr>
        <w:spacing w:after="0" w:line="199" w:lineRule="exact"/>
        <w:rPr>
          <w:sz w:val="20"/>
          <w:szCs w:val="20"/>
          <w:color w:val="auto"/>
        </w:rPr>
      </w:pPr>
    </w:p>
    <w:p>
      <w:pPr>
        <w:ind w:left="5580" w:right="2540" w:hanging="5032"/>
        <w:spacing w:after="0" w:line="519" w:lineRule="auto"/>
        <w:tabs>
          <w:tab w:leader="none" w:pos="108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 151</w:t>
      </w:r>
    </w:p>
    <w:p>
      <w:pPr>
        <w:spacing w:after="0" w:line="225"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66"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purchase price is paid directly to Wynn Resorts Holdings so long as, prior to the release of the security interests, the purchase price is contributed in immediately available funds to</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Wynn Las Vegas as a common equity capital contribution (the "Steve Wynn Capital Contribution"),</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07"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portions of the Golf Course Land to be released by the trustee,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Wynn Resorts Holdings delivers an officers' certificate to the trustee confirming that the conditions in clauses (i), (ii), (iii), (iv) and (v) above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-2562225</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jc w:val="both"/>
        <w:ind w:right="60" w:firstLine="351"/>
        <w:spacing w:after="0" w:line="255" w:lineRule="auto"/>
        <w:rPr>
          <w:sz w:val="20"/>
          <w:szCs w:val="20"/>
          <w:color w:val="auto"/>
        </w:rPr>
      </w:pPr>
      <w:r>
        <w:rPr>
          <w:rFonts w:ascii="Arial" w:cs="Arial" w:eastAsia="Arial" w:hAnsi="Arial"/>
          <w:sz w:val="18"/>
          <w:szCs w:val="18"/>
          <w:i w:val="1"/>
          <w:iCs w:val="1"/>
          <w:color w:val="auto"/>
        </w:rPr>
        <w:t xml:space="preserve">Release of the Phase II Land. </w:t>
      </w:r>
      <w:r>
        <w:rPr>
          <w:rFonts w:ascii="Arial" w:cs="Arial" w:eastAsia="Arial" w:hAnsi="Arial"/>
          <w:sz w:val="18"/>
          <w:szCs w:val="18"/>
          <w:color w:val="auto"/>
        </w:rPr>
        <w:t>The security interests granted by Valvino Lamore in the Phase II Land to secure its obligations under its Guarantee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resulting in another party having a first priority lien in those assets.</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Credit Agreement currently provides that the lenders will release their security interests in the Phase II Land when Wynn Las Vegas achieves specified minimum levels of Consolidated EBITDA for either two or four consecutive fiscal quarters.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170" w:lineRule="exact"/>
        <w:rPr>
          <w:sz w:val="20"/>
          <w:szCs w:val="20"/>
          <w:color w:val="auto"/>
        </w:rPr>
      </w:pPr>
    </w:p>
    <w:p>
      <w:pPr>
        <w:ind w:right="280" w:firstLine="359"/>
        <w:spacing w:after="0" w:line="332" w:lineRule="auto"/>
        <w:tabs>
          <w:tab w:leader="none" w:pos="64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9"/>
        <w:spacing w:after="0" w:line="268" w:lineRule="auto"/>
        <w:tabs>
          <w:tab w:leader="none" w:pos="6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ectPr>
          <w:pgSz w:w="11900" w:h="16838" w:orient="portrait"/>
          <w:cols w:equalWidth="0" w:num="1">
            <w:col w:w="11400"/>
          </w:cols>
          <w:pgMar w:left="240" w:top="145" w:right="259" w:bottom="1" w:gutter="0" w:footer="0" w:header="0"/>
        </w:sectPr>
      </w:pPr>
    </w:p>
    <w:bookmarkStart w:id="84" w:name="page85"/>
    <w:bookmarkEnd w:id="84"/>
    <w:p>
      <w:pPr>
        <w:ind w:right="80" w:firstLine="359"/>
        <w:spacing w:after="0" w:line="332" w:lineRule="auto"/>
        <w:tabs>
          <w:tab w:leader="none" w:pos="64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nothing contained in this paragraph shall be deemed to restrict the ability of Wynn Las Vegas to make the Restricted Payments permitted to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occurrence of an Event of Default under the covenant captioned "Certain Covenants—Restricted Payments."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225" w:lineRule="exact"/>
        <w:rPr>
          <w:sz w:val="20"/>
          <w:szCs w:val="20"/>
          <w:color w:val="auto"/>
        </w:rPr>
      </w:pPr>
    </w:p>
    <w:p>
      <w:pPr>
        <w:ind w:right="40" w:firstLine="348"/>
        <w:spacing w:after="0" w:line="305" w:lineRule="auto"/>
        <w:rPr>
          <w:sz w:val="20"/>
          <w:szCs w:val="20"/>
          <w:color w:val="auto"/>
        </w:rPr>
      </w:pPr>
      <w:r>
        <w:rPr>
          <w:rFonts w:ascii="Arial" w:cs="Arial" w:eastAsia="Arial" w:hAnsi="Arial"/>
          <w:sz w:val="15"/>
          <w:szCs w:val="15"/>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w:t>
      </w:r>
    </w:p>
    <w:p>
      <w:pPr>
        <w:ind w:right="340" w:firstLine="8"/>
        <w:spacing w:after="0" w:line="261" w:lineRule="auto"/>
        <w:tabs>
          <w:tab w:leader="none" w:pos="2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unless consented to in advance by the Nevada Gaming Authorities, the ownership interests of any person that holds any such license. See "Risk Factors— Preference Risk."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225"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Offerings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 Bankruptcy Code permits the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Nevada Public Utility Commission Limitations on Foreclosure</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Nevada Revised Statutes 704.668 prohibits small water utilities such as Desert Inn Improvement Co. from selling or otherwise disposing of water rights without the prior approval from the PUC. In a separate subsection of the statute, prior PUC approval is also required in order for a small water utility to encumber its water rights by way of mortgage, deed of trust, security agreement or otherwise. Desert Inn Improvement Co. will seek PUC approval to encumber the water rights held by it by whatever instrument is deemed appropriate to do so. The PUC may also require a prior application if a sale or transfer were to occur by way of a foreclosure, since such an event would result in the water rights being taken out of the total control of the utility.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Paying Agent and Registrar for the Notes</w:t>
      </w:r>
    </w:p>
    <w:p>
      <w:pPr>
        <w:sectPr>
          <w:pgSz w:w="11900" w:h="16838" w:orient="portrait"/>
          <w:cols w:equalWidth="0" w:num="1">
            <w:col w:w="11420"/>
          </w:cols>
          <w:pgMar w:left="240" w:top="131" w:right="239" w:bottom="229" w:gutter="0" w:footer="0" w:header="0"/>
          <w:type w:val="continuous"/>
        </w:sectPr>
      </w:pPr>
    </w:p>
    <w:bookmarkStart w:id="85" w:name="page86"/>
    <w:bookmarkEnd w:id="85"/>
    <w:p>
      <w:pPr>
        <w:spacing w:after="0" w:line="4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and either of the Issuers or any of their subsidiaries may act as paying agent or registrar.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239"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accept for payment all notes or portions of the notes properly tendered pursuant to the Change of Control Offer;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the notes so tendered; and</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$1,000 or an integral multiple of $1,000. The Issuers will publicly announce the results of the Change of Control Offer on or as soon as practicable after the Change of Control Payment Date.</w:t>
      </w:r>
    </w:p>
    <w:p>
      <w:pPr>
        <w:spacing w:after="0" w:line="16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 provisions that permit the holders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require that the Issuers repurchase or redeem notes in the event of a takeover, recapitalization or similar transaction.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its Restricted Subsidiaries and the Restricted Entities, taken as a whole, or Wynn Las Vegas and its Restricted Subsidiaries, taken as a whole, to another Person or group may be uncertain.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nor will Wynn Las Vegas permit any of its Restricted Subsidiaries to, consummate an Asset Sale unless:</w:t>
      </w:r>
    </w:p>
    <w:p>
      <w:pPr>
        <w:spacing w:after="0" w:line="199"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Asset Sale;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with respect to Non-Project Assets, the Project is Operating;</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least 75% (or 95%, in the case of any Asset Sale that occurs on or before the Completion Date) of the consideration received in the Asset Sale by the applicable entity is in the form of cash or Cash Equivalents.</w:t>
      </w:r>
    </w:p>
    <w:p>
      <w:pPr>
        <w:sectPr>
          <w:pgSz w:w="11900" w:h="16879" w:orient="portrait"/>
          <w:cols w:equalWidth="0" w:num="1">
            <w:col w:w="11420"/>
          </w:cols>
          <w:pgMar w:left="240" w:top="131" w:right="239" w:bottom="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221"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After the receipt of any Net Proceeds from an Asset Sale by Wynn Las Vegas, any of its Restricted Subsidiaries or any Restricted Entity, the applicable entity:</w:t>
      </w:r>
    </w:p>
    <w:p>
      <w:pPr>
        <w:spacing w:after="0" w:line="199" w:lineRule="exact"/>
        <w:rPr>
          <w:sz w:val="20"/>
          <w:szCs w:val="20"/>
          <w:color w:val="auto"/>
        </w:rPr>
      </w:pPr>
    </w:p>
    <w:p>
      <w:pPr>
        <w:ind w:left="1080" w:right="40" w:hanging="532"/>
        <w:spacing w:after="0" w:line="256"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10"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 business permitted by the covenant described below under the caption "—Certain Covenants—Line of Business,"</w:t>
      </w:r>
    </w:p>
    <w:p>
      <w:pPr>
        <w:spacing w:after="0" w:line="1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security interest of the trustee, on behalf of the holders, will continue as a perfected security interest (subject only to the security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 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72"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on a pro rata basis. Upon completion of each Asset Sale Offer, the amount of Excess Proceeds will be reset at zero.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Events of Loss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 xml:space="preserve">After any Event of Loss occurring after the Final Completion Date with respect to any Collateral comprising the Project with a fair market value (or replacement cost, if greater) of up to $500.0 million, Wynn Las Vegas, the applicable Restricted Subsidiary of Wynn Las Vegas or the applicable Restricted Entity, as the case may be, will apply the Net Loss Proceeds from the Event of Loss to the rebuilding, repair, replacement or construction of improvements to the Project, with no obligation to make any purchase of any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 any such Collateral with a fair market value (or replacement cost, if higher) in excess of $15.0 million but less than or equal to $500.0 million:</w:t>
      </w:r>
    </w:p>
    <w:p>
      <w:pPr>
        <w:spacing w:after="0" w:line="252" w:lineRule="exact"/>
        <w:rPr>
          <w:sz w:val="20"/>
          <w:szCs w:val="20"/>
          <w:color w:val="auto"/>
        </w:rPr>
      </w:pPr>
    </w:p>
    <w:p>
      <w:pPr>
        <w:ind w:left="540" w:right="100" w:hanging="532"/>
        <w:spacing w:after="0" w:line="268"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199" w:lineRule="exact"/>
        <w:rPr>
          <w:rFonts w:ascii="Arial" w:cs="Arial" w:eastAsia="Arial" w:hAnsi="Arial"/>
          <w:sz w:val="18"/>
          <w:szCs w:val="18"/>
          <w:color w:val="auto"/>
        </w:rPr>
      </w:pPr>
    </w:p>
    <w:p>
      <w:pPr>
        <w:ind w:left="540" w:right="200" w:hanging="532"/>
        <w:spacing w:after="0" w:line="294"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83"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damaged Collateral is not necessary for and is not used in the operation of the Permitted Business of the Project, the applicable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9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ability of Wynn Las Vegas, the applicable Restricted Subsidiary of Wynn Las Vegas or any Restricted Entities to repair or restore any of the Collateral following an Event of Loss that occurs on or prior to the Final Completion Date will be governed by the Disbursement Agreement.</w:t>
      </w:r>
    </w:p>
    <w:p>
      <w:pPr>
        <w:spacing w:after="0" w:line="139" w:lineRule="exact"/>
        <w:rPr>
          <w:sz w:val="20"/>
          <w:szCs w:val="20"/>
          <w:color w:val="auto"/>
        </w:rPr>
      </w:pPr>
    </w:p>
    <w:p>
      <w:pPr>
        <w:ind w:right="240" w:firstLine="341"/>
        <w:spacing w:after="0" w:line="335" w:lineRule="auto"/>
        <w:rPr>
          <w:sz w:val="20"/>
          <w:szCs w:val="20"/>
          <w:color w:val="auto"/>
        </w:rPr>
      </w:pPr>
      <w:r>
        <w:rPr>
          <w:rFonts w:ascii="Arial" w:cs="Arial" w:eastAsia="Arial" w:hAnsi="Arial"/>
          <w:sz w:val="15"/>
          <w:szCs w:val="15"/>
          <w:color w:val="auto"/>
        </w:rPr>
        <w:t>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w:t>
      </w:r>
    </w:p>
    <w:p>
      <w:pPr>
        <w:sectPr>
          <w:pgSz w:w="11900" w:h="16838" w:orient="portrait"/>
          <w:cols w:equalWidth="0" w:num="1">
            <w:col w:w="11420"/>
          </w:cols>
          <w:pgMar w:left="240" w:top="131" w:right="239" w:bottom="0" w:gutter="0" w:footer="0" w:header="0"/>
        </w:sectPr>
      </w:pPr>
    </w:p>
    <w:bookmarkStart w:id="87" w:name="page88"/>
    <w:bookmarkEnd w:id="87"/>
    <w:p>
      <w:pPr>
        <w:ind w:right="20"/>
        <w:spacing w:after="0" w:line="291" w:lineRule="auto"/>
        <w:rPr>
          <w:sz w:val="20"/>
          <w:szCs w:val="20"/>
          <w:color w:val="auto"/>
        </w:rPr>
      </w:pPr>
      <w:r>
        <w:rPr>
          <w:rFonts w:ascii="Arial" w:cs="Arial" w:eastAsia="Arial" w:hAnsi="Arial"/>
          <w:sz w:val="16"/>
          <w:szCs w:val="16"/>
          <w:color w:val="auto"/>
        </w:rPr>
        <w:t>Vegas will make an offer (an "Event of Loss Offer") to all holders to purchase the maximum principal amount of notes that may be purchased out of the Excess Loss Proceeds. The offer price in any Event of Loss Offer will be 100% of the principal amount of the notes to be purchased, plus accrued and 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 Selection and Notice". Upon completion of each Event of Loss Offer, the amount of Excess Loss Proceeds will be reset at zero.</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the Credit Agreement, or</w:t>
      </w:r>
    </w:p>
    <w:p>
      <w:pPr>
        <w:spacing w:after="0" w:line="38" w:lineRule="exact"/>
        <w:rPr>
          <w:sz w:val="20"/>
          <w:szCs w:val="20"/>
          <w:color w:val="auto"/>
        </w:rPr>
      </w:pPr>
    </w:p>
    <w:p>
      <w:pPr>
        <w:jc w:val="both"/>
        <w:ind w:right="40" w:firstLine="8"/>
        <w:spacing w:after="0" w:line="255" w:lineRule="auto"/>
        <w:tabs>
          <w:tab w:leader="none" w:pos="2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99" w:lineRule="exact"/>
        <w:rPr>
          <w:sz w:val="20"/>
          <w:szCs w:val="20"/>
          <w:color w:val="auto"/>
        </w:rPr>
      </w:pPr>
    </w:p>
    <w:p>
      <w:pPr>
        <w:ind w:left="540" w:right="60" w:hanging="532"/>
        <w:spacing w:after="0" w:line="268"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Las Vegas' Board of Directors set forth in an officers' certificate delivered to the trustee) of the property or assets subject to the Event of Loss;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90% of which is in the form of cash or Cash Equivalents.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Repurchase of Notes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its Restricted Subsidiaries and the Restricted Entities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Factors—"We may not have the ability to raise the funds necessary to finance a change of control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231" w:lineRule="exact"/>
        <w:rPr>
          <w:sz w:val="20"/>
          <w:szCs w:val="20"/>
          <w:color w:val="auto"/>
        </w:rPr>
      </w:pPr>
    </w:p>
    <w:p>
      <w:pPr>
        <w:jc w:val="both"/>
        <w:ind w:right="160" w:firstLine="348"/>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239" w:lineRule="exact"/>
        <w:rPr>
          <w:sz w:val="20"/>
          <w:szCs w:val="20"/>
          <w:color w:val="auto"/>
        </w:rPr>
      </w:pPr>
    </w:p>
    <w:p>
      <w:pPr>
        <w:ind w:left="540" w:right="12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notes are not listed on any national securities exchange, on a pro rata basis, by lot or by any other method the trustee deems fair and appropriate.</w:t>
      </w:r>
    </w:p>
    <w:p>
      <w:pPr>
        <w:spacing w:after="0" w:line="248"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notes of $1,000 or less can be redeemed in part. Notices of redemption will be mailed by first class mail at least 30 but not more than 60 days before the redemption date to each Holder of notes to be redeemed at its registered address. Notices of redemption may not be conditional.</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88" w:name="page89"/>
    <w:bookmarkEnd w:id="88"/>
    <w:p>
      <w:pPr>
        <w:ind w:left="540" w:right="80"/>
        <w:spacing w:after="0" w:line="255" w:lineRule="auto"/>
        <w:rPr>
          <w:sz w:val="20"/>
          <w:szCs w:val="20"/>
          <w:color w:val="auto"/>
        </w:rPr>
      </w:pPr>
      <w:r>
        <w:rPr>
          <w:rFonts w:ascii="Arial" w:cs="Arial" w:eastAsia="Arial" w:hAnsi="Arial"/>
          <w:sz w:val="18"/>
          <w:szCs w:val="18"/>
          <w:color w:val="auto"/>
        </w:rPr>
        <w:t>declare or pay any dividend or make any other payment or distribution on account of any Equity Interests of Wynn Las Vegas or any Restricted Entity (including, without limitation, any payment in connection with any merger or consolidation) or to the direct or indirect holders of any Equity Interests of Wynn Las Vegas or any Restricted Entity in any capacity (other than dividends or distributions payable in Equity Interests (other than Disqualified Stock) of Wynn Las Vegas or any Restricted Entity or pro rata dividends or distributions payable to Wynn Las Vegas or any of Wynn Las Vegas' Restricted Subsidiaries);</w:t>
      </w:r>
    </w:p>
    <w:p>
      <w:pPr>
        <w:spacing w:after="0" w:line="210" w:lineRule="exact"/>
        <w:rPr>
          <w:sz w:val="20"/>
          <w:szCs w:val="20"/>
          <w:color w:val="auto"/>
        </w:rPr>
      </w:pPr>
    </w:p>
    <w:p>
      <w:pPr>
        <w:jc w:val="both"/>
        <w:ind w:left="540" w:right="440" w:hanging="532"/>
        <w:spacing w:after="0" w:line="259"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Valvino Lamore or any Restricted Entity;</w:t>
      </w:r>
    </w:p>
    <w:p>
      <w:pPr>
        <w:spacing w:after="0" w:line="221"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"Restricted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39"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Project is Operating;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238"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305" w:lineRule="auto"/>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Wynn Las Vegas, any of its Restricted Subsidiaries or any Restricted Entity after the date of the indenture (excluding Restricted Payments permitted by clauses (2), (3), (5) and (12) (with respect to</w:t>
      </w:r>
    </w:p>
    <w:p>
      <w:pPr>
        <w:ind w:left="540" w:right="180"/>
        <w:spacing w:after="0" w:line="261" w:lineRule="auto"/>
        <w:rPr>
          <w:rFonts w:ascii="Arial" w:cs="Arial" w:eastAsia="Arial" w:hAnsi="Arial"/>
          <w:sz w:val="15"/>
          <w:szCs w:val="15"/>
          <w:color w:val="auto"/>
        </w:rPr>
      </w:pPr>
      <w:r>
        <w:rPr>
          <w:rFonts w:ascii="Arial" w:cs="Arial" w:eastAsia="Arial" w:hAnsi="Arial"/>
          <w:sz w:val="18"/>
          <w:szCs w:val="18"/>
          <w:color w:val="auto"/>
        </w:rPr>
        <w:t>clause (5) to the extent such Restricted Payments were already deducted from Consolidated Net Income)) of the next succeeding paragraph), is less than the sum, without duplication, of:</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jc w:val="both"/>
        <w:ind w:left="1080" w:right="160" w:hanging="532"/>
        <w:spacing w:after="0" w:line="256"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080" w:hanging="532"/>
        <w:spacing w:after="0" w:line="287"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100% of the aggregate Net New Equity Proceeds since the date of the indenture,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(i) to the extent those proceeds are utilized as a basis for incurring Indebtedness pursuant to clause (11) or (12) of the second paragraph of the covenant captioned "— Incurrence of Indebtedness and Issuance of Preferred Equity," (ii) any capital contributions made to Wynn Las Vegas for the purpose of satisfying the "in-balance" requirements of the Disbursement Agreement, and (iii) 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calculating the Fixed Charge Coverage Ratio under this subclause (iii), the Fixed Charges of Wynn Resorts shall be included as a Fixed Charge in the calculation of "Fixed Charges," </w:t>
      </w:r>
      <w:r>
        <w:rPr>
          <w:rFonts w:ascii="Arial" w:cs="Arial" w:eastAsia="Arial" w:hAnsi="Arial"/>
          <w:sz w:val="16"/>
          <w:szCs w:val="16"/>
          <w:i w:val="1"/>
          <w:iCs w:val="1"/>
          <w:color w:val="auto"/>
        </w:rPr>
        <w:t>plus</w:t>
      </w:r>
    </w:p>
    <w:p>
      <w:pPr>
        <w:spacing w:after="0" w:line="190" w:lineRule="exact"/>
        <w:rPr>
          <w:rFonts w:ascii="Arial" w:cs="Arial" w:eastAsia="Arial" w:hAnsi="Arial"/>
          <w:sz w:val="16"/>
          <w:szCs w:val="16"/>
          <w:color w:val="auto"/>
        </w:rPr>
      </w:pPr>
    </w:p>
    <w:p>
      <w:pPr>
        <w:ind w:left="1080" w:right="220" w:hanging="532"/>
        <w:spacing w:after="0" w:line="291"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201" w:lineRule="exact"/>
        <w:rPr>
          <w:rFonts w:ascii="Arial" w:cs="Arial" w:eastAsia="Arial" w:hAnsi="Arial"/>
          <w:sz w:val="16"/>
          <w:szCs w:val="16"/>
          <w:color w:val="auto"/>
        </w:rPr>
      </w:pPr>
    </w:p>
    <w:p>
      <w:pPr>
        <w:ind w:left="1080" w:right="220" w:hanging="532"/>
        <w:spacing w:after="0" w:line="259" w:lineRule="auto"/>
        <w:tabs>
          <w:tab w:leader="none" w:pos="10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 Restricted Subsidiary after the date of the indenture from an Unrestricted Subsidiary of Wynn Las Vegas, to the extent that such dividends or distributions were not otherwise included in Consolidated Net Income of Wynn Las Vegas and its Restricted Subsidiaries, </w:t>
      </w:r>
      <w:r>
        <w:rPr>
          <w:rFonts w:ascii="Arial" w:cs="Arial" w:eastAsia="Arial" w:hAnsi="Arial"/>
          <w:sz w:val="18"/>
          <w:szCs w:val="18"/>
          <w:i w:val="1"/>
          <w:iCs w:val="1"/>
          <w:color w:val="auto"/>
        </w:rPr>
        <w:t>plus</w:t>
      </w:r>
    </w:p>
    <w:p>
      <w:pPr>
        <w:spacing w:after="0" w:line="207" w:lineRule="exact"/>
        <w:rPr>
          <w:rFonts w:ascii="Arial" w:cs="Arial" w:eastAsia="Arial" w:hAnsi="Arial"/>
          <w:sz w:val="18"/>
          <w:szCs w:val="18"/>
          <w:color w:val="auto"/>
        </w:rPr>
      </w:pPr>
    </w:p>
    <w:p>
      <w:pPr>
        <w:ind w:left="1080" w:right="200" w:hanging="532"/>
        <w:spacing w:after="0" w:line="306" w:lineRule="auto"/>
        <w:tabs>
          <w:tab w:leader="none" w:pos="10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With respect to (a) any payments made pursuant to clauses (1), (2), (3), (6), (7), (8), (9), (10), (11) and (12) below, so long as no Default or Event of Default has occurred and is continuing or would be caused by the payments, and (b) any payments made pursuant to clauses (4) and (5) below, regardless of whether any Default or Event of Default has occurred and is continuing or would be caused by the payment, the preceding provisions will not prohibit: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89" w:name="page90"/>
    <w:bookmarkEnd w:id="89"/>
    <w:p>
      <w:pPr>
        <w:ind w:left="540" w:right="200"/>
        <w:spacing w:after="0" w:line="259" w:lineRule="auto"/>
        <w:rPr>
          <w:sz w:val="20"/>
          <w:szCs w:val="20"/>
          <w:color w:val="auto"/>
        </w:rPr>
      </w:pPr>
      <w:r>
        <w:rPr>
          <w:rFonts w:ascii="Arial" w:cs="Arial" w:eastAsia="Arial" w:hAnsi="Arial"/>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208" w:lineRule="exact"/>
        <w:rPr>
          <w:sz w:val="20"/>
          <w:szCs w:val="20"/>
          <w:color w:val="auto"/>
        </w:rPr>
      </w:pPr>
    </w:p>
    <w:p>
      <w:pPr>
        <w:ind w:left="540" w:right="20" w:hanging="532"/>
        <w:spacing w:after="0" w:line="255"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redemption, repurchase, retirement, defeasance or other acquisition of any subordinated Indebtedness of Wynn Las Vegas or any of its Restricted Subsidiaries or Equity Interests of Wynn Las Vegas in exchange for, or out of the net cash proceeds of the substantially concurrent sale (other than to a Subsidiary of Wynn Las Vegas) of, Equity Interests of Wynn Las Vegas (other than Disqualified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any such net cash proceeds that are utilized for any such redemption, repurchase, retirement, defeasance or other acquisition shall be excluded from clause (4)(b) of the preceding paragraph;</w:t>
      </w:r>
    </w:p>
    <w:p>
      <w:pPr>
        <w:spacing w:after="0" w:line="223" w:lineRule="exact"/>
        <w:rPr>
          <w:rFonts w:ascii="Arial" w:cs="Arial" w:eastAsia="Arial" w:hAnsi="Arial"/>
          <w:sz w:val="18"/>
          <w:szCs w:val="18"/>
          <w:color w:val="auto"/>
        </w:rPr>
      </w:pPr>
    </w:p>
    <w:p>
      <w:pPr>
        <w:ind w:left="540" w:right="680" w:hanging="532"/>
        <w:spacing w:after="0" w:line="268"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defeasance, redemption, repurchase or other acquisition of subordinated Indebtedness of Wynn Las Vegas with the net cash proceeds from an incurrence of Permitted Refinancing Indebtedness;</w:t>
      </w:r>
    </w:p>
    <w:p>
      <w:pPr>
        <w:spacing w:after="0" w:line="199" w:lineRule="exact"/>
        <w:rPr>
          <w:rFonts w:ascii="Arial" w:cs="Arial" w:eastAsia="Arial" w:hAnsi="Arial"/>
          <w:sz w:val="18"/>
          <w:szCs w:val="18"/>
          <w:color w:val="auto"/>
        </w:rPr>
      </w:pPr>
    </w:p>
    <w:p>
      <w:pPr>
        <w:ind w:left="540" w:hanging="532"/>
        <w:spacing w:after="0" w:line="290"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distribution to Wynn Resorts, directly or through any intermediate Wholly-Owned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85"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any of its Restricted Subsidiaries or any Restricted Entity with respect to any period during which such entity is a Pass Through Entity or a Consolidated Member, such distributions in an aggregate amount not to exceed the Tax Amount for such period;</w:t>
      </w:r>
    </w:p>
    <w:p>
      <w:pPr>
        <w:spacing w:after="0" w:line="221" w:lineRule="exact"/>
        <w:rPr>
          <w:rFonts w:ascii="Arial" w:cs="Arial" w:eastAsia="Arial" w:hAnsi="Arial"/>
          <w:sz w:val="18"/>
          <w:szCs w:val="18"/>
          <w:color w:val="auto"/>
        </w:rPr>
      </w:pPr>
    </w:p>
    <w:p>
      <w:pPr>
        <w:ind w:left="540" w:right="60" w:hanging="532"/>
        <w:spacing w:after="0" w:line="290"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 the repurchase, redemption or other acquisition or retirement for value of any Equity Interests of Wynn Resorts, or (b) the distribution to Wynn Resorts, directly or through any intermediate Wholly-Owned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6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payment of Management Fees when due and payable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74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distribution to Wynn Resorts of amounts remaining in the Completion Guarantee Deposit Account, following the release of such amounts in accordance with the Disbursement Agreement;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payments to World Travel, LLC of amounts payable under the Aircraft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payment of Budgeted Amounts pursuant to the Disbursement Agreement;</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payment of Allocable Overhead to Wynn Resorts or any of its Subsidiaries after the Completion Date to the extent then due and payable in respect of the period following the Completion Date;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(12) in an aggregate amount of not more than $10.0 million.</w:t>
      </w:r>
    </w:p>
    <w:p>
      <w:pPr>
        <w:spacing w:after="0" w:line="24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 Reports," the Issuers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Incurrence of Indebtedness and Issuance of Preferred Equity</w:t>
      </w:r>
    </w:p>
    <w:p>
      <w:pPr>
        <w:spacing w:after="0" w:line="225"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None of Wynn Las Vegas or any of the Restricted Entities will, and Wynn Las Vegas will not permit any of its Subsidiaries to, directly or indirectly, create, incur, issue, assume, guarantee or otherwise become directly or indirectly liable, contingently or otherwise, with respect to (collectively, "incur") any Indebtedness (including Acquired Debt), and none of Wynn Las Vegas or any of the Restricted Entities will issue any Disqualified Stock or shares of preferred stock and Wynn Las Vegas will not permit any of its Restricted Subsidiaries to issue any Disqualified Stock or shares of preferred equity;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Wynn Las Vegas and its Restricted Subsidiaries may incur Indebtedness (including Acquired Debt), if (1) the Project is Operating and (2) the Fixed Charge Coverage Ratio of Wynn Las Vegas for Wynn Las Vegas' most recently ended four full fiscal quarters following the Completion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ectPr>
          <w:pgSz w:w="11900" w:h="16838" w:orient="portrait"/>
          <w:cols w:equalWidth="0" w:num="1">
            <w:col w:w="11400"/>
          </w:cols>
          <w:pgMar w:left="240" w:top="13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90" w:name="page91"/>
    <w:bookmarkEnd w:id="90"/>
    <w:p>
      <w:pPr>
        <w:spacing w:after="0" w:line="15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199" w:lineRule="exact"/>
        <w:rPr>
          <w:sz w:val="20"/>
          <w:szCs w:val="20"/>
          <w:color w:val="auto"/>
        </w:rPr>
      </w:pPr>
    </w:p>
    <w:p>
      <w:pPr>
        <w:ind w:left="540" w:right="40" w:hanging="532"/>
        <w:spacing w:after="0" w:line="294"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aggregate amount of all permanent reductions in the revolving credit commitments under the Credit Agreement, </w:t>
      </w:r>
      <w:r>
        <w:rPr>
          <w:rFonts w:ascii="Arial" w:cs="Arial" w:eastAsia="Arial" w:hAnsi="Arial"/>
          <w:sz w:val="16"/>
          <w:szCs w:val="16"/>
          <w:i w:val="1"/>
          <w:iCs w:val="1"/>
          <w:color w:val="auto"/>
        </w:rPr>
        <w:t>less</w:t>
      </w:r>
      <w:r>
        <w:rPr>
          <w:rFonts w:ascii="Arial" w:cs="Arial" w:eastAsia="Arial" w:hAnsi="Arial"/>
          <w:sz w:val="16"/>
          <w:szCs w:val="16"/>
          <w:color w:val="auto"/>
        </w:rPr>
        <w:t xml:space="preserve"> (c) the aggregate amount of all principal repayments (other than regularly scheduled repayments of principal) and mandatory prepayments of non-revolving credit Indebtedness under the Credit Agreement;</w:t>
      </w:r>
    </w:p>
    <w:p>
      <w:pPr>
        <w:spacing w:after="0" w:line="196" w:lineRule="exact"/>
        <w:rPr>
          <w:rFonts w:ascii="Arial" w:cs="Arial" w:eastAsia="Arial" w:hAnsi="Arial"/>
          <w:sz w:val="16"/>
          <w:szCs w:val="16"/>
          <w:color w:val="auto"/>
        </w:rPr>
      </w:pPr>
    </w:p>
    <w:p>
      <w:pPr>
        <w:ind w:left="540" w:right="240" w:hanging="532"/>
        <w:spacing w:after="0" w:line="332"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incurrence by the Issuers, the Restricted Subsidiaries of Wynn Las Vegas and the Restricted Entities of their respective obligations arising under the notes, the Credit Agreement and, to the extent those obligations would represent Indebtedness, the Collateral Documents;</w:t>
      </w:r>
    </w:p>
    <w:p>
      <w:pPr>
        <w:spacing w:after="0" w:line="152" w:lineRule="exact"/>
        <w:rPr>
          <w:rFonts w:ascii="Arial" w:cs="Arial" w:eastAsia="Arial" w:hAnsi="Arial"/>
          <w:sz w:val="16"/>
          <w:szCs w:val="16"/>
          <w:color w:val="auto"/>
        </w:rPr>
      </w:pPr>
    </w:p>
    <w:p>
      <w:pPr>
        <w:jc w:val="both"/>
        <w:ind w:left="540" w:right="320" w:hanging="532"/>
        <w:spacing w:after="0" w:line="259"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or clauses (2) or (7) of this paragraph;</w:t>
      </w:r>
    </w:p>
    <w:p>
      <w:pPr>
        <w:spacing w:after="0" w:line="207" w:lineRule="exact"/>
        <w:rPr>
          <w:rFonts w:ascii="Arial" w:cs="Arial" w:eastAsia="Arial" w:hAnsi="Arial"/>
          <w:sz w:val="18"/>
          <w:szCs w:val="18"/>
          <w:color w:val="auto"/>
        </w:rPr>
      </w:pPr>
    </w:p>
    <w:p>
      <w:pPr>
        <w:ind w:left="540" w:right="60" w:hanging="532"/>
        <w:spacing w:after="0" w:line="294"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intercompany Indebtedness between or among Wynn Las Vegas and any of its Restricted Subsidiaries, the incurrence by the Restricted Entities of intercompany Indebtedness between or among the Restricted Entities, and the incurrence by the Restricted Entities of intercompany Indebtedness (to the extent that Wynn Las Vegas or a Restricted Subsidiary would be permitted to make loans giving rise to, or otherwise hold, such Indebtedness as a Restricted Payment under the covenant captioned "—Restricted Payments") owing to Wynn Las Vegas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hanging="532"/>
        <w:spacing w:after="0" w:line="255" w:lineRule="auto"/>
        <w:tabs>
          <w:tab w:leader="none" w:pos="10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if Wynn Las Vegas or any Guarantor is the obligor on the Indebtedness, the Indebtedness must be expressly subordinated in right of payment to the prior payment in full in cash of all Obligations with respect to the notes, in the case of the Wynn Las Vegas, or its guarantee under the Guarantee and Collateral Agreement to which it is a party, in the case of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Indebtedness of Wynn Las Vegas or any Guarantor will be deemed to be contractually subordinated in right of payment to any other Indebtedness of Wynn Las Vegas or any such Guarantor solely by virtue of being unsecured; and</w:t>
      </w:r>
    </w:p>
    <w:p>
      <w:pPr>
        <w:spacing w:after="0" w:line="210" w:lineRule="exact"/>
        <w:rPr>
          <w:rFonts w:ascii="Arial" w:cs="Arial" w:eastAsia="Arial" w:hAnsi="Arial"/>
          <w:sz w:val="18"/>
          <w:szCs w:val="18"/>
          <w:color w:val="auto"/>
        </w:rPr>
      </w:pPr>
    </w:p>
    <w:p>
      <w:pPr>
        <w:ind w:left="1080" w:hanging="532"/>
        <w:spacing w:after="0" w:line="298" w:lineRule="auto"/>
        <w:tabs>
          <w:tab w:leader="none" w:pos="10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or such Restricted Subsidiary, as the case may be, that was not permitted by this clause (4);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incurrence by Wynn Las Vegas or any of the Restricted Subsidiaries of Hedging Obligations that are incurred for the purpose of fixing or hedging interest rate risk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respect to any floating rate Indebtedness that is permitted by the terms of the indenture to be outstanding;</w:t>
      </w:r>
    </w:p>
    <w:p>
      <w:pPr>
        <w:spacing w:after="0" w:line="252" w:lineRule="exact"/>
        <w:rPr>
          <w:sz w:val="20"/>
          <w:szCs w:val="20"/>
          <w:color w:val="auto"/>
        </w:rPr>
      </w:pPr>
    </w:p>
    <w:p>
      <w:pPr>
        <w:ind w:left="540" w:hanging="532"/>
        <w:spacing w:after="0" w:line="259"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Indebtedness solely in respect of performance, surety, appeal or similar bonds or standby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bond or standby letter of credit is in an aggregate amount not to exceed $20.0 million at any one time outstanding;</w:t>
      </w:r>
    </w:p>
    <w:p>
      <w:pPr>
        <w:spacing w:after="0" w:line="207" w:lineRule="exact"/>
        <w:rPr>
          <w:rFonts w:ascii="Arial" w:cs="Arial" w:eastAsia="Arial" w:hAnsi="Arial"/>
          <w:sz w:val="18"/>
          <w:szCs w:val="18"/>
          <w:color w:val="auto"/>
        </w:rPr>
      </w:pPr>
    </w:p>
    <w:p>
      <w:pPr>
        <w:ind w:left="540" w:right="340" w:hanging="532"/>
        <w:spacing w:after="0" w:line="256"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100" w:hanging="532"/>
        <w:spacing w:after="0" w:line="259"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221" w:lineRule="exact"/>
        <w:rPr>
          <w:rFonts w:ascii="Arial" w:cs="Arial" w:eastAsia="Arial" w:hAnsi="Arial"/>
          <w:sz w:val="18"/>
          <w:szCs w:val="18"/>
          <w:color w:val="auto"/>
        </w:rPr>
      </w:pPr>
    </w:p>
    <w:p>
      <w:pPr>
        <w:jc w:val="both"/>
        <w:ind w:left="1080" w:right="200" w:hanging="532"/>
        <w:spacing w:after="0" w:line="259"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unless such Indebtedness is unsecured or is incurred under the FF&amp;E Facility, as in effect of the date of the indenture, then not less than 70% of aggregate fair market value of the purchase or lease costs of such FF&amp;E or other assets is paid with the proceeds of Indebtedness incurred under this clause (7), and</w:t>
      </w:r>
    </w:p>
    <w:p>
      <w:pPr>
        <w:spacing w:after="0" w:line="207" w:lineRule="exact"/>
        <w:rPr>
          <w:rFonts w:ascii="Arial" w:cs="Arial" w:eastAsia="Arial" w:hAnsi="Arial"/>
          <w:sz w:val="18"/>
          <w:szCs w:val="18"/>
          <w:color w:val="auto"/>
        </w:rPr>
      </w:pPr>
    </w:p>
    <w:p>
      <w:pPr>
        <w:ind w:left="1080" w:right="280" w:hanging="532"/>
        <w:spacing w:after="0" w:line="332" w:lineRule="auto"/>
        <w:tabs>
          <w:tab w:leader="none" w:pos="10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aggregate principal amount of such Indebtedness, including all Permitted Refinancing Indebtedness incurred to refund, refinance or replace any Indebtedness incurred pursuant to this clause, does not exceed an amount outstanding at any time equal to the greater of:</w:t>
      </w:r>
    </w:p>
    <w:p>
      <w:pPr>
        <w:spacing w:after="0" w:line="368" w:lineRule="exact"/>
        <w:rPr>
          <w:rFonts w:ascii="Arial" w:cs="Arial" w:eastAsia="Arial" w:hAnsi="Arial"/>
          <w:sz w:val="16"/>
          <w:szCs w:val="16"/>
          <w:color w:val="auto"/>
        </w:rPr>
      </w:pPr>
    </w:p>
    <w:p>
      <w:pPr>
        <w:ind w:left="1620" w:hanging="532"/>
        <w:spacing w:after="0" w:line="332" w:lineRule="auto"/>
        <w:tabs>
          <w:tab w:leader="none" w:pos="162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 xml:space="preserve">$178.5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(i) the aggregate amount of all principal repayments and mandatory prepayments made under the FF&amp;E Facility,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permanent commitment reductions under the FF&amp;E Facility resulting from the application of Asset Sale or Event of Loss proceeds, and</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$100.0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right="340" w:hanging="532"/>
        <w:spacing w:after="0" w:line="370" w:lineRule="auto"/>
        <w:tabs>
          <w:tab w:leader="none" w:pos="5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Guarantee by Wynn Las Vegas or any of its Restricted Subsidiaries of Indebtedness of any other of Wynn Las Vegas and any of its Restricted Subsidiaries or the Guarantee by any Restricted Entity of Indebtedness of another Restricted Entity, in either case, to the extent the Indebtedness to be</w:t>
      </w:r>
    </w:p>
    <w:p>
      <w:pPr>
        <w:sectPr>
          <w:pgSz w:w="11900" w:h="16989" w:orient="portrait"/>
          <w:cols w:equalWidth="0" w:num="1">
            <w:col w:w="11420"/>
          </w:cols>
          <w:pgMar w:left="240" w:top="131" w:right="239" w:bottom="0" w:gutter="0" w:footer="0" w:header="0"/>
        </w:sectPr>
      </w:pPr>
    </w:p>
    <w:bookmarkStart w:id="91" w:name="page92"/>
    <w:bookmarkEnd w:id="91"/>
    <w:p>
      <w:pPr>
        <w:ind w:left="540"/>
        <w:spacing w:after="0"/>
        <w:rPr>
          <w:sz w:val="20"/>
          <w:szCs w:val="20"/>
          <w:color w:val="auto"/>
        </w:rPr>
      </w:pPr>
      <w:r>
        <w:rPr>
          <w:rFonts w:ascii="Arial" w:cs="Arial" w:eastAsia="Arial" w:hAnsi="Arial"/>
          <w:sz w:val="18"/>
          <w:szCs w:val="18"/>
          <w:color w:val="auto"/>
        </w:rPr>
        <w:t>Guaranteed is permitted to be incurred by such other Restricted Entity by another provision of this covenant;</w:t>
      </w:r>
    </w:p>
    <w:p>
      <w:pPr>
        <w:spacing w:after="0" w:line="239" w:lineRule="exact"/>
        <w:rPr>
          <w:sz w:val="20"/>
          <w:szCs w:val="20"/>
          <w:color w:val="auto"/>
        </w:rPr>
      </w:pPr>
    </w:p>
    <w:p>
      <w:pPr>
        <w:ind w:left="540" w:hanging="532"/>
        <w:spacing w:after="0" w:line="259"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Valvino Lamore or any Restricted Entity permitted pursuant to the provisions of clause (6) of the covenant captioned "—Restricted Payments";</w:t>
      </w:r>
    </w:p>
    <w:p>
      <w:pPr>
        <w:spacing w:after="0" w:line="221" w:lineRule="exact"/>
        <w:rPr>
          <w:rFonts w:ascii="Arial" w:cs="Arial" w:eastAsia="Arial" w:hAnsi="Arial"/>
          <w:sz w:val="18"/>
          <w:szCs w:val="18"/>
          <w:color w:val="auto"/>
        </w:rPr>
      </w:pPr>
    </w:p>
    <w:p>
      <w:pPr>
        <w:ind w:left="540" w:right="40" w:hanging="532"/>
        <w:spacing w:after="0" w:line="306"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incurrence or issuance by Wynn Las Vegas' Unrestricted Subsidiaries of Non-Recourse Debt,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0" w:hanging="532"/>
        <w:spacing w:after="0" w:line="290"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to be used to develop and construct an entertainment facility on land included in the Project (other than the Phase II Land or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that entertainment facility,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 utilized as a basis for incurring Indebtedness pursuant to clause (12) below or to the making of Restricted Payments under clause (4)(b) of the second paragraph of the covenant captioned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incurred under the Credit Agreement or through the issuance of additional notes under the indenture, or is unsecured Indebtedness;</w:t>
      </w:r>
    </w:p>
    <w:p>
      <w:pPr>
        <w:spacing w:after="0" w:line="185" w:lineRule="exact"/>
        <w:rPr>
          <w:rFonts w:ascii="Arial" w:cs="Arial" w:eastAsia="Arial" w:hAnsi="Arial"/>
          <w:sz w:val="16"/>
          <w:szCs w:val="16"/>
          <w:color w:val="auto"/>
        </w:rPr>
      </w:pPr>
    </w:p>
    <w:p>
      <w:pPr>
        <w:ind w:left="540" w:right="280" w:hanging="532"/>
        <w:spacing w:after="0" w:line="290"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in an aggregate principal amount (or initial accreted value, as applicable) at any time outstanding incurred pursuant to this clause (12), not to exceed $50.0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incurred pursuant to this clause (12) prior to the Completion Date is matched dollar for dollar, by additional Net New Equity Proceeds received by Wynn Las Vegas or any of its Restricted Subsidiaries since the date of the indenture,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 utilized as a basis for incurring Indebtedness pursuant to clause (11) above or to the making of Restricted Payments under clause (4)(b) of the second paragraph of the covenant captioned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such Indebtedness is incurred under the Credit Agreement or the FF&amp;E Facility or through the issuance of additional notes under the indenture, or is unsecured Indebtedness; and</w:t>
      </w:r>
    </w:p>
    <w:p>
      <w:pPr>
        <w:spacing w:after="0" w:line="199" w:lineRule="exact"/>
        <w:rPr>
          <w:rFonts w:ascii="Arial" w:cs="Arial" w:eastAsia="Arial" w:hAnsi="Arial"/>
          <w:sz w:val="16"/>
          <w:szCs w:val="16"/>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accretion or amortization of original issue discount and the write-up of Indebtedness in accordance with GAAP purchase accounting.</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Indebtedness of Wynn Las Vegas or any Guarantor will be deemed to be contractually subordinated in right of payment to any other Indebtedness of Wynn Las Vegas or any such Restricted Subsidiary solely by virtue of being unsecured.</w:t>
      </w:r>
    </w:p>
    <w:p>
      <w:pPr>
        <w:spacing w:after="0" w:line="17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(13)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Subsidiaries to, directly or indirectly, create, incur, assume or suffer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exist any Lien of any kind on any asset now owned or hereafter acquired, or any proceeds, income or profits therefrom or assign or convey any right to receive income therefrom, except Permitted Liens.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of its Restricted Subsidiaries to:</w:t>
      </w:r>
    </w:p>
    <w:p>
      <w:pPr>
        <w:spacing w:after="0" w:line="199" w:lineRule="exact"/>
        <w:rPr>
          <w:sz w:val="20"/>
          <w:szCs w:val="20"/>
          <w:color w:val="auto"/>
        </w:rPr>
      </w:pPr>
    </w:p>
    <w:p>
      <w:pPr>
        <w:ind w:left="540" w:right="800" w:hanging="532"/>
        <w:spacing w:after="0" w:line="332" w:lineRule="auto"/>
        <w:tabs>
          <w:tab w:leader="none" w:pos="5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Guarantor, or with respect to any other interest or participation in, or measured by, its profits, or pay any indebtedness owed to Wynn Las Vegas or any Guarantor;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transfer any of its properties or assets to Wynn Las Vegas or any of its Restricted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39"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notes, the indenture or the Collateral Documents;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ectPr>
          <w:pgSz w:w="11900" w:h="16838" w:orient="portrait"/>
          <w:cols w:equalWidth="0" w:num="1">
            <w:col w:w="11400"/>
          </w:cols>
          <w:pgMar w:left="240" w:top="131" w:right="259" w:bottom="0" w:gutter="0" w:footer="0" w:header="0"/>
        </w:sectPr>
      </w:pPr>
    </w:p>
    <w:bookmarkStart w:id="92" w:name="page93"/>
    <w:bookmarkEnd w:id="92"/>
    <w:p>
      <w:pPr>
        <w:ind w:left="540" w:right="80" w:hanging="532"/>
        <w:spacing w:after="0" w:line="294"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applicable provisions of amendments, modifications, restatements, renewals, increases, supplements, refundings, replacements,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refinancings or agreements governing other Indebtedness are no more restrictive, taken as a whole, with respect to such dividend and other payment restrictions than those contained in the Credit Agreement and the FF&amp;E Facility on the date of the indenture;</w:t>
      </w:r>
    </w:p>
    <w:p>
      <w:pPr>
        <w:spacing w:after="0" w:line="196" w:lineRule="exact"/>
        <w:rPr>
          <w:rFonts w:ascii="Arial" w:cs="Arial" w:eastAsia="Arial" w:hAnsi="Arial"/>
          <w:sz w:val="16"/>
          <w:szCs w:val="16"/>
          <w:color w:val="auto"/>
        </w:rPr>
      </w:pPr>
    </w:p>
    <w:p>
      <w:pPr>
        <w:ind w:left="540" w:right="100" w:hanging="532"/>
        <w:spacing w:after="0" w:line="335" w:lineRule="auto"/>
        <w:tabs>
          <w:tab w:leader="none" w:pos="54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Restricted Subsidiary,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55" w:lineRule="exact"/>
        <w:rPr>
          <w:rFonts w:ascii="Arial" w:cs="Arial" w:eastAsia="Arial" w:hAnsi="Arial"/>
          <w:sz w:val="15"/>
          <w:szCs w:val="15"/>
          <w:color w:val="auto"/>
        </w:rPr>
      </w:pPr>
    </w:p>
    <w:p>
      <w:pPr>
        <w:jc w:val="both"/>
        <w:ind w:left="540" w:right="140" w:hanging="532"/>
        <w:spacing w:after="0" w:line="259"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that Restricted Subsidiary pending its sale or other disposition;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 w:hanging="53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207"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 assets of (a) Wynn Las Vegas, its Restricted Subsidiaries and the Restricted Entities, taken as a whole, (b) Wynn Las Vegas and its Restricted Subsidiaries, taken as a whole, or (c) in the case of a Guarantor, that Guarantor, in one or more related transactions, to another Person, unless:</w:t>
      </w:r>
    </w:p>
    <w:p>
      <w:pPr>
        <w:spacing w:after="0" w:line="180" w:lineRule="exact"/>
        <w:rPr>
          <w:sz w:val="20"/>
          <w:szCs w:val="20"/>
          <w:color w:val="auto"/>
        </w:rPr>
      </w:pPr>
    </w:p>
    <w:p>
      <w:pPr>
        <w:ind w:left="540" w:right="300" w:hanging="532"/>
        <w:spacing w:after="0" w:line="306"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187" w:lineRule="exact"/>
        <w:rPr>
          <w:rFonts w:ascii="Arial" w:cs="Arial" w:eastAsia="Arial" w:hAnsi="Arial"/>
          <w:sz w:val="16"/>
          <w:szCs w:val="16"/>
          <w:color w:val="auto"/>
        </w:rPr>
      </w:pPr>
    </w:p>
    <w:p>
      <w:pPr>
        <w:ind w:left="540" w:right="60" w:hanging="532"/>
        <w:spacing w:after="0" w:line="294"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Guarantees and the Collateral Documents pursuant to agreements reasonably satisfactory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(2) shall not apply to any merger, consolidation, sale, assignment, transfer, conveyance or other disposition of assets of a Guarantor with, into or to Wynn Las Vegas, so long as, in the case of any consolidation or merger, Wynn Las Vegas is the survivor of such consolidation or merger;</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38"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166"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such Issuer or Guarantor or the Person formed by or surviving any such consolidation or merger (if other than such Issuer or Guarantor), or to which such sale, assignment, transfer, conveyance or other disposition shall have been made: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440" w:hanging="532"/>
        <w:spacing w:after="0" w:line="259"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or Guarantor immediately preceding the transaction (excluding the effect of the professional fees, commissions, sales and other taxes, and other transactional costs that would otherwise reduce Consolidated Net Worth);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with respect to such Issuer only, on the date of such transaction after giving pro forma effect thereto and any related financing transactions as if the same had occurred at the beginning of the applicable four-quarter period, be permitted to incur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at least $1.00 of additional Indebtedness pursuant to the Fixed Charge Coverage Ratio test set forth in the first paragraph of the covenant described above under the caption "—Incurrence of Indebtedness and Issuance of Preferred Equity", and</w:t>
      </w:r>
    </w:p>
    <w:p>
      <w:pPr>
        <w:spacing w:after="0" w:line="213" w:lineRule="exact"/>
        <w:rPr>
          <w:sz w:val="20"/>
          <w:szCs w:val="20"/>
          <w:color w:val="auto"/>
        </w:rPr>
      </w:pPr>
    </w:p>
    <w:p>
      <w:pPr>
        <w:ind w:left="540" w:hanging="532"/>
        <w:spacing w:after="0" w:line="306"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holder or beneficial owner would not have been required to obtain a Gaming License or be qualified or found suitable under the laws of any applicable gaming jurisdiction in the absence of such transaction.</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Wynn Las Vegas and any of its Wholly Owned Restricted Subsidiaries that is a Guarantor.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foregoing, each Issuer and Guarantor is permitted to reorganize as a corporation pursuant to a Permitted C-Corp. Conversion.</w:t>
      </w:r>
    </w:p>
    <w:p>
      <w:pPr>
        <w:sectPr>
          <w:pgSz w:w="11900" w:h="16838" w:orient="portrait"/>
          <w:cols w:equalWidth="0" w:num="1">
            <w:col w:w="11420"/>
          </w:cols>
          <w:pgMar w:left="240" w:top="145" w:right="239" w:bottom="0" w:gutter="0" w:footer="0" w:header="0"/>
        </w:sectPr>
      </w:pPr>
    </w:p>
    <w:bookmarkStart w:id="93" w:name="page94"/>
    <w:bookmarkEnd w:id="93"/>
    <w:p>
      <w:pPr>
        <w:ind w:left="5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Board of Directors of Wynn Las Vegas may designate any Restricted Subsidiary, other than Wynn Capital, to be an Unrestricted Subsidiary of Wynn Las Vegas if that designation would not cause a Default. None of the Restricted Entities is permitted to have Unrestricted Subsidiaries. If a Restricted Subsidiary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otherwise meets the definition of an Unrestricted Subsidiary. The Board of Directors of Wynn Las Vegas may redesignate any Unrestricted Subsidiary to be a Restricted Subsidiary if the redesignation would not cause a Default.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None of Wynn Las Vegas or any of the Restricted Entities will, and Wynn Las Vegas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74" w:lineRule="exact"/>
        <w:rPr>
          <w:sz w:val="20"/>
          <w:szCs w:val="20"/>
          <w:color w:val="auto"/>
        </w:rPr>
      </w:pPr>
    </w:p>
    <w:p>
      <w:pPr>
        <w:ind w:left="540" w:right="120" w:hanging="532"/>
        <w:spacing w:after="0" w:line="268"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relevant entity than those that would have been obtained in a comparable transaction by such entity with an unrelated Person;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Wynn Las Vegas delivers to the trustee:</w:t>
      </w:r>
    </w:p>
    <w:p>
      <w:pPr>
        <w:spacing w:after="0" w:line="200" w:lineRule="exact"/>
        <w:rPr>
          <w:sz w:val="20"/>
          <w:szCs w:val="20"/>
          <w:color w:val="auto"/>
        </w:rPr>
      </w:pPr>
    </w:p>
    <w:p>
      <w:pPr>
        <w:spacing w:after="0" w:line="255" w:lineRule="exact"/>
        <w:rPr>
          <w:sz w:val="20"/>
          <w:szCs w:val="20"/>
          <w:color w:val="auto"/>
        </w:rPr>
      </w:pPr>
    </w:p>
    <w:p>
      <w:pPr>
        <w:jc w:val="both"/>
        <w:ind w:left="1080" w:right="200" w:hanging="532"/>
        <w:spacing w:after="0" w:line="259"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 complies with this covenant and that such Affiliate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Transaction has been approved by a majority of the Independent Directors of the applicable entity; and</w:t>
      </w:r>
    </w:p>
    <w:p>
      <w:pPr>
        <w:spacing w:after="0" w:line="239" w:lineRule="exact"/>
        <w:rPr>
          <w:sz w:val="20"/>
          <w:szCs w:val="20"/>
          <w:color w:val="auto"/>
        </w:rPr>
      </w:pPr>
    </w:p>
    <w:p>
      <w:pPr>
        <w:jc w:val="both"/>
        <w:ind w:left="1080" w:right="40" w:hanging="532"/>
        <w:spacing w:after="0" w:line="306"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an opinion as to the fairness to the applicable entity of such Affiliate Transaction from a financial point of view issued by an accounting, appraisal or investment banking firm of national standing prior to the consummation of such Affiliate Transaction.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275" w:lineRule="exact"/>
        <w:rPr>
          <w:sz w:val="20"/>
          <w:szCs w:val="20"/>
          <w:color w:val="auto"/>
        </w:rPr>
      </w:pPr>
    </w:p>
    <w:p>
      <w:pPr>
        <w:ind w:left="540" w:right="8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any of its Restricted Subsidiaries or any Restricted Entity in the ordinary course of business on terms customary in the applicable Permitted Business in which it operates;</w:t>
      </w:r>
    </w:p>
    <w:p>
      <w:pPr>
        <w:spacing w:after="0" w:line="199"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payments of Management Fees when due and payable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payment of reasonable directors' fees to directors of Wynn Resorts or any Guarantor, and customary indemnification and insurance arrangements in favor of such directors, in each case in the ordinary course of business;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transactions between or among Wynn Las Vegas and/or its Restricted Subsidiaries and Transactions between or among the Restricted Entities;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Restricted Payments that are permitted by the provisions of the indenture described above under the caption "—Restricted Payments;" and</w:t>
      </w:r>
    </w:p>
    <w:p>
      <w:pPr>
        <w:spacing w:after="0" w:line="261"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Construction</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Wynn Las Vegas and the Restricted Entities will construct the Project, including the furnishing, fixturing and equipping of the Project, with diligence and continuity in a good and workmanlike manner substantially in accordance with the Plans and Specifications.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Use of Proceeds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Leaseback Transactions</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Restricted Subsidiaries to, enter into any sale and leaseback transaction</w:t>
      </w:r>
    </w:p>
    <w:p>
      <w:pPr>
        <w:sectPr>
          <w:pgSz w:w="11900" w:h="16838" w:orient="portrait"/>
          <w:cols w:equalWidth="0" w:num="1">
            <w:col w:w="11420"/>
          </w:cols>
          <w:pgMar w:left="240" w:top="131" w:right="239" w:bottom="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(except with respect to the FF&amp;E Collateral or the Aircraft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Resorts Holdings, Wynn Las Vegas or any Restricted Subsidiary of Wynn Las Vegas may enter into a sale and leaseback transaction if:</w:t>
      </w:r>
    </w:p>
    <w:p>
      <w:pPr>
        <w:spacing w:after="0" w:line="199" w:lineRule="exact"/>
        <w:rPr>
          <w:sz w:val="20"/>
          <w:szCs w:val="20"/>
          <w:color w:val="auto"/>
        </w:rPr>
      </w:pPr>
    </w:p>
    <w:p>
      <w:pPr>
        <w:ind w:left="540" w:right="20" w:hanging="532"/>
        <w:spacing w:after="0" w:line="256"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pacing w:after="0" w:line="224"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Resorts Holdings, Wynn Las Vegas or that Restricted Subsidiary, as the case may be, and set forth in an officers' certificate delivered to the trustee, of the property that is the subject of that sale and leaseback transaction; and</w:t>
      </w:r>
    </w:p>
    <w:p>
      <w:pPr>
        <w:spacing w:after="0" w:line="207" w:lineRule="exact"/>
        <w:rPr>
          <w:rFonts w:ascii="Arial" w:cs="Arial" w:eastAsia="Arial" w:hAnsi="Arial"/>
          <w:sz w:val="18"/>
          <w:szCs w:val="18"/>
          <w:color w:val="auto"/>
        </w:rPr>
      </w:pPr>
    </w:p>
    <w:p>
      <w:pPr>
        <w:jc w:val="both"/>
        <w:ind w:left="540" w:right="220" w:hanging="532"/>
        <w:spacing w:after="0" w:line="259" w:lineRule="auto"/>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transfer of assets in that sale and leaseback transaction is permitted by, and Wynn Resorts Holdings, Wynn Las Vegas or such Restricted Subsidiary applies the proceeds of such transaction in compliance with, the covenant described above under the caption "—Repurchase at the Option of Holders— Asset Sales."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225"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 xml:space="preserve">None of Wynn Las Vegas or the Restricted Entities will, and Wynn Las Vegas will not permit any of its Subsidiaries to, engage in any business or investment activities other than the Permitted Business. None of Wynn Las Vegas nor any Restricted Entity nor any Subsidiary of Wynn Las Vegas may conduct a Permitted Business in any gaming jurisdiction in which such entity is not licensed on the date hereof if the holders of the notes would be required to be licensed as a result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described in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Phase II Land</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None of Wynn Las Vegas, the Restricted Entities or any of their respective Subsidiaries will, at any time prior to the date on which the security interests in the Phase II Land are released in accordance with the covenant entitled "—Release of Security Interests":</w:t>
      </w:r>
    </w:p>
    <w:p>
      <w:pPr>
        <w:spacing w:after="0" w:line="199" w:lineRule="exact"/>
        <w:rPr>
          <w:sz w:val="20"/>
          <w:szCs w:val="20"/>
          <w:color w:val="auto"/>
        </w:rPr>
      </w:pPr>
    </w:p>
    <w:p>
      <w:pPr>
        <w:ind w:left="540" w:right="100" w:hanging="532"/>
        <w:spacing w:after="0" w:line="268"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207"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Phase II Land or any building on the Phase II Land;</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anything to the contrary in clauses (1) through (3) above, the Phase II Land may be maintained and repaired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and any improvements existing on the Phase II Land on the date of the indenture may be remodeled to conform to the Project in accordance with the Plans and Specifications, and the interior of the existing improvements may be reconfigured to provide office space and associated amenities, gallery space or design support for the Project.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of Development of Golf Course Land</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None of Wynn Las Vegas, the Restricted Entities or any of their respective Subsidiaries will, at any time prior to the date on which the security interests in all of the Golf Course Land are released in accordance with the covenant entitled "—Release of Security Interests":</w:t>
      </w:r>
    </w:p>
    <w:p>
      <w:pPr>
        <w:spacing w:after="0" w:line="199" w:lineRule="exact"/>
        <w:rPr>
          <w:sz w:val="20"/>
          <w:szCs w:val="20"/>
          <w:color w:val="auto"/>
        </w:rPr>
      </w:pPr>
    </w:p>
    <w:p>
      <w:pPr>
        <w:ind w:left="540" w:right="50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Golf Course Land,</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each case, except for the purpose of developing and constructing the 18-hold championship golf course as contemplated by the Golf Course Lease and the Plans and Specification and except for maintaining or improving such golf course on the Golf Course Land and except for reconfiguring certain portions of the golf course in connection with the release of portions of the Golf Course Land in accordance with the provisions set forth under "Release of Security—Release of Portions of Golf Course Land".</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Restrictions on Payments of Management Fees</w:t>
      </w:r>
    </w:p>
    <w:p>
      <w:pPr>
        <w:sectPr>
          <w:pgSz w:w="11900" w:h="16838" w:orient="portrait"/>
          <w:cols w:equalWidth="0" w:num="1">
            <w:col w:w="11420"/>
          </w:cols>
          <w:pgMar w:left="240" w:top="131" w:right="239" w:bottom="0" w:gutter="0" w:footer="0" w:header="0"/>
          <w:type w:val="continuous"/>
        </w:sectPr>
      </w:pPr>
    </w:p>
    <w:bookmarkStart w:id="95" w:name="page96"/>
    <w:bookmarkEnd w:id="95"/>
    <w:p>
      <w:pPr>
        <w:ind w:left="360"/>
        <w:spacing w:after="0"/>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w:t>
      </w:r>
    </w:p>
    <w:p>
      <w:pPr>
        <w:spacing w:after="0" w:line="262" w:lineRule="exact"/>
        <w:rPr>
          <w:sz w:val="20"/>
          <w:szCs w:val="20"/>
          <w:color w:val="auto"/>
        </w:rPr>
      </w:pPr>
    </w:p>
    <w:p>
      <w:pPr>
        <w:ind w:left="540" w:right="20" w:hanging="532"/>
        <w:spacing w:after="0" w:line="370" w:lineRule="auto"/>
        <w:tabs>
          <w:tab w:leader="none" w:pos="5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pay to Wynn Resorts, Valvino Lamore, any Restricted Entity or any Affiliate of any of those Persons (other than Wynn Las Vegas) any Management Fees, except, subject to clause (3) below, in amounts not to exceed the amounts contemplated by the Management Agreement, as in effect on the date hereof,</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prepay any Management Fees,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payment of any Management Fees: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540" w:hanging="532"/>
        <w:spacing w:after="0" w:line="26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at the time of payment of such Management Fee, a Default or an Event of Default has occurred and is continuing or will occur as a result thereof; or</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unless the Issuers would, at the time of payment of such Management Fee and after giving pro forma effect thereto as if such payment had been made at the beginning of the applicable four-quarter period, have met certain financial tests set forth in the Credit Agreement.</w:t>
      </w:r>
    </w:p>
    <w:p>
      <w:pPr>
        <w:spacing w:after="0" w:line="139"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Any Management Fees not permitted to be paid pursuant to this covenant will be deferred and will accrue and may be paid only at the time that they would otherwise be permitted to be paid under the indenture. Under the Management Agreement, the right to receive payment of the Management Fees will be subordinated in right of payment to the right of the holders of notes to receive payments pursuant to the notes and the Guarantees;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receive payment of Management Fees will not be deemed to be subordinated in right of payment solely by virtue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Advances to Guarantors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All advances to Guarantors made by Wynn Las Vegas, any Restricted Entity or any of Wynn Las Vegas' Restricted Subsidiaries after the date of the indenture will be evidenced by intercompany notes and will be pledged pursuant to the Collateral Documents. Each intercompany note will be payable upon demand and will bear interest at then current fair market interests rates.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Subsidiaries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86"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transfer, convey, sell, lease or otherwise dispose of any Equity Interests in any Wholly Owned Restricted Subsidiary or Wholly Owned Restricted Entity to any Person (other than Wynn Las Vegas, a Restricted Subsidiary, a Restricted Entity or a Wholly Owned Subsidiary of a Restricted Entity that is a Guarantor), unless:</w:t>
      </w:r>
    </w:p>
    <w:p>
      <w:pPr>
        <w:spacing w:after="0" w:line="174"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entity; and</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addition, Wynn Las Vegas and the Restricted Entities will not, and will not permit any of their Restricted Subsidiaries to, issue any of their respective Equity Interests (other than, if necessary, shares of their respective Capital Stock constituting directors' qualifying shares) to any Person other than to Wynn Las Vegas, a Restricted Subsidiary of Wynn Las Vegas, a Restricted Entity or a Wholly Owned Subsidiary of a Restricted Entity that is a Guarantor.</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Issuances of Guarantees of, or Security Interests to Secure, Indebtedness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None of Wynn Las Vegas or any of the Restricted Entities will, and Wynn Las Vegas will not permit any of its Restricted Subsidiaries to, directly or indirectly, Guarantee or pledge any assets to secure the payment and/or performance of any other Indebtedness of Wynn Resorts or Valvino Lamore unless each applicable entity simultaneously executes and delivers:</w:t>
      </w:r>
    </w:p>
    <w:p>
      <w:pPr>
        <w:spacing w:after="0" w:line="221" w:lineRule="exact"/>
        <w:rPr>
          <w:sz w:val="20"/>
          <w:szCs w:val="20"/>
          <w:color w:val="auto"/>
        </w:rPr>
      </w:pPr>
    </w:p>
    <w:p>
      <w:pPr>
        <w:ind w:left="540" w:right="200" w:hanging="532"/>
        <w:spacing w:after="0" w:line="26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the extent not previously provided, a Guarantee of the payment of the notes by such entity, which Guarantee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entity's Guarantee of such other Indebtedness; and</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security interest granted by such entity to secure such other Indebtedness.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Amendments to Certain Agreements</w:t>
      </w:r>
    </w:p>
    <w:p>
      <w:pPr>
        <w:sectPr>
          <w:pgSz w:w="11900" w:h="16838" w:orient="portrait"/>
          <w:cols w:equalWidth="0" w:num="1">
            <w:col w:w="11400"/>
          </w:cols>
          <w:pgMar w:left="240" w:top="131" w:right="259" w:bottom="142" w:gutter="0" w:footer="0" w:header="0"/>
          <w:type w:val="continuous"/>
        </w:sectPr>
      </w:pPr>
    </w:p>
    <w:bookmarkStart w:id="96" w:name="page97"/>
    <w:bookmarkEnd w:id="96"/>
    <w:p>
      <w:pPr>
        <w:ind w:firstLine="351"/>
        <w:spacing w:after="0" w:line="312" w:lineRule="auto"/>
        <w:rPr>
          <w:sz w:val="20"/>
          <w:szCs w:val="20"/>
          <w:color w:val="auto"/>
        </w:rPr>
      </w:pPr>
      <w:r>
        <w:rPr>
          <w:rFonts w:ascii="Arial" w:cs="Arial" w:eastAsia="Arial" w:hAnsi="Arial"/>
          <w:sz w:val="15"/>
          <w:szCs w:val="15"/>
          <w:color w:val="auto"/>
        </w:rPr>
        <w:t>On or prior to the Final Completion Date, except as contemplated by the Disbursement Agreement, none of Wynn Las Vegas or any of the Restricted Entities will, and Wynn Las Vegas will not permit any of its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or the Payment and Performance Bond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or Valvino Lamore to develop, construct or operate the Project or (2) cause the Completion Date to occur or result in that date occurring, after the Outside Completion Deadline.</w:t>
      </w:r>
    </w:p>
    <w:p>
      <w:pPr>
        <w:spacing w:after="0" w:line="15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Following the Final Completion Date, none of Wynn Las Vegas or any of the Restricted Entities will, and Wynn Las Vegas will not permit any of its Restricted Subsidiaries to, amend, modify, waive or otherwise change, or consent or agree to any amendment, modification, waiver or other change to, or otherwise fail to enforce, or terminate or abandon, any of the provisions of any Key Operational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10" w:lineRule="exact"/>
        <w:rPr>
          <w:sz w:val="20"/>
          <w:szCs w:val="20"/>
          <w:color w:val="auto"/>
        </w:rPr>
      </w:pPr>
    </w:p>
    <w:p>
      <w:pPr>
        <w:ind w:left="540" w:right="560" w:hanging="532"/>
        <w:spacing w:after="0" w:line="26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increase the amounts payable to third parties thereunder by Wynn Las Vegas (except as otherwise permitted by the indenture), any of its Restricted Subsidiaries or any Restricted Entity,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originally contemplated thereby,</w:t>
      </w:r>
    </w:p>
    <w:p>
      <w:pPr>
        <w:spacing w:after="0" w:line="238"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reduce the services provided to Wynn Las Vegas, any of its Restricted Subsidiaries or any Restricted Entity unless accompanied by a corresponding decrease in the amounts payable by Wynn Las Vegas, any of its Restricted Subsidiaries or any Restricted Entity thereunder,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Amendments to Limited Liability Company Agreements and Charter Documents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Wynn Las Vegas nor any of the Restricted Entities will, and Wynn Las Vegas will not permit any of its Restricted Subsidiaries to:</w:t>
      </w:r>
    </w:p>
    <w:p>
      <w:pPr>
        <w:spacing w:after="0" w:line="252"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dissolve, or</w:t>
      </w:r>
    </w:p>
    <w:p>
      <w:pPr>
        <w:spacing w:after="0" w:line="238" w:lineRule="exact"/>
        <w:rPr>
          <w:rFonts w:ascii="Arial" w:cs="Arial" w:eastAsia="Arial" w:hAnsi="Arial"/>
          <w:sz w:val="18"/>
          <w:szCs w:val="18"/>
          <w:color w:val="auto"/>
        </w:rPr>
      </w:pPr>
    </w:p>
    <w:p>
      <w:pPr>
        <w:ind w:left="540" w:right="100" w:hanging="532"/>
        <w:spacing w:after="0" w:line="298" w:lineRule="auto"/>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 xml:space="preserve">Wynn Las Vegas and the Restricted Entities will, and Wynn Las Vegas will cause its Restricted Subsidiaries to, maintain insurance with reputable and financially sound carriers against such risks and in such amounts as are customarily carried by similarly situated businesses, including, without limitation, property and casualty insurance;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 coverage (including deductibles, retentions and self-insurance amounts) shall at all times comply with the insurance coverage required under the Disbursement Agreement.</w:t>
      </w:r>
    </w:p>
    <w:p>
      <w:pPr>
        <w:spacing w:after="0" w:line="197" w:lineRule="exact"/>
        <w:rPr>
          <w:sz w:val="20"/>
          <w:szCs w:val="20"/>
          <w:color w:val="auto"/>
        </w:rPr>
      </w:pPr>
    </w:p>
    <w:p>
      <w:pPr>
        <w:ind w:left="5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Entities or Restricted Subsidiaries, Designation of Unrestricted Subsidiaries as Restricted Subsidiaries or Permitted C-Corp. Conversion</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Concurrently with (1) the formation or acquisition of any Restricted Entity or Restricted Subsidiary that, in either case, becomes or is required under the Credit Agreement to become a Guarantor of any of the obligations under the Credit Agreement, (2) the designation of an Unrestricted Subsidiary as a Restricted Subsidiary, or (3) the reorganization by any Restricted Entity as a subchapter "C" corporation in a Permitted C-Corp. Conversion, Wynn Las Vegas and the Restricted Entities shall, to the extent not prohibited by Gaming Authorities or applicable Gaming Laws and subject to the Intercreditor Agreements:</w:t>
      </w:r>
    </w:p>
    <w:p>
      <w:pPr>
        <w:spacing w:after="0" w:line="180" w:lineRule="exact"/>
        <w:rPr>
          <w:sz w:val="20"/>
          <w:szCs w:val="20"/>
          <w:color w:val="auto"/>
        </w:rPr>
      </w:pPr>
    </w:p>
    <w:p>
      <w:pPr>
        <w:ind w:left="540" w:right="16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cause such Restricted Entity or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20" w:hanging="532"/>
        <w:spacing w:after="0" w:line="294" w:lineRule="auto"/>
        <w:tabs>
          <w:tab w:leader="none" w:pos="10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jc w:val="both"/>
        <w:ind w:left="540" w:right="140" w:hanging="532"/>
        <w:spacing w:after="0" w:line="298"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cause such Restricted Entity or Restricted Subsidiary or subchapter "C" corporation to execute and deliver to the trustee, (a) an assumption agreement in the form of Annex 1 to the applicable Guarantee and Collateral Agreement (under which such Restricted Entity,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180" w:lineRule="exact"/>
        <w:rPr>
          <w:rFonts w:ascii="Arial" w:cs="Arial" w:eastAsia="Arial" w:hAnsi="Arial"/>
          <w:sz w:val="16"/>
          <w:szCs w:val="16"/>
          <w:color w:val="auto"/>
        </w:rPr>
      </w:pPr>
    </w:p>
    <w:p>
      <w:pPr>
        <w:ind w:left="540" w:right="420" w:hanging="532"/>
        <w:spacing w:after="0" w:line="306"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such Restricted Entity,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Entity or subchapter "C" corporation to execute and deliver to the trustee:</w:t>
      </w:r>
    </w:p>
    <w:p>
      <w:pPr>
        <w:sectPr>
          <w:pgSz w:w="11900" w:h="16838" w:orient="portrait"/>
          <w:cols w:equalWidth="0" w:num="1">
            <w:col w:w="11400"/>
          </w:cols>
          <w:pgMar w:left="240" w:top="131" w:right="259" w:bottom="0" w:gutter="0" w:footer="0" w:header="0"/>
        </w:sectPr>
      </w:pPr>
    </w:p>
    <w:bookmarkStart w:id="97" w:name="page98"/>
    <w:bookmarkEnd w:id="97"/>
    <w:p>
      <w:pPr>
        <w:ind w:left="1080" w:right="30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60"/>
        <w:spacing w:after="0" w:line="268" w:lineRule="auto"/>
        <w:rPr>
          <w:sz w:val="20"/>
          <w:szCs w:val="20"/>
          <w:color w:val="auto"/>
        </w:rPr>
      </w:pPr>
      <w:r>
        <w:rPr>
          <w:rFonts w:ascii="Arial" w:cs="Arial" w:eastAsia="Arial" w:hAnsi="Arial"/>
          <w:sz w:val="18"/>
          <w:szCs w:val="18"/>
          <w:color w:val="auto"/>
        </w:rPr>
        <w:t>Restricted Entity, Restricted Subsidiary or subchapter "C" corporation will grant a security interest to the trustee in such real property and any related fixtures),</w:t>
      </w:r>
    </w:p>
    <w:p>
      <w:pPr>
        <w:spacing w:after="0" w:line="213" w:lineRule="exact"/>
        <w:rPr>
          <w:sz w:val="20"/>
          <w:szCs w:val="20"/>
          <w:color w:val="auto"/>
        </w:rPr>
      </w:pPr>
    </w:p>
    <w:p>
      <w:pPr>
        <w:ind w:left="1080" w:right="120" w:hanging="532"/>
        <w:spacing w:after="0" w:line="268"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the case of any such Restricted Entity or Restricted Subsidiary, title and extended coverage insurance covering such real property in an amount at least equal to the purchase price of such real property,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40" w:right="140" w:hanging="532"/>
        <w:spacing w:after="0" w:line="298" w:lineRule="auto"/>
        <w:tabs>
          <w:tab w:leader="none" w:pos="5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promptly pledge, or cause to be pledged, to the trustee (i) all of the outstanding Capital Stock of such entity or subchapter "C" corporation owned by any Issuer, Restricted Entity or Restricted Subsidiary and (ii) all of the outstanding Capital Stock owned by such Restricted Entity or subchapter "C" corporation, to secure such Issuer's obligations under the indenture and the notes or such Restricted Entity's or Restricted Subsidiary's Guarantee obligations under the applicable Collateral and Security Agreement, as the case may be;</w:t>
      </w:r>
    </w:p>
    <w:p>
      <w:pPr>
        <w:spacing w:after="0" w:line="193"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take, and cause such Restricted Entity, Restricted Subsidiary or subchapter "C" corporation and each other Restricted Entity and Restricted Subsidiary to take all action necessary or, in the opinion of the trustee, desirable to perfect and protect the security interests intended to be created by the Collateral Documents, as modified under this paragraph; and</w:t>
      </w:r>
    </w:p>
    <w:p>
      <w:pPr>
        <w:spacing w:after="0" w:line="207"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Additional Collateral; Acquisition of Assets or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Concurrently with the acquisition by Wynn Las Vegas, any Restricted Entity or any Restricted Subsidiary of Wynn Las Vegas of any assets or property (other than a Restricted Entity or a Subsidiary of Wynn Las Vegas), to the extent not prohibited by Gaming Authorities or applicable Gaming Laws and subject to the Intercreditor Agreements, Wynn Las Vegas and the Restricted Entities will, and Wynn Las Vegas will cause its Restricted Subsidiaries to, cause the applicable Restricted Entity to:</w:t>
      </w:r>
    </w:p>
    <w:p>
      <w:pPr>
        <w:spacing w:after="0" w:line="211" w:lineRule="exact"/>
        <w:rPr>
          <w:sz w:val="20"/>
          <w:szCs w:val="20"/>
          <w:color w:val="auto"/>
        </w:rPr>
      </w:pPr>
    </w:p>
    <w:p>
      <w:pPr>
        <w:ind w:left="540" w:hanging="532"/>
        <w:spacing w:after="0" w:line="259"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the acquisition of personal property with an aggregate fair market value in excess of $50,000 for all such acquired personal property, execute and deliver to the trustee such Uniform Commercial Code financing statements as are necessary or, in the opinion of the trustee, desirable to perfect and protect the trustee's security interest in such assets or property;</w:t>
      </w:r>
    </w:p>
    <w:p>
      <w:pPr>
        <w:spacing w:after="0" w:line="221" w:lineRule="exact"/>
        <w:rPr>
          <w:rFonts w:ascii="Arial" w:cs="Arial" w:eastAsia="Arial" w:hAnsi="Arial"/>
          <w:sz w:val="18"/>
          <w:szCs w:val="18"/>
          <w:color w:val="auto"/>
        </w:rPr>
      </w:pPr>
    </w:p>
    <w:p>
      <w:pPr>
        <w:ind w:left="540" w:right="400" w:hanging="532"/>
        <w:spacing w:after="0" w:line="332" w:lineRule="auto"/>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case of the acquisition of real property, that (i) is contiguous to any real property included in the Collateral (other than a Golf Course Home) or (ii) has a fair market value in excess of $5.0 million in the aggregate or $2.5 million individually, execute and deliver to the trustee:</w:t>
      </w:r>
    </w:p>
    <w:p>
      <w:pPr>
        <w:spacing w:after="0" w:line="369" w:lineRule="exact"/>
        <w:rPr>
          <w:sz w:val="20"/>
          <w:szCs w:val="20"/>
          <w:color w:val="auto"/>
        </w:rPr>
      </w:pPr>
    </w:p>
    <w:p>
      <w:pPr>
        <w:ind w:left="1080" w:right="120" w:hanging="532"/>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Entity or Restricted Subsidiary will grant a security interest to the trustee in such real property and any related fixtures),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jc w:val="both"/>
        <w:ind w:left="540" w:right="160" w:hanging="532"/>
        <w:spacing w:after="0" w:line="259"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the acquisition of personal property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Wynn Las Vegas and the Restricted Entities will, and Wynn Las Vegas will cause its Restricted Subsidiaries to, execute and deliver such additional instruments, certificates or documents, and take all such actions as may be reasonably required from time to time in order to:</w:t>
      </w:r>
    </w:p>
    <w:p>
      <w:pPr>
        <w:spacing w:after="0" w:line="153"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238"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and priority of any of the Collateral Documents and the Liens created, or intended to be created, by the Collateral Documents; and</w:t>
      </w:r>
    </w:p>
    <w:p>
      <w:pPr>
        <w:spacing w:after="0" w:line="212"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ensure that any of the rights granted or intended to be granted to the trustee or any holder under the Collateral Documents or under any other instrument executed in connection therewith or granted to Wynn Las Vegas or any of its Restricted Subsidiaries or to any Restricted Entity under the Collateral Documents or under any other instrument executed in connection therewith are protected and enforced.</w:t>
      </w:r>
    </w:p>
    <w:p>
      <w:pPr>
        <w:sectPr>
          <w:pgSz w:w="11900" w:h="16838" w:orient="portrait"/>
          <w:cols w:equalWidth="0" w:num="1">
            <w:col w:w="11420"/>
          </w:cols>
          <w:pgMar w:left="240" w:top="145" w:right="239" w:bottom="0" w:gutter="0" w:footer="0" w:header="0"/>
        </w:sectPr>
      </w:pPr>
    </w:p>
    <w:bookmarkStart w:id="98" w:name="page99"/>
    <w:bookmarkEnd w:id="98"/>
    <w:p>
      <w:pPr>
        <w:ind w:right="20"/>
        <w:spacing w:after="0" w:line="294" w:lineRule="auto"/>
        <w:rPr>
          <w:sz w:val="20"/>
          <w:szCs w:val="20"/>
          <w:color w:val="auto"/>
        </w:rPr>
      </w:pPr>
      <w:r>
        <w:rPr>
          <w:rFonts w:ascii="Arial" w:cs="Arial" w:eastAsia="Arial" w:hAnsi="Arial"/>
          <w:sz w:val="16"/>
          <w:szCs w:val="16"/>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and the Restricted Entities will, and will cause Wynn Resorts, Wynn Las Vegas or any Restricted Subsidiary to, and Wynn Las Vegas will cause each of its Restricted Subsidiaries to, execute and deliver all applications, certifications, instruments and other documents and papers that may be required from Wynn Resorts, any Restricted Entity Wynn Las Vegas or any Restricted Subsidiary for such governmental consent, approval, recording, qualification or authorization.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Wynn Las Vegas and the Restricted Entities will not, and Wynn Las Vegas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Incurrence of Indebtedness and Guarantees by Wynn Resorts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Wynn Resorts Agreement, Wynn Resorts will agree that it will not:</w:t>
      </w:r>
    </w:p>
    <w:p>
      <w:pPr>
        <w:spacing w:after="0" w:line="239" w:lineRule="exact"/>
        <w:rPr>
          <w:sz w:val="20"/>
          <w:szCs w:val="20"/>
          <w:color w:val="auto"/>
        </w:rPr>
      </w:pPr>
    </w:p>
    <w:p>
      <w:pPr>
        <w:ind w:left="540" w:right="54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incur Indebtedness in excess of $10.0 million in the aggregate (other than Project Related Indebtedness) or guarantee the Indebtedness of any of its Affiliates, unless: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Wynn Resorts concurrently becomes the Parent Guarantor of the notes,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 xml:space="preserve">Wynn Resorts' Parent Guarantee of the notes ranks senior to or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guarantee by Wynn Resorts of the Affiliate's Indebtedness,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32" w:lineRule="exact"/>
        <w:rPr>
          <w:rFonts w:ascii="Arial" w:cs="Arial" w:eastAsia="Arial" w:hAnsi="Arial"/>
          <w:sz w:val="15"/>
          <w:szCs w:val="15"/>
          <w:color w:val="auto"/>
        </w:rPr>
      </w:pPr>
    </w:p>
    <w:p>
      <w:pPr>
        <w:ind w:left="540" w:right="80" w:hanging="532"/>
        <w:spacing w:after="0" w:line="256"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grant any security interests in any of its assets or properties (other than a security interest in favor of the trustee for the benefit of the noteholders and security interests granted in Excluded Project Assets or assets or properties that individually or in the aggregate have a fair market value of less than $10.0 million) in favor of any Person to secure (i) any Indebtedness of any of its Affiliates, or (ii) any Guarantee by Wynn Resorts of Indebtedness of any of its Affiliates, unless: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Wynn Resorts concurrently grants a security interest in those assets or properties in favor of the trustee to secure the guarantee given by Wynn Resorts under clause (1) above or, if no such guarantee has been given, to secure the notes,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such security interest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security interest granted by Wynn Resorts in respect of the Affiliate's Indebtedness or its guarantee of the Affiliate's Indebtedness, as the case may be.</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However, the restrictions contained in clauses (1) and (2) of the immediately preceding paragraph will cease to apply to Wynn Resorts and any Parent Guarantee or Parent Security Agreement will be automatically released, at such time as either:</w:t>
      </w:r>
    </w:p>
    <w:p>
      <w:pPr>
        <w:spacing w:after="0" w:line="199" w:lineRule="exact"/>
        <w:rPr>
          <w:sz w:val="20"/>
          <w:szCs w:val="20"/>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Project is Operating,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both immediately prior to such release and after giving pro forma effect to that release (as if, for purposes of calculating the Consolidated Leverage Ratio, such release had been made at the beginning of the applicable four-quarter period):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100" w:hanging="532"/>
        <w:spacing w:after="0" w:line="268" w:lineRule="auto"/>
        <w:tabs>
          <w:tab w:leader="none" w:pos="16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consecutive fiscal quarters of Wynn Las Vegas ending immediately prior to the release date is 3.0 to 1.0 or less,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166"/>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1080" w:hanging="532"/>
        <w:spacing w:after="0"/>
        <w:tabs>
          <w:tab w:leader="none" w:pos="1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 Guarantee and/or security interests granted by Wynn Resorts in their favor, and</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Wynn Resorts delivers an officers' certificate (including supporting calculations in reasonable detail) to the trustee confirming that the conditions in (a), (b), (c) and (d) of this clause (1) have been satisfied,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w:t>
      </w:r>
    </w:p>
    <w:p>
      <w:pPr>
        <w:sectPr>
          <w:pgSz w:w="11900" w:h="16838" w:orient="portrait"/>
          <w:cols w:equalWidth="0" w:num="1">
            <w:col w:w="11420"/>
          </w:cols>
          <w:pgMar w:left="240" w:top="131" w:right="239" w:bottom="0" w:gutter="0" w:footer="0" w:header="0"/>
          <w:type w:val="continuous"/>
        </w:sectPr>
      </w:pPr>
    </w:p>
    <w:bookmarkStart w:id="99" w:name="page100"/>
    <w:bookmarkEnd w:id="99"/>
    <w:p>
      <w:pPr>
        <w:ind w:left="1080"/>
        <w:spacing w:after="0"/>
        <w:rPr>
          <w:sz w:val="20"/>
          <w:szCs w:val="20"/>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239" w:lineRule="exact"/>
        <w:rPr>
          <w:sz w:val="20"/>
          <w:szCs w:val="20"/>
          <w:color w:val="auto"/>
        </w:rPr>
      </w:pPr>
    </w:p>
    <w:p>
      <w:pPr>
        <w:jc w:val="both"/>
        <w:ind w:left="1080" w:right="140" w:hanging="532"/>
        <w:spacing w:after="0" w:line="306"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both the lenders under the Credit Agreement and the Person whose Indebtedness Wynn Resorts guaranteed or granted security interest to secure (thereby triggering Wynn Resorts' obligations to enter into the Parent Guarantee or the Parent Security Agreement, as applicable, pursuant to the covenant captioned "—Restrictions on Incurrence of Indebtedness and Guarantees by Wynn Resorts") concurrently release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guarantee or security interests, as applicable, granted by Wynn Resorts in their favor, and</w:t>
      </w:r>
    </w:p>
    <w:p>
      <w:pPr>
        <w:spacing w:after="0" w:line="252" w:lineRule="exact"/>
        <w:rPr>
          <w:sz w:val="20"/>
          <w:szCs w:val="20"/>
          <w:color w:val="auto"/>
        </w:rPr>
      </w:pPr>
    </w:p>
    <w:p>
      <w:pPr>
        <w:ind w:left="1080" w:hanging="532"/>
        <w:spacing w:after="0"/>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Wynn Resorts delivers an officers' certificate to the trustee confirming that the conditions in (a) and (b) of this clause (2) have been satisfied.</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Notwithstanding the provisions of this covenant, in no event shall Wynn Resorts be required, by reason of granting the Parent Guarantee or any security interest pursuant to this covenant, to become a Restricted Entity.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Wynn Capital will not hold any material assets, incur any Indebtedness, become liable for any obligations, engage in any business activities or have any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99" w:lineRule="exact"/>
        <w:rPr>
          <w:sz w:val="20"/>
          <w:szCs w:val="20"/>
          <w:color w:val="auto"/>
        </w:rPr>
      </w:pPr>
    </w:p>
    <w:p>
      <w:pPr>
        <w:ind w:left="540" w:right="100" w:hanging="532"/>
        <w:spacing w:after="0" w:line="335" w:lineRule="auto"/>
        <w:tabs>
          <w:tab w:leader="none" w:pos="54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all quarterly and annual financial information that would be required to be contained in a filing with the Commission on Forms 10-Q and 10-K if Wynn Las Vegas were required to file such Forms, including a "Management's Discussion and Analysis of Financial Condition and Results of Operations" and, with respect to the annual information only, a report on the annual financial statements by Wynn Las Vegas' certified independent accountants; and</w:t>
      </w:r>
    </w:p>
    <w:p>
      <w:pPr>
        <w:spacing w:after="0" w:line="155" w:lineRule="exact"/>
        <w:rPr>
          <w:rFonts w:ascii="Arial" w:cs="Arial" w:eastAsia="Arial" w:hAnsi="Arial"/>
          <w:sz w:val="15"/>
          <w:szCs w:val="15"/>
          <w:color w:val="auto"/>
        </w:rPr>
      </w:pPr>
    </w:p>
    <w:p>
      <w:pPr>
        <w:ind w:left="540" w:hanging="532"/>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Wynn Las Vegas was required to file such reports.</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52" w:lineRule="exact"/>
        <w:rPr>
          <w:sz w:val="20"/>
          <w:szCs w:val="20"/>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failure by either Issuer, any Restricted Entity or any of Wynn Las Vegas' Restricted Subsidiaries: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 Repurchase at the Option of Holders—Events of Loss," or</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failure by either Issuer, any Restricted Entity or any of Wynn Las Vegas'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occurrence of any "event of default" under the Disbursement Agreement;</w:t>
      </w:r>
    </w:p>
    <w:p>
      <w:pPr>
        <w:spacing w:after="0" w:line="238"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failure by the Issuers, any Restricted Entity, any Restricted Subsidiary, the Completion Guarantor or any other party thereto (other than the trustee or any representative of the lenders under the Credit Agreement or other lenders party thereto) for 60 days after receipt of written notice from the trustee to comply with any of its agreements, as applicable, in any Collateral Document;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31" w:right="279" w:bottom="0" w:gutter="0" w:footer="0" w:header="0"/>
        </w:sectPr>
      </w:pPr>
    </w:p>
    <w:bookmarkStart w:id="100" w:name="page101"/>
    <w:bookmarkEnd w:id="100"/>
    <w:p>
      <w:pPr>
        <w:ind w:left="540" w:right="240"/>
        <w:spacing w:after="0" w:line="306" w:lineRule="auto"/>
        <w:rPr>
          <w:sz w:val="20"/>
          <w:szCs w:val="20"/>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either Issuer, any Restricted Entity or any Restricted Subsidiary (or the payment of which is guaranteed by any such entity) whether such Indebtedness or guarantee now exists, or is created after the date of the indenture, if that default:</w:t>
      </w:r>
    </w:p>
    <w:p>
      <w:pPr>
        <w:spacing w:after="0" w:line="390" w:lineRule="exact"/>
        <w:rPr>
          <w:sz w:val="20"/>
          <w:szCs w:val="20"/>
          <w:color w:val="auto"/>
        </w:rPr>
      </w:pPr>
    </w:p>
    <w:p>
      <w:pPr>
        <w:ind w:left="1080" w:right="160" w:hanging="532"/>
        <w:spacing w:after="0" w:line="268"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or may be so accelerated, aggregates $10.0 million or more;</w:t>
      </w:r>
    </w:p>
    <w:p>
      <w:pPr>
        <w:spacing w:after="0" w:line="153" w:lineRule="exact"/>
        <w:rPr>
          <w:sz w:val="20"/>
          <w:szCs w:val="20"/>
          <w:color w:val="auto"/>
        </w:rPr>
      </w:pPr>
    </w:p>
    <w:p>
      <w:pPr>
        <w:ind w:left="540" w:right="180" w:hanging="532"/>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failure by either Issuer, any Restricted Entity or any Restricted Subsidiary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20" w:hanging="532"/>
        <w:spacing w:after="0" w:line="256"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of the Collateral Documents shall cease, for any reason (other than pursuant to their terms), to be in full force and effect, or either Issuer, any Restricted Entity, Restricted Subsidiary or Guarantor or any Affiliate of any such entity shall so assert, or any security interest created, or purported to be created, by any of the Collateral Documents shall cease to be enforceable and of the same effect and priority purported to be created by the Collateral Documents;</w:t>
      </w:r>
    </w:p>
    <w:p>
      <w:pPr>
        <w:spacing w:after="0" w:line="224" w:lineRule="exact"/>
        <w:rPr>
          <w:rFonts w:ascii="Arial" w:cs="Arial" w:eastAsia="Arial" w:hAnsi="Arial"/>
          <w:sz w:val="18"/>
          <w:szCs w:val="18"/>
          <w:color w:val="auto"/>
        </w:rPr>
      </w:pPr>
    </w:p>
    <w:p>
      <w:pPr>
        <w:jc w:val="both"/>
        <w:ind w:left="540" w:right="60" w:hanging="532"/>
        <w:spacing w:after="0" w:line="306"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either Issuer, any Restricted Entity, any Restricted Subsidiary or any Guarantor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w:t>
      </w:r>
    </w:p>
    <w:p>
      <w:pPr>
        <w:spacing w:after="0" w:line="174" w:lineRule="exact"/>
        <w:rPr>
          <w:rFonts w:ascii="Arial" w:cs="Arial" w:eastAsia="Arial" w:hAnsi="Arial"/>
          <w:sz w:val="16"/>
          <w:szCs w:val="16"/>
          <w:color w:val="auto"/>
        </w:rPr>
      </w:pPr>
    </w:p>
    <w:p>
      <w:pPr>
        <w:ind w:left="540" w:right="40" w:hanging="532"/>
        <w:spacing w:after="0" w:line="323" w:lineRule="auto"/>
        <w:tabs>
          <w:tab w:leader="none" w:pos="5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except as expressly provided therein, the Completion Guarantee, the Construction Contract Guarantee, any Guarantee issued by a Restricted Entity, a Restricted Subsidiary or any Guarantor under a Guarantee and Collateral Agreement or the Parent Guarantee, if any, shall be held in any judicial proceeding to be unenforceable or invalid or shall cease for any reason to be in full force and effect or the Completion Guarantor, any Restricted Entity, any Restricted Subsidiary or any Guarantor, or any Person acting on behalf of any such Person, shall deny or disaffirm its obligations under its Guarantee;</w:t>
      </w:r>
    </w:p>
    <w:p>
      <w:pPr>
        <w:spacing w:after="0" w:line="165" w:lineRule="exact"/>
        <w:rPr>
          <w:rFonts w:ascii="Arial" w:cs="Arial" w:eastAsia="Arial" w:hAnsi="Arial"/>
          <w:sz w:val="15"/>
          <w:szCs w:val="15"/>
          <w:color w:val="auto"/>
        </w:rPr>
      </w:pPr>
    </w:p>
    <w:p>
      <w:pPr>
        <w:ind w:left="540" w:right="20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either Issuer, any Significant Restricted Entity, any group of Restricted Entities that, taken together, would constitute a Significant Restricted Entity, any Significant Restricted Subsidiary or any group of Restricted Subsidiaries that, taken together, would constitute a Significant Restricted Subsidiary;</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Project has not achieved Completion on or before the Outside Completion Deadline;</w:t>
      </w:r>
    </w:p>
    <w:p>
      <w:pPr>
        <w:spacing w:after="0" w:line="238"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after the Project is Operating, revocation, termination, suspension or other cessation of effectiveness of any Gaming License which results in the cessation or suspension of gaming operations at any Gaming Facility for a period of more than 90 consecutive days;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Agreements and in the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94"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color w:val="auto"/>
        </w:rPr>
        <w:t>In the case of any Event of Default occurring by reason of any willful action or inaction taken or not taken by or on behalf of either Issuer, any Restricted Entity, any Restricted Subsidiary, any Guarantor or any of their Subsidiaries with the intention of avoiding payment of the premium that the Issuers would have</w:t>
      </w:r>
    </w:p>
    <w:p>
      <w:pPr>
        <w:sectPr>
          <w:pgSz w:w="11900" w:h="16838" w:orient="portrait"/>
          <w:cols w:equalWidth="0" w:num="1">
            <w:col w:w="11420"/>
          </w:cols>
          <w:pgMar w:left="240" w:top="131" w:right="239" w:bottom="0" w:gutter="0" w:footer="0" w:header="0"/>
        </w:sectPr>
      </w:pPr>
    </w:p>
    <w:p>
      <w:pPr>
        <w:spacing w:after="0"/>
        <w:rPr>
          <w:sz w:val="20"/>
          <w:szCs w:val="20"/>
          <w:color w:val="auto"/>
        </w:rPr>
      </w:pPr>
      <w:r>
        <w:rPr>
          <w:rFonts w:ascii="Arial" w:cs="Arial" w:eastAsia="Arial" w:hAnsi="Arial"/>
          <w:sz w:val="15"/>
          <w:szCs w:val="15"/>
          <w:color w:val="auto"/>
        </w:rPr>
        <w:t>had to pay if the Issuers then had elected to redeem the notes pursuant to the optional redemption provisions of the indenture, an equivalent premium will also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become and be immediately due and payable to the extent permitted by law upon the acceleration of the notes. If an Event of Default occurs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by reason of any willful action (or inaction) taken (or not taken) by or on behalf of either Issuer, any Restricted Entity, any Restricted Subsidiary, any</w:t>
      </w:r>
    </w:p>
    <w:p>
      <w:pPr>
        <w:spacing w:after="0" w:line="32"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Guarantor or any of their Subsidiaries with the intention of avoiding the prohibition on redemption of the notes prior to</w:t>
      </w:r>
      <w:r>
        <w:rPr>
          <w:sz w:val="20"/>
          <w:szCs w:val="20"/>
          <w:color w:val="auto"/>
        </w:rPr>
        <w:tab/>
      </w:r>
      <w:r>
        <w:rPr>
          <w:rFonts w:ascii="Arial" w:cs="Arial" w:eastAsia="Arial" w:hAnsi="Arial"/>
          <w:sz w:val="15"/>
          <w:szCs w:val="15"/>
          <w:color w:val="auto"/>
        </w:rPr>
        <w:t>, 2006, then the premium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493" w:lineRule="exact"/>
        <w:rPr>
          <w:sz w:val="20"/>
          <w:szCs w:val="20"/>
          <w:color w:val="auto"/>
        </w:rPr>
      </w:pPr>
    </w:p>
    <w:p>
      <w:pPr>
        <w:sectPr>
          <w:pgSz w:w="11900" w:h="16838" w:orient="portrait"/>
          <w:cols w:equalWidth="0" w:num="2">
            <w:col w:w="11120" w:space="0"/>
            <w:col w:w="300"/>
          </w:cols>
          <w:pgMar w:left="240" w:top="131" w:right="239" w:bottom="0" w:gutter="0" w:footer="0" w:header="0"/>
          <w:type w:val="continuous"/>
        </w:sectPr>
      </w:pPr>
    </w:p>
    <w:p>
      <w:pPr>
        <w:spacing w:after="0"/>
        <w:rPr>
          <w:sz w:val="20"/>
          <w:szCs w:val="20"/>
          <w:color w:val="auto"/>
        </w:rPr>
      </w:pPr>
      <w:r>
        <w:rPr>
          <w:rFonts w:ascii="Arial" w:cs="Arial" w:eastAsia="Arial" w:hAnsi="Arial"/>
          <w:sz w:val="18"/>
          <w:szCs w:val="18"/>
          <w:color w:val="auto"/>
        </w:rPr>
        <w:t>specified in the indenture will also become immediately due and payable to the extent permitted by law upon the acceleration of the notes.</w:t>
      </w:r>
    </w:p>
    <w:p>
      <w:pPr>
        <w:spacing w:after="0" w:line="219"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ectPr>
          <w:pgSz w:w="11900" w:h="16838" w:orient="portrait"/>
          <w:cols w:equalWidth="0" w:num="1">
            <w:col w:w="11420"/>
          </w:cols>
          <w:pgMar w:left="240" w:top="131" w:right="239" w:bottom="0" w:gutter="0" w:footer="0" w:header="0"/>
          <w:type w:val="continuous"/>
        </w:sectPr>
      </w:pPr>
    </w:p>
    <w:bookmarkStart w:id="101" w:name="page102"/>
    <w:bookmarkEnd w:id="101"/>
    <w:p>
      <w:pPr>
        <w:ind w:left="540"/>
        <w:spacing w:after="0"/>
        <w:rPr>
          <w:sz w:val="20"/>
          <w:szCs w:val="20"/>
          <w:color w:val="auto"/>
        </w:rPr>
      </w:pPr>
      <w:r>
        <w:rPr>
          <w:rFonts w:ascii="Arial" w:cs="Arial" w:eastAsia="Arial" w:hAnsi="Arial"/>
          <w:sz w:val="18"/>
          <w:szCs w:val="18"/>
          <w:b w:val="1"/>
          <w:bCs w:val="1"/>
          <w:i w:val="1"/>
          <w:iCs w:val="1"/>
          <w:color w:val="auto"/>
        </w:rPr>
        <w:t>Remedies upon Default Under the Notes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Generally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and any Guarantor, (2) foreclosing on and selling the Collateral covered by the Deeds of Trust, and perfected Liens on personal property Collateral, and (3) enforcing the assignments of rents and leases.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 of the notes and the Collateral Documents will provide, with certain exceptions, for the application of the internal laws of the State of New York. There is no certainty regarding whether New York or Nevada law would be applied by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court with respect to the enforcement of remedies under the notes, the indenture, any Guarantee of the notes or the Collateral Documents.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Enforcement of Remedies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Due to restrictions on gaming activities in Nevada, the trustee may incur delays or possibly frustration in its effort to sell all or a portion of the Collateral. Operators of gaming facilities in Nevada are required to be licensed and are required by applicable Gaming Authorities to file applications, be investigated and be found suitable. Such requirements for governmental approval may delay or prevent a sale of the Collateral to a potential buyer at a foreclosure sale. This may effectively limit the number of potential bidders and may delay such sales, either of which could adversely affect the sale price of the Collateral. In addition, the disposition of Collateral consisting of gaming devices is subject to the prior approval of the Nevada State Gaming Control Board. Moreover, the gaming industry could become subject to different or additional regulations during the term of the notes, which could further adversely affect the practical rights and remedies that the trustee would have upon the occurrence of an Event of Default.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6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Equity holders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 director, officer, employee, incorporator, organizer, equity holder or member of either Issuer, any Restricted Entity, any Restricted Subsidiary or any Guarantor, as such, shall have any liability for any obligations of either Issuer, any Restricted Entity, any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ectPr>
          <w:pgSz w:w="11900" w:h="16838" w:orient="portrait"/>
          <w:cols w:equalWidth="0" w:num="1">
            <w:col w:w="11420"/>
          </w:cols>
          <w:pgMar w:left="240" w:top="131" w:right="239" w:bottom="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208" w:lineRule="exact"/>
        <w:rPr>
          <w:sz w:val="20"/>
          <w:szCs w:val="20"/>
          <w:color w:val="auto"/>
        </w:rPr>
      </w:pPr>
    </w:p>
    <w:p>
      <w:pPr>
        <w:ind w:left="540" w:right="540" w:hanging="532"/>
        <w:spacing w:after="0" w:line="268"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and the Guarantors' obligations in connection therewith;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Entities, the Restricted Subsidiaries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540" w:right="20" w:hanging="532"/>
        <w:spacing w:after="0" w:line="255"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54"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11"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on the date of such deposit (other than a Default or Event of Default resulting from the borrowing of funds to be applied to such deposit), or</w:t>
      </w:r>
    </w:p>
    <w:p>
      <w:pPr>
        <w:spacing w:after="0" w:line="261" w:lineRule="exact"/>
        <w:rPr>
          <w:rFonts w:ascii="Arial" w:cs="Arial" w:eastAsia="Arial" w:hAnsi="Arial"/>
          <w:sz w:val="16"/>
          <w:szCs w:val="16"/>
          <w:color w:val="auto"/>
        </w:rPr>
      </w:pPr>
    </w:p>
    <w:p>
      <w:pPr>
        <w:ind w:left="1080" w:right="80" w:hanging="532"/>
        <w:spacing w:after="0" w:line="300" w:lineRule="auto"/>
        <w:tabs>
          <w:tab w:leader="none" w:pos="108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in the case of Legal Defeasance, insofar as Events of Default of the type specified in clause (12) of the section above under the caption "Events of Default and Remedies" are concerned, at any time in the period ending on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date of deposit;</w:t>
      </w:r>
    </w:p>
    <w:p>
      <w:pPr>
        <w:spacing w:after="0" w:line="200" w:lineRule="exact"/>
        <w:rPr>
          <w:rFonts w:ascii="Arial" w:cs="Arial" w:eastAsia="Arial" w:hAnsi="Arial"/>
          <w:sz w:val="17"/>
          <w:szCs w:val="17"/>
          <w:color w:val="auto"/>
        </w:rPr>
      </w:pPr>
    </w:p>
    <w:p>
      <w:pPr>
        <w:spacing w:after="0" w:line="328" w:lineRule="exact"/>
        <w:rPr>
          <w:rFonts w:ascii="Arial" w:cs="Arial" w:eastAsia="Arial" w:hAnsi="Arial"/>
          <w:sz w:val="17"/>
          <w:szCs w:val="17"/>
          <w:color w:val="auto"/>
        </w:rPr>
      </w:pPr>
    </w:p>
    <w:p>
      <w:pPr>
        <w:ind w:left="540" w:right="180" w:hanging="532"/>
        <w:spacing w:after="0" w:line="259"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or any Guarantor is a party or by which any such Person is bound;</w:t>
      </w:r>
    </w:p>
    <w:p>
      <w:pPr>
        <w:spacing w:after="0" w:line="207" w:lineRule="exact"/>
        <w:rPr>
          <w:rFonts w:ascii="Arial" w:cs="Arial" w:eastAsia="Arial" w:hAnsi="Arial"/>
          <w:sz w:val="18"/>
          <w:szCs w:val="18"/>
          <w:color w:val="auto"/>
        </w:rPr>
      </w:pPr>
    </w:p>
    <w:p>
      <w:pPr>
        <w:ind w:left="540" w:right="100" w:hanging="532"/>
        <w:spacing w:after="0" w:line="220" w:lineRule="auto"/>
        <w:tabs>
          <w:tab w:leader="none" w:pos="5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the case of Legal Defeasance, the Issuers must deliver to the trustee an opinion of counsel to the effect that, assuming no intervening bankruptcy of the Issuers or any Guarantor between the date of deposit and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and assuming that no holder of notes is an "insider" of either Issuer under applicable bankruptcy law, after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the trust funds will not be subject to the effect of any applicable bankruptcy, insolvency, reorganization or similar laws affecting creditors' rights generally;</w:t>
      </w:r>
    </w:p>
    <w:p>
      <w:pPr>
        <w:spacing w:after="0" w:line="226" w:lineRule="exact"/>
        <w:rPr>
          <w:rFonts w:ascii="Arial" w:cs="Arial" w:eastAsia="Arial" w:hAnsi="Arial"/>
          <w:sz w:val="17"/>
          <w:szCs w:val="17"/>
          <w:color w:val="auto"/>
        </w:rPr>
      </w:pPr>
    </w:p>
    <w:p>
      <w:pPr>
        <w:ind w:left="540" w:right="40" w:hanging="532"/>
        <w:spacing w:after="0" w:line="332"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ectPr>
          <w:pgSz w:w="11900" w:h="16838" w:orient="portrait"/>
          <w:cols w:equalWidth="0" w:num="1">
            <w:col w:w="11420"/>
          </w:cols>
          <w:pgMar w:left="240" w:top="125" w:right="239" w:bottom="0" w:gutter="0" w:footer="0" w:header="0"/>
        </w:sectPr>
      </w:pPr>
    </w:p>
    <w:bookmarkStart w:id="103" w:name="page104"/>
    <w:bookmarkEnd w:id="103"/>
    <w:p>
      <w:pPr>
        <w:spacing w:after="0" w:line="4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the provisions of the Intercreditor Agreements, the trustee will release (at the sole cost and expense of the Issuers):</w:t>
      </w:r>
    </w:p>
    <w:p>
      <w:pPr>
        <w:spacing w:after="0" w:line="239" w:lineRule="exact"/>
        <w:rPr>
          <w:sz w:val="20"/>
          <w:szCs w:val="20"/>
          <w:color w:val="auto"/>
        </w:rPr>
      </w:pPr>
    </w:p>
    <w:p>
      <w:pPr>
        <w:ind w:left="540" w:right="60" w:hanging="532"/>
        <w:spacing w:after="0" w:line="332"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in accordance with the indenture and the Collateral Documents or (b) to an Unrestricted Subsidiary in accordance with the indenture and the Collateral Documents;</w:t>
      </w:r>
    </w:p>
    <w:p>
      <w:pPr>
        <w:spacing w:after="0" w:line="166" w:lineRule="exact"/>
        <w:rPr>
          <w:rFonts w:ascii="Arial" w:cs="Arial" w:eastAsia="Arial" w:hAnsi="Arial"/>
          <w:sz w:val="16"/>
          <w:szCs w:val="16"/>
          <w:color w:val="auto"/>
        </w:rPr>
      </w:pPr>
    </w:p>
    <w:p>
      <w:pPr>
        <w:ind w:left="540" w:right="300" w:hanging="532"/>
        <w:spacing w:after="0" w:line="259"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"—Repurchase at the Option of Holder—Events of Loss";</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199"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21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Collateral Documents or the Wynn Resorts Agreement, Collateral of a Guarantor whose Guarantee is released pursuant to the terms of the indenture or the Wynn Resorts Agreement, as the case may be;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Released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jc w:val="both"/>
        <w:ind w:right="40" w:firstLine="351"/>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the notes or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262" w:lineRule="exact"/>
        <w:rPr>
          <w:sz w:val="20"/>
          <w:szCs w:val="20"/>
          <w:color w:val="auto"/>
        </w:rPr>
      </w:pPr>
    </w:p>
    <w:p>
      <w:pPr>
        <w:ind w:left="540" w:hanging="532"/>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5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80" w:hanging="532"/>
        <w:spacing w:after="0" w:line="332"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38"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199"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21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release assets or properties other than Non-Project Assets from the Collateral, in each case except in accordance with the provisions of the Collateral Documents;</w:t>
      </w:r>
    </w:p>
    <w:p>
      <w:pPr>
        <w:spacing w:after="0" w:line="199"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if the assets or properties of that Guarantor (a) constitute all or substantially all of the Collateral or (b) include assets or properties other than Non-Project Assets;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Any amendment to, or waiver of, the provisions of any of the Collateral Documents relating to the covenant entitled "Liens" or any of the other security or collateral provisions of the indenture will require the consent of the holders of at least 85% in principal amount of the notes then outstanding.</w:t>
      </w:r>
    </w:p>
    <w:p>
      <w:pPr>
        <w:sectPr>
          <w:pgSz w:w="11900" w:h="16885" w:orient="portrait"/>
          <w:cols w:equalWidth="0" w:num="1">
            <w:col w:w="11420"/>
          </w:cols>
          <w:pgMar w:left="240" w:top="131" w:right="239" w:bottom="0" w:gutter="0" w:footer="0" w:header="0"/>
        </w:sectPr>
      </w:pPr>
    </w:p>
    <w:bookmarkStart w:id="104" w:name="page105"/>
    <w:bookmarkEnd w:id="104"/>
    <w:p>
      <w:pPr>
        <w:ind w:right="80" w:firstLine="351"/>
        <w:spacing w:after="0" w:line="268" w:lineRule="auto"/>
        <w:rPr>
          <w:sz w:val="20"/>
          <w:szCs w:val="20"/>
          <w:color w:val="auto"/>
        </w:rPr>
      </w:pPr>
      <w:r>
        <w:rPr>
          <w:rFonts w:ascii="Arial" w:cs="Arial" w:eastAsia="Arial" w:hAnsi="Arial"/>
          <w:sz w:val="18"/>
          <w:szCs w:val="18"/>
          <w:color w:val="auto"/>
        </w:rPr>
        <w:t>Notwithstanding the preceding, without the consent of any holder, the Issuers, any Restricted Entity, any Restricted Subsidiary or any Guarantor, the Issuers and the trustee may amend or supplement the indenture, the notes or the Collateral Documents to:</w:t>
      </w:r>
    </w:p>
    <w:p>
      <w:pPr>
        <w:spacing w:after="0" w:line="199" w:lineRule="exact"/>
        <w:rPr>
          <w:sz w:val="20"/>
          <w:szCs w:val="20"/>
          <w:color w:val="auto"/>
        </w:rPr>
      </w:pPr>
    </w:p>
    <w:p>
      <w:pPr>
        <w:ind w:left="540" w:hanging="532"/>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238"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provide for the assumption of the Issuers' obligations to holders of notes in the case of a merger or consolidation or sale of all or substantially all of the Issuers' assets;</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notes or that does not adversely affect the legal rights under the indenture of any such holder;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comply with requirements of the Commission in order to effect or maintain the qualification of the indenture under the Trust indenture Act; or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under the indenture, when:</w:t>
      </w:r>
    </w:p>
    <w:p>
      <w:pPr>
        <w:spacing w:after="0" w:line="262" w:lineRule="exact"/>
        <w:rPr>
          <w:sz w:val="20"/>
          <w:szCs w:val="20"/>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40" w:hanging="532"/>
        <w:spacing w:after="0" w:line="332" w:lineRule="auto"/>
        <w:tabs>
          <w:tab w:leader="none" w:pos="10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52" w:lineRule="exact"/>
        <w:rPr>
          <w:rFonts w:ascii="Arial" w:cs="Arial" w:eastAsia="Arial" w:hAnsi="Arial"/>
          <w:sz w:val="16"/>
          <w:szCs w:val="16"/>
          <w:color w:val="auto"/>
        </w:rPr>
      </w:pPr>
    </w:p>
    <w:p>
      <w:pPr>
        <w:ind w:left="1080" w:right="20" w:hanging="532"/>
        <w:spacing w:after="0" w:line="291" w:lineRule="auto"/>
        <w:tabs>
          <w:tab w:leader="none" w:pos="10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 Issuer or any Guarantor is bound;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the indenture; and</w:t>
      </w:r>
    </w:p>
    <w:p>
      <w:pPr>
        <w:spacing w:after="0" w:line="238"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Except as described in the next paragraph, the notes will be issued in the form of one or more global senior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ectPr>
          <w:pgSz w:w="11900" w:h="16838" w:orient="portrait"/>
          <w:cols w:equalWidth="0" w:num="1">
            <w:col w:w="11400"/>
          </w:cols>
          <w:pgMar w:left="240" w:top="131" w:right="259" w:bottom="130" w:gutter="0" w:footer="0" w:header="0"/>
        </w:sectPr>
      </w:pPr>
    </w:p>
    <w:bookmarkStart w:id="105" w:name="page106"/>
    <w:bookmarkEnd w:id="105"/>
    <w:p>
      <w:pPr>
        <w:ind w:firstLine="351"/>
        <w:spacing w:after="0" w:line="256" w:lineRule="auto"/>
        <w:rPr>
          <w:sz w:val="20"/>
          <w:szCs w:val="20"/>
          <w:color w:val="auto"/>
        </w:rPr>
      </w:pPr>
      <w:r>
        <w:rPr>
          <w:rFonts w:ascii="Arial" w:cs="Arial" w:eastAsia="Arial" w:hAnsi="Arial"/>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68"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Issuers with portions of the principal amount of the Global Notes;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208" w:lineRule="exact"/>
        <w:rPr>
          <w:sz w:val="20"/>
          <w:szCs w:val="20"/>
          <w:color w:val="auto"/>
        </w:rPr>
      </w:pPr>
    </w:p>
    <w:p>
      <w:pPr>
        <w:ind w:left="540" w:right="20" w:hanging="532"/>
        <w:spacing w:after="0" w:line="259"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52" w:lineRule="exact"/>
        <w:rPr>
          <w:sz w:val="20"/>
          <w:szCs w:val="20"/>
          <w:color w:val="auto"/>
        </w:rPr>
      </w:pPr>
    </w:p>
    <w:p>
      <w:pPr>
        <w:ind w:left="540" w:right="500" w:hanging="532"/>
        <w:spacing w:after="0" w:line="268"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Wynn Las Vegas notifies the trustee in writing that DTC is no longer willing or able to act as a depository and Wynn Las Vegas is unable to locate a qualified successor within 90 days or</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upon request to the trustee by any Person having a beneficial interest in a Global Note, following the occurrence and during the continuation of a Default or Event of Default,</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39"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ectPr>
          <w:pgSz w:w="11900" w:h="16838" w:orient="portrait"/>
          <w:cols w:equalWidth="0" w:num="1">
            <w:col w:w="11420"/>
          </w:cols>
          <w:pgMar w:left="240" w:top="131" w:right="239" w:bottom="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1420"/>
          </w:cols>
          <w:pgMar w:left="240" w:top="131" w:right="239"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39" w:lineRule="exact"/>
        <w:rPr>
          <w:sz w:val="20"/>
          <w:szCs w:val="20"/>
          <w:color w:val="auto"/>
        </w:rPr>
      </w:pPr>
    </w:p>
    <w:p>
      <w:pPr>
        <w:ind w:left="540" w:hanging="532"/>
        <w:spacing w:after="0" w:line="259"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beneficial ownership of 10% or more of the Voting Stock of a Person will be deemed to be control. For purposes of this definition,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"controlled by" and "under common control with" will have correlative meanings.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Wynn Employment Agreement,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Aircraft Agreement.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Agreement</w:t>
      </w:r>
      <w:r>
        <w:rPr>
          <w:rFonts w:ascii="Arial" w:cs="Arial" w:eastAsia="Arial" w:hAnsi="Arial"/>
          <w:sz w:val="18"/>
          <w:szCs w:val="18"/>
          <w:color w:val="auto"/>
        </w:rPr>
        <w:t>" means the Aircraft Agreement, dated as of the date of the indenture, between Wynn Las Vegas and World Travel, LLC, as in effect on the date of the indenture or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Bombardier Global Express aircraft (serial number 9065) owned by World Travel, LLC and leased to Las Vegas Jet, LLC,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Part 91 federal aviation authority certificate held by Las Vegas Jet, LLC relating to the corporate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together with the products and proceeds thereof.</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Allocable Overhead</w:t>
      </w:r>
      <w:r>
        <w:rPr>
          <w:rFonts w:ascii="Arial" w:cs="Arial" w:eastAsia="Arial" w:hAnsi="Arial"/>
          <w:sz w:val="18"/>
          <w:szCs w:val="18"/>
          <w:color w:val="auto"/>
        </w:rPr>
        <w:t>" means, at any time, an amount equal to (1) the total amount of reasonable corporate overhead expenses of Wynn Resorts and its Subsidiaries calculated in good faith on a consolidated basis, after the elimination of intercompany transactions,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accordance with GAAP, divided by (2) the number of gaming and/or hotel projects of Wynn Resorts and its Subsidiaries which are operating or for which debt and/or equity financing has been obtained to finance, in whole or in part, the development, construction and/or opening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Project and the Macau Project shall each count as separate projects.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Art Rental and Licensing Agreement, dated November 1, 2001, by and between Stephen A. Wynn and Wynn Resorts Holdings, as amended, modified or otherwise supplemented from time to time in accordance with the covenant captioned "—Certain Covenants—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line="255"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Wynn Las Vegas, its Restricted Subsidiaries and the Restricted Entities,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 and</w:t>
      </w:r>
    </w:p>
    <w:p>
      <w:pPr>
        <w:spacing w:after="0" w:line="210"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issuance of Equity Interests by either Issuer, any Subsidiary of Wynn Las Vegas or any Restricted Entity or the sale of Equity Interests in either Issuer, any Subsidiary of Wynn Las Vegas or any Restricted Entity.</w:t>
      </w:r>
    </w:p>
    <w:p>
      <w:pPr>
        <w:sectPr>
          <w:pgSz w:w="11900" w:h="16838" w:orient="portrait"/>
          <w:cols w:equalWidth="0" w:num="1">
            <w:col w:w="11400"/>
          </w:cols>
          <w:pgMar w:left="240" w:top="368" w:right="259" w:bottom="0" w:gutter="0" w:footer="0" w:header="0"/>
        </w:sectPr>
      </w:pPr>
    </w:p>
    <w:bookmarkStart w:id="107" w:name="page108"/>
    <w:bookmarkEnd w:id="107"/>
    <w:p>
      <w:pPr>
        <w:ind w:right="80" w:firstLine="351"/>
        <w:spacing w:after="0" w:line="268" w:lineRule="auto"/>
        <w:rPr>
          <w:sz w:val="20"/>
          <w:szCs w:val="20"/>
          <w:color w:val="auto"/>
        </w:rPr>
      </w:pPr>
      <w:r>
        <w:rPr>
          <w:rFonts w:ascii="Arial" w:cs="Arial" w:eastAsia="Arial" w:hAnsi="Arial"/>
          <w:sz w:val="18"/>
          <w:szCs w:val="18"/>
          <w:color w:val="auto"/>
        </w:rPr>
        <w:t>Notwithstanding the preceding, none of the following items will be deemed to be an Asset Sale (except for purposes of the definition of "Consolidated Cash Flow"):</w:t>
      </w:r>
    </w:p>
    <w:p>
      <w:pPr>
        <w:spacing w:after="0" w:line="199" w:lineRule="exact"/>
        <w:rPr>
          <w:sz w:val="20"/>
          <w:szCs w:val="20"/>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$1,000,000;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its Restricted Subsidiaries;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issuance of Equity Interests by Wynn Las Vegas, any of its Restricted Subsidiaries or any Restricted Entity to a Guarantor;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252"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any of its Restricted Subsidiaries or any Restricted Entity;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38"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212" w:lineRule="exact"/>
        <w:rPr>
          <w:rFonts w:ascii="Arial" w:cs="Arial" w:eastAsia="Arial" w:hAnsi="Arial"/>
          <w:sz w:val="18"/>
          <w:szCs w:val="18"/>
          <w:color w:val="auto"/>
        </w:rPr>
      </w:pPr>
    </w:p>
    <w:p>
      <w:pPr>
        <w:ind w:left="540" w:right="860" w:hanging="532"/>
        <w:spacing w:after="0" w:line="332"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any of its Restricted Subsidiaries or any Restricted Entity in such exchanges does not exceed $10.0 million in the aggregate in any calendar year;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dedication of space within the Project as necessary for the development of the Project and as permitted by the Collateral Documents;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licensing of trademarks and trade names to Wynn Resorts or any of its Affiliates in the ordinary course of business;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transfer or sale of disposition of any Released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238"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with respect to a partnership, the direct or indirect board of directors of the general partner of the partnership, or, in the case of an individual general partner, such individual;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with respect to any other Person, the direct or indirect board or committee of such Person or the holder serving a similar function.</w:t>
      </w:r>
    </w:p>
    <w:p>
      <w:pPr>
        <w:spacing w:after="0" w:line="225"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"Budgeted Amounts" </w:t>
      </w:r>
      <w:r>
        <w:rPr>
          <w:rFonts w:ascii="Arial" w:cs="Arial" w:eastAsia="Arial" w:hAnsi="Arial"/>
          <w:sz w:val="16"/>
          <w:szCs w:val="16"/>
          <w:color w:val="auto"/>
        </w:rPr>
        <w:t>means, as of any date, amounts set forth in the Project Budget payable to Affiliates of Wynn Las Vegas, any of its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any Restricted Entity to develop, construct or open the Project, but only to the extent such amounts are then permitted to be disbursed to Wynn Las Vegas under the Disbursement Agreement, and are applied as permitted under the Disbursement Agreement.</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238"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(other than the right to receive contingent interest in respect of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25" w:lineRule="exact"/>
        <w:rPr>
          <w:rFonts w:ascii="Arial" w:cs="Arial" w:eastAsia="Arial" w:hAnsi="Arial"/>
          <w:sz w:val="18"/>
          <w:szCs w:val="18"/>
          <w:color w:val="auto"/>
        </w:rPr>
      </w:pPr>
    </w:p>
    <w:p>
      <w:pPr>
        <w:spacing w:after="0"/>
        <w:tabs>
          <w:tab w:leader="none" w:pos="0" w:val="left"/>
        </w:tabs>
        <w:numPr>
          <w:ilvl w:val="0"/>
          <w:numId w:val="192"/>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sectPr>
      </w:pPr>
    </w:p>
    <w:bookmarkStart w:id="108" w:name="page109"/>
    <w:bookmarkEnd w:id="108"/>
    <w:p>
      <w:pPr>
        <w:ind w:left="540" w:right="300"/>
        <w:spacing w:after="0" w:line="259" w:lineRule="auto"/>
        <w:rPr>
          <w:sz w:val="20"/>
          <w:szCs w:val="20"/>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220" w:hanging="532"/>
        <w:spacing w:after="0" w:line="306" w:lineRule="auto"/>
        <w:tabs>
          <w:tab w:leader="none" w:pos="54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87"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99"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commercial paper having the highest rating obtainable from Moody's or S&amp;P and in each case maturing within six months after the date of acquisition; and</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Cash Equivalents of the kinds described in clauses (1) through (5) of this definition.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left="540" w:right="160" w:hanging="532"/>
        <w:spacing w:after="0" w:line="256"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Wynn Las Vegas, its Restricted Subsidiaries and the Restricted Entities, taken as a whole, or of Wynn Las Vegas and its Restricted Subsidiaries, taken as a whole, to any "person" (as that term is used in Section 13(d)(3) of the Exchange Act), other than to the Principal or a Related Party of the Principal;</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238" w:lineRule="exact"/>
        <w:rPr>
          <w:rFonts w:ascii="Arial" w:cs="Arial" w:eastAsia="Arial" w:hAnsi="Arial"/>
          <w:sz w:val="18"/>
          <w:szCs w:val="18"/>
          <w:color w:val="auto"/>
        </w:rPr>
      </w:pPr>
    </w:p>
    <w:p>
      <w:pPr>
        <w:ind w:left="540" w:right="80" w:hanging="532"/>
        <w:spacing w:after="0" w:line="288"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the Principal and any of his Related Parties (and, in the case of clause (b) and (c) only, Kazuo Okada, so long as the Stockholders Agreement, as in effect on the date of the indenture or as amended or modified to the extent permitted under the indenture, remains in full force and effect), becomes the Beneficial Owner, directly or indirectly, of (a) more than 50% of the outstanding Voting Stock of Wynn Resorts, measured by voting power rather than number of equity interests, (b) more than 35% of the outstanding Voting Stock of Wynn Resorts, measured by voting power rather than number of equity interests, and a greater percentage of the outstanding Voting Stock of Wynn Resorts, measured by voting power rather than number of equity interests, than is at that time Beneficially Owned by the Principal and his Related Parties as a group or (c) a greater percentage of the Outstanding Voting Stock of Wynn Resorts, measured by voting power rather than number of equity interests, than is at that time Beneficially Owned by the Principal and his Related Parties as a group;</w:t>
      </w:r>
    </w:p>
    <w:p>
      <w:pPr>
        <w:spacing w:after="0" w:line="200" w:lineRule="exact"/>
        <w:rPr>
          <w:rFonts w:ascii="Arial" w:cs="Arial" w:eastAsia="Arial" w:hAnsi="Arial"/>
          <w:sz w:val="16"/>
          <w:szCs w:val="16"/>
          <w:color w:val="auto"/>
        </w:rPr>
      </w:pPr>
    </w:p>
    <w:p>
      <w:pPr>
        <w:ind w:left="540" w:hanging="532"/>
        <w:spacing w:after="0"/>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first day on which Wynn Resorts ceases to own, directly or indirectly, 100% of the outstanding Equity Interests of Wynn Las Vegas;</w:t>
      </w:r>
    </w:p>
    <w:p>
      <w:pPr>
        <w:spacing w:after="0" w:line="238" w:lineRule="exact"/>
        <w:rPr>
          <w:rFonts w:ascii="Arial" w:cs="Arial" w:eastAsia="Arial" w:hAnsi="Arial"/>
          <w:sz w:val="18"/>
          <w:szCs w:val="18"/>
          <w:color w:val="auto"/>
        </w:rPr>
      </w:pPr>
    </w:p>
    <w:p>
      <w:pPr>
        <w:ind w:left="540" w:right="760" w:hanging="532"/>
        <w:spacing w:after="0" w:line="332"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first date on which the Principal: (i) ceases to be the chief executive officer of Wynn Resorts (other than as a result of death or disability), or (ii) Beneficially Owns less than a certain minimum number of shares of Voting Stock of Wynn Resorts to be agreed upon;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line="291"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 Change of Control shall not occur solely by reason of a Permitted C-Corp.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w:t>
      </w:r>
      <w:r>
        <w:rPr>
          <w:rFonts w:ascii="Arial" w:cs="Arial" w:eastAsia="Arial" w:hAnsi="Arial"/>
          <w:sz w:val="16"/>
          <w:szCs w:val="16"/>
          <w:color w:val="auto"/>
        </w:rPr>
        <w:t>" means all assets, now owned or hereafter acquired, of either Issuer, any Guarantor, any 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Guarantee and Collateral Agreements,</w:t>
      </w:r>
    </w:p>
    <w:p>
      <w:pPr>
        <w:sectPr>
          <w:pgSz w:w="11900" w:h="16838" w:orient="portrait"/>
          <w:cols w:equalWidth="0" w:num="1">
            <w:col w:w="11400"/>
          </w:cols>
          <w:pgMar w:left="240" w:top="131" w:right="259" w:bottom="0" w:gutter="0" w:footer="0" w:header="0"/>
        </w:sectPr>
      </w:pPr>
    </w:p>
    <w:bookmarkStart w:id="109" w:name="page110"/>
    <w:bookmarkEnd w:id="109"/>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Intercreditor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Parent Guarantee, if 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Parent Security Agreement, if 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Secured Account Agreement, and</w:t>
      </w:r>
    </w:p>
    <w:p>
      <w:pPr>
        <w:spacing w:after="0" w:line="23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other agreements, instruments, documents, pledges or filings that create, evidence, perfect, set forth, consent to, acknowledge or limit the security interest of the trustee in the Collateral.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w:t>
      </w:r>
      <w:r>
        <w:rPr>
          <w:rFonts w:ascii="Arial" w:cs="Arial" w:eastAsia="Arial" w:hAnsi="Arial"/>
          <w:sz w:val="18"/>
          <w:szCs w:val="18"/>
          <w:color w:val="auto"/>
        </w:rPr>
        <w:t>" means that each of the conditions to achieving "Completion" set forth in the Disbursement Agreement has been satisfied.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xml:space="preserve"> means the date on which Completion occurs.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w:t>
      </w:r>
      <w:r>
        <w:rPr>
          <w:rFonts w:ascii="Arial" w:cs="Arial" w:eastAsia="Arial" w:hAnsi="Arial"/>
          <w:sz w:val="16"/>
          <w:szCs w:val="16"/>
          <w:color w:val="auto"/>
        </w:rPr>
        <w:t>" means the Completion Guarantee, dated as of the date of indenture, by the Completion Guarantor in favor of the trustee.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Cash Flow</w:t>
      </w:r>
      <w:r>
        <w:rPr>
          <w:rFonts w:ascii="Arial" w:cs="Arial" w:eastAsia="Arial" w:hAnsi="Arial"/>
          <w:sz w:val="16"/>
          <w:szCs w:val="16"/>
          <w:color w:val="auto"/>
        </w:rPr>
        <w:t xml:space="preserve">" means, with respect to any specified Person for any period, the Consolidated Net Income of such Person for such period </w:t>
      </w:r>
      <w:r>
        <w:rPr>
          <w:rFonts w:ascii="Arial" w:cs="Arial" w:eastAsia="Arial" w:hAnsi="Arial"/>
          <w:sz w:val="16"/>
          <w:szCs w:val="16"/>
          <w:i w:val="1"/>
          <w:iCs w:val="1"/>
          <w:color w:val="auto"/>
        </w:rPr>
        <w:t>plus</w:t>
      </w:r>
      <w:r>
        <w:rPr>
          <w:rFonts w:ascii="Arial" w:cs="Arial" w:eastAsia="Arial" w:hAnsi="Arial"/>
          <w:sz w:val="16"/>
          <w:szCs w:val="16"/>
          <w:color w:val="auto"/>
        </w:rPr>
        <w:t>:</w:t>
      </w:r>
    </w:p>
    <w:p>
      <w:pPr>
        <w:spacing w:after="0" w:line="262" w:lineRule="exact"/>
        <w:rPr>
          <w:sz w:val="20"/>
          <w:szCs w:val="20"/>
          <w:color w:val="auto"/>
        </w:rPr>
      </w:pPr>
    </w:p>
    <w:p>
      <w:pPr>
        <w:ind w:left="540" w:right="8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540" w:right="160" w:hanging="532"/>
        <w:spacing w:after="0" w:line="254"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any pre-opening expenses, to the extent such pre-opening expenses were deducted in calculating Consolidated Net Income on a consolidated basis; </w:t>
      </w:r>
      <w:r>
        <w:rPr>
          <w:rFonts w:ascii="Arial" w:cs="Arial" w:eastAsia="Arial" w:hAnsi="Arial"/>
          <w:sz w:val="16"/>
          <w:szCs w:val="16"/>
          <w:i w:val="1"/>
          <w:iCs w:val="1"/>
          <w:color w:val="auto"/>
        </w:rPr>
        <w:t>plus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has the meaning given that term in the Credit Agreement, as in effect on the date of the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has the meaning given that term in the Credit Agreement, as in effect on the date of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corporation, other than the common parent, that is a member of an affiliated group (as defined in Section 1504 of the Code) of which Wynn Resorts, any of Wynn Las Vegas or its Restricted Subsidiaries, or a Restricted Entity is the common parent.</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13" w:lineRule="exact"/>
        <w:rPr>
          <w:sz w:val="20"/>
          <w:szCs w:val="20"/>
          <w:color w:val="auto"/>
        </w:rPr>
      </w:pPr>
    </w:p>
    <w:p>
      <w:pPr>
        <w:ind w:left="540" w:right="240" w:hanging="532"/>
        <w:spacing w:after="0" w:line="332" w:lineRule="auto"/>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ectPr>
          <w:pgSz w:w="11900" w:h="16838" w:orient="portrait"/>
          <w:cols w:equalWidth="0" w:num="1">
            <w:col w:w="11420"/>
          </w:cols>
          <w:pgMar w:left="240" w:top="145" w:right="239" w:bottom="0" w:gutter="0" w:footer="0" w:header="0"/>
        </w:sectPr>
      </w:pPr>
    </w:p>
    <w:bookmarkStart w:id="110" w:name="page111"/>
    <w:bookmarkEnd w:id="110"/>
    <w:p>
      <w:pPr>
        <w:ind w:left="540" w:right="320" w:hanging="532"/>
        <w:spacing w:after="0" w:line="298" w:lineRule="auto"/>
        <w:tabs>
          <w:tab w:leader="none" w:pos="5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will be excluded;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Net Income of any Unrestricted Subsidiary will be excluded, whether or not distributed to the specified Person or one of its Subsidiaries;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252" w:lineRule="exact"/>
        <w:rPr>
          <w:sz w:val="20"/>
          <w:szCs w:val="20"/>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Restricted Subsidiaries as of such date; plus</w:t>
      </w:r>
    </w:p>
    <w:p>
      <w:pPr>
        <w:spacing w:after="0" w:line="238"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6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262" w:lineRule="exact"/>
        <w:rPr>
          <w:sz w:val="20"/>
          <w:szCs w:val="20"/>
          <w:color w:val="auto"/>
        </w:rPr>
      </w:pPr>
    </w:p>
    <w:p>
      <w:pPr>
        <w:ind w:left="540" w:hanging="53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or, in the case of a limited liability company, was nominated by the direct or indirect Board of Directors of its managing member or sole member.</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Bank of America Securities LLC, as lead arranger, joint book running manager and syndication agent, Bear Stearns &amp; Co. Inc., as arranger and joint book running manager, Bear Stearns Corporate Lending Inc., as joint documentation agent, and Deutsche Bank AG., New York Branch, as arranger and joint documentation agent, including any related notes, guarantees, collateral documents, instruments and agreements executed in connection therewith, and in each case (1) as amended, supplemented, amended and restated or otherwise modified from time to time, or (2) as renewed, refunded, replaced or refinanced from time to time, whether with the same or different lenders or holders.</w:t>
      </w:r>
    </w:p>
    <w:p>
      <w:pPr>
        <w:spacing w:after="0" w:line="17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 Co.</w:t>
      </w:r>
      <w:r>
        <w:rPr>
          <w:rFonts w:ascii="Arial" w:cs="Arial" w:eastAsia="Arial" w:hAnsi="Arial"/>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 Company</w:t>
      </w:r>
      <w:r>
        <w:rPr>
          <w:rFonts w:ascii="Arial" w:cs="Arial" w:eastAsia="Arial" w:hAnsi="Arial"/>
          <w:sz w:val="18"/>
          <w:szCs w:val="18"/>
          <w:color w:val="auto"/>
        </w:rPr>
        <w:t>" means Desert Inn Water Company, LLC, a Nevada limited liability company.</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Design/Build Contract</w:t>
      </w:r>
      <w:r>
        <w:rPr>
          <w:rFonts w:ascii="Arial" w:cs="Arial" w:eastAsia="Arial" w:hAnsi="Arial"/>
          <w:sz w:val="16"/>
          <w:szCs w:val="16"/>
          <w:color w:val="auto"/>
        </w:rPr>
        <w:t>" means the Design/Build Agreement, dated June 6, 2002, by and between Wynn Las Vegas and Bomel Construction Company, Inc., as amended, modified or otherwise supplemented from time to time in accordance with the covenant captioned "—Amendments to Certain Agreements."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w:t>
      </w:r>
    </w:p>
    <w:p>
      <w:pPr>
        <w:spacing w:after="0" w:line="186"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Disbursement Agreement</w:t>
      </w:r>
      <w:r>
        <w:rPr>
          <w:rFonts w:ascii="Arial" w:cs="Arial" w:eastAsia="Arial" w:hAnsi="Arial"/>
          <w:sz w:val="15"/>
          <w:szCs w:val="15"/>
          <w:color w:val="auto"/>
        </w:rPr>
        <w:t>" means the Master Disbursement Agreement, dated the date of the indenture, among Wynn Las Vegas, the trustee, a representative of the lenders under the Credit Agreement, a representative of the lenders under the FF&amp;E Facility and the Disbursement Agent in connection with the Project.</w:t>
      </w:r>
    </w:p>
    <w:p>
      <w:pPr>
        <w:spacing w:after="0" w:line="11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w:t>
      </w:r>
    </w:p>
    <w:p>
      <w:pPr>
        <w:sectPr>
          <w:pgSz w:w="11900" w:h="16838" w:orient="portrait"/>
          <w:cols w:equalWidth="0" w:num="1">
            <w:col w:w="11420"/>
          </w:cols>
          <w:pgMar w:left="240" w:top="145" w:right="239" w:bottom="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Capital Stock have the right to require Wynn Las Vegas, any of its Restricted Subsidiaries, or a Restricted Entity to repurchase such Capital Stock upon the occurrence of a change of control or an asset sale shall not constitute Disqualified Stock if the terms of such Capital Stock provide that Wynn Las Vegas, any of its Restricted Subsidiaries or a Restricted Entity may not repurchase or redeem any such Capital Stock pursuant to such provisions unless such repurchase or redemption complies with the covenant described above under the caption "—Certain Covenants—Restricted Payments."</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Driving Range Lease</w:t>
      </w:r>
      <w:r>
        <w:rPr>
          <w:rFonts w:ascii="Arial" w:cs="Arial" w:eastAsia="Arial" w:hAnsi="Arial"/>
          <w:sz w:val="16"/>
          <w:szCs w:val="16"/>
          <w:color w:val="auto"/>
        </w:rPr>
        <w:t>" means the lease, dated as of the date of the indenture between Wynn Las Vegas and Wynn Resorts Holdings, as amended, modified or otherwise supplemented from time to time in accordance with the covenant captioned "—Amendments to Certain Agreements."</w:t>
      </w:r>
    </w:p>
    <w:p>
      <w:pPr>
        <w:spacing w:after="0" w:line="139"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 Parking Lot Lease</w:t>
      </w:r>
      <w:r>
        <w:rPr>
          <w:rFonts w:ascii="Arial" w:cs="Arial" w:eastAsia="Arial" w:hAnsi="Arial"/>
          <w:sz w:val="16"/>
          <w:szCs w:val="16"/>
          <w:color w:val="auto"/>
        </w:rPr>
        <w:t>" means the lease, dated as of the date of the indenture between Valvino Lamore and Wynn Las Vegas, as amended, modified or otherwise supplemented from time to time in accordance with the covenant captioned "—Amendments to Certain Agreements."</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99" w:lineRule="exact"/>
        <w:rPr>
          <w:sz w:val="20"/>
          <w:szCs w:val="20"/>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252" w:lineRule="exact"/>
        <w:rPr>
          <w:rFonts w:ascii="Arial" w:cs="Arial" w:eastAsia="Arial" w:hAnsi="Arial"/>
          <w:sz w:val="18"/>
          <w:szCs w:val="18"/>
          <w:color w:val="auto"/>
        </w:rPr>
      </w:pPr>
    </w:p>
    <w:p>
      <w:pPr>
        <w:ind w:left="540" w:right="320" w:hanging="532"/>
        <w:spacing w:after="0" w:line="370" w:lineRule="auto"/>
        <w:tabs>
          <w:tab w:leader="none" w:pos="54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any actual condemnation, seizure or taking by exercise of the power of eminent domain or otherwise of such property or asset, or confiscation of such property or asset or the requisition of the use of such property or asset, including, without limitation, as a result of the Homeowners' Litigation; or</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other than Equity Interests in Valvino Lamore or any other Restricted Entity and (2) the Released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Baron Asset Fund and the Kenneth R. Wynn Family Trust.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w:t>
      </w:r>
      <w:r>
        <w:rPr>
          <w:rFonts w:ascii="Arial" w:cs="Arial" w:eastAsia="Arial" w:hAnsi="Arial"/>
          <w:sz w:val="16"/>
          <w:szCs w:val="16"/>
          <w:color w:val="auto"/>
        </w:rPr>
        <w:t>" means furniture, fixtures or equipment used in the ordinary course of the business of Wynn Las Vegas and its Restricted Subsidiaries.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Collateral</w:t>
      </w:r>
      <w:r>
        <w:rPr>
          <w:rFonts w:ascii="Arial" w:cs="Arial" w:eastAsia="Arial" w:hAnsi="Arial"/>
          <w:sz w:val="18"/>
          <w:szCs w:val="18"/>
          <w:color w:val="auto"/>
        </w:rPr>
        <w:t xml:space="preserve">" means all assets, now owned or hereafter acquired, of any Issuer, any Guarantor or any other Person, to the extent such assets are pledged or assigned or purport to be pledged or assigned, or are required to be pledged or assigned under the FF&amp;E Facility or the related collateral documents to the lenders under the FF&amp;E Facility, or a representative on their behalf, as security for the obligations under the FF&amp;E Facility, together with the proceeds and products thereof,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Aircraft Assets.</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Financing</w:t>
      </w:r>
      <w:r>
        <w:rPr>
          <w:rFonts w:ascii="Arial" w:cs="Arial" w:eastAsia="Arial" w:hAnsi="Arial"/>
          <w:sz w:val="16"/>
          <w:szCs w:val="16"/>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means the Credit Agreement, dated as of the date of the indenture, among Wynn Las Vegas, the administrative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 such issuance, repurchase or redemption of preferred equity, and the use of the proceeds therefrom as if the same had occurred at the beginning of the applicable four-quarter reference period.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39" w:lineRule="exact"/>
        <w:rPr>
          <w:sz w:val="20"/>
          <w:szCs w:val="20"/>
          <w:color w:val="auto"/>
        </w:rPr>
      </w:pPr>
    </w:p>
    <w:p>
      <w:pPr>
        <w:ind w:left="540" w:right="100" w:hanging="532"/>
        <w:spacing w:after="0" w:line="294" w:lineRule="auto"/>
        <w:tabs>
          <w:tab w:leader="none" w:pos="5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1" w:right="259" w:bottom="0" w:gutter="0" w:footer="0" w:header="0"/>
        </w:sectPr>
      </w:pPr>
    </w:p>
    <w:bookmarkStart w:id="112" w:name="page113"/>
    <w:bookmarkEnd w:id="112"/>
    <w:p>
      <w:pPr>
        <w:ind w:left="540" w:right="240"/>
        <w:spacing w:after="0" w:line="268" w:lineRule="auto"/>
        <w:rPr>
          <w:sz w:val="20"/>
          <w:szCs w:val="20"/>
          <w:color w:val="auto"/>
        </w:rPr>
      </w:pPr>
      <w:r>
        <w:rPr>
          <w:rFonts w:ascii="Arial" w:cs="Arial" w:eastAsia="Arial" w:hAnsi="Arial"/>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199" w:lineRule="exact"/>
        <w:rPr>
          <w:sz w:val="20"/>
          <w:szCs w:val="20"/>
          <w:color w:val="auto"/>
        </w:rPr>
      </w:pPr>
    </w:p>
    <w:p>
      <w:pPr>
        <w:ind w:left="540" w:right="140" w:hanging="532"/>
        <w:spacing w:after="0" w:line="259"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52" w:lineRule="exact"/>
        <w:rPr>
          <w:sz w:val="20"/>
          <w:szCs w:val="20"/>
          <w:color w:val="auto"/>
        </w:rPr>
      </w:pPr>
    </w:p>
    <w:p>
      <w:pPr>
        <w:ind w:left="540" w:right="180" w:hanging="532"/>
        <w:spacing w:after="0" w:line="256" w:lineRule="auto"/>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262" w:lineRule="exact"/>
        <w:rPr>
          <w:sz w:val="20"/>
          <w:szCs w:val="20"/>
          <w:color w:val="auto"/>
        </w:rPr>
      </w:pPr>
    </w:p>
    <w:p>
      <w:pPr>
        <w:ind w:left="540" w:hanging="532"/>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38" w:lineRule="exact"/>
        <w:rPr>
          <w:rFonts w:ascii="Arial" w:cs="Arial" w:eastAsia="Arial" w:hAnsi="Arial"/>
          <w:sz w:val="18"/>
          <w:szCs w:val="18"/>
          <w:color w:val="auto"/>
        </w:rPr>
      </w:pPr>
    </w:p>
    <w:p>
      <w:pPr>
        <w:ind w:left="540" w:right="300" w:hanging="532"/>
        <w:spacing w:after="0" w:line="332" w:lineRule="auto"/>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66" w:lineRule="exact"/>
        <w:rPr>
          <w:rFonts w:ascii="Arial" w:cs="Arial" w:eastAsia="Arial" w:hAnsi="Arial"/>
          <w:sz w:val="16"/>
          <w:szCs w:val="16"/>
          <w:color w:val="auto"/>
        </w:rPr>
      </w:pPr>
    </w:p>
    <w:p>
      <w:pPr>
        <w:ind w:left="540" w:right="20" w:hanging="532"/>
        <w:spacing w:after="0" w:line="294" w:lineRule="auto"/>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on a consolidated basis and in accordance with GAAP.</w:t>
      </w:r>
    </w:p>
    <w:p>
      <w:pPr>
        <w:spacing w:after="0" w:line="170"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of its Restricted Subsidiaries or any Restricted Entity.</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any of its Restricted Subsidiaries or any Restricted Entity is, or may be at any time after the date of the indenture, subject.</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Contractor</w:t>
      </w:r>
      <w:r>
        <w:rPr>
          <w:rFonts w:ascii="Arial" w:cs="Arial" w:eastAsia="Arial" w:hAnsi="Arial"/>
          <w:sz w:val="18"/>
          <w:szCs w:val="18"/>
          <w:color w:val="auto"/>
        </w:rPr>
        <w:t>" means Marnell Corrao Associates, Inc., a Nevada corporation.</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agreement to be entered into following the date of the indenture between Wynn Resorts Holdings and/or Wynn Las Vegas and a golf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course contractor for the construction of the new golf course on the Project Site, as amended, modified or otherwise supplemented from time to time in accordance with the Disbursement Agreement.</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Homes</w:t>
      </w:r>
      <w:r>
        <w:rPr>
          <w:rFonts w:ascii="Arial" w:cs="Arial" w:eastAsia="Arial" w:hAnsi="Arial"/>
          <w:sz w:val="18"/>
          <w:szCs w:val="18"/>
          <w:color w:val="auto"/>
        </w:rPr>
        <w:t>" means the golf course homes located on the periphery of the Golf Course Land not acquired by Wynn Las Vegas, any of its Restricted Subsidiaries or any Restricted Entity as of the date of the indenture.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together with all improvements thereon and all rights appurtenant thereto.</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the date of the indenture, between Wynn Resorts Holdings and Wynn Las Vegas, as amended, modified or otherwise supplemented from time to time in accordance with the covenant captioned "—Amendments to Certain Agreements."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31" w:right="259" w:bottom="0" w:gutter="0" w:footer="0" w:header="0"/>
        </w:sectPr>
      </w:pPr>
    </w:p>
    <w:bookmarkStart w:id="113" w:name="page114"/>
    <w:bookmarkEnd w:id="113"/>
    <w:p>
      <w:pPr>
        <w:ind w:left="540"/>
        <w:spacing w:after="0"/>
        <w:rPr>
          <w:sz w:val="20"/>
          <w:szCs w:val="20"/>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39" w:lineRule="exact"/>
        <w:rPr>
          <w:sz w:val="20"/>
          <w:szCs w:val="20"/>
          <w:color w:val="auto"/>
        </w:rPr>
      </w:pPr>
    </w:p>
    <w:p>
      <w:pPr>
        <w:ind w:left="540" w:right="40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8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8"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Agreements</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Guarantee and Collateral Agreement, dated as of the date of the indenture, among the Restricted Entities, Valvino Lamore and the trustee,</w:t>
      </w:r>
    </w:p>
    <w:p>
      <w:pPr>
        <w:spacing w:after="0" w:line="26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any Restricted Entity, Valvino Lamore or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239" w:lineRule="exact"/>
        <w:rPr>
          <w:sz w:val="20"/>
          <w:szCs w:val="20"/>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Restricted Entities,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Restricted Subsidiaries, if any, of Wynn Las Vegas,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740" w:hanging="532"/>
        <w:spacing w:after="0" w:line="26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Person that executes a Guarantee (including pursuant to a Guarantee and Collateral Agreement but excluding the Parent Guarantor) in accordance with the provisions of the indenture,</w:t>
      </w:r>
    </w:p>
    <w:p>
      <w:pPr>
        <w:spacing w:after="0" w:line="18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 xml:space="preserve">and, except to the extent the applicable Guarantee is released in accordance with the caption "—Release of Security Interests," their respective successors and assigns (other than the Issuers);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Person shall cease to be a Guarantor following the release of its Guarantee as described above under that caption.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39" w:lineRule="exact"/>
        <w:rPr>
          <w:sz w:val="20"/>
          <w:szCs w:val="20"/>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Homeowners</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means the litigation captioned </w:t>
      </w:r>
      <w:r>
        <w:rPr>
          <w:rFonts w:ascii="Arial" w:cs="Arial" w:eastAsia="Arial" w:hAnsi="Arial"/>
          <w:sz w:val="18"/>
          <w:szCs w:val="18"/>
          <w:i w:val="1"/>
          <w:iCs w:val="1"/>
          <w:color w:val="auto"/>
        </w:rPr>
        <w:t>Stephanie Swain, Trustee v. Valvino Lamore, LLC, et al., Desert Inn Country Club Estates</w:t>
      </w:r>
      <w:r>
        <w:rPr>
          <w:rFonts w:ascii="Arial" w:cs="Arial" w:eastAsia="Arial" w:hAnsi="Arial"/>
          <w:sz w:val="18"/>
          <w:szCs w:val="18"/>
          <w:color w:val="auto"/>
        </w:rPr>
        <w:t xml:space="preserve"> </w:t>
      </w:r>
      <w:r>
        <w:rPr>
          <w:rFonts w:ascii="Arial" w:cs="Arial" w:eastAsia="Arial" w:hAnsi="Arial"/>
          <w:sz w:val="18"/>
          <w:szCs w:val="18"/>
          <w:i w:val="1"/>
          <w:iCs w:val="1"/>
          <w:color w:val="auto"/>
        </w:rPr>
        <w:t>Homeowners Association, et al., v. Harvey D. Kagasoff, et al., Valvino Lamore, LLC v. Harvey D. Kagasoff, et al. and Stephanie Swain v. Laurie Nady, et al.</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present or future action, claim, litigation, suit, case or other proceeding arising out of or relating to such cases or other proceeding involving Wynn Resorts, Valvino Lamore or any Subsidiary or Affiliate thereof in connection with the ownership and development of residential lots around the Golf Course Land by Wynn Resorts, Valvino Lamore or any Subsidiary or Affiliate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whether or not contingent, but without duplication:</w:t>
      </w:r>
    </w:p>
    <w:p>
      <w:pPr>
        <w:spacing w:after="0" w:line="262" w:lineRule="exact"/>
        <w:rPr>
          <w:sz w:val="20"/>
          <w:szCs w:val="20"/>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39" w:lineRule="exact"/>
        <w:rPr>
          <w:sz w:val="20"/>
          <w:szCs w:val="20"/>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225" w:lineRule="exact"/>
        <w:rPr>
          <w:rFonts w:ascii="Arial" w:cs="Arial" w:eastAsia="Arial" w:hAnsi="Arial"/>
          <w:sz w:val="18"/>
          <w:szCs w:val="18"/>
          <w:color w:val="auto"/>
        </w:rPr>
      </w:pPr>
    </w:p>
    <w:p>
      <w:pPr>
        <w:spacing w:after="0"/>
        <w:tabs>
          <w:tab w:leader="none" w:pos="0" w:val="left"/>
        </w:tabs>
        <w:numPr>
          <w:ilvl w:val="0"/>
          <w:numId w:val="214"/>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sectPr>
      </w:pPr>
    </w:p>
    <w:bookmarkStart w:id="114" w:name="page115"/>
    <w:bookmarkEnd w:id="114"/>
    <w:p>
      <w:pPr>
        <w:ind w:left="540" w:right="520"/>
        <w:spacing w:after="0" w:line="268" w:lineRule="auto"/>
        <w:rPr>
          <w:sz w:val="20"/>
          <w:szCs w:val="20"/>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in the case of any Person, a member of the Board of Directors of such Person who:</w:t>
      </w:r>
    </w:p>
    <w:p>
      <w:pPr>
        <w:spacing w:after="0" w:line="252" w:lineRule="exact"/>
        <w:rPr>
          <w:sz w:val="20"/>
          <w:szCs w:val="20"/>
          <w:color w:val="auto"/>
        </w:rPr>
      </w:pPr>
    </w:p>
    <w:p>
      <w:pPr>
        <w:ind w:left="540" w:right="40" w:hanging="532"/>
        <w:spacing w:after="0" w:line="306"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is not the Principal or a Related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member of the Board of Directors of any Person who is, or who has a Related Party who:</w:t>
      </w:r>
    </w:p>
    <w:p>
      <w:pPr>
        <w:spacing w:after="0" w:line="239" w:lineRule="exact"/>
        <w:rPr>
          <w:sz w:val="20"/>
          <w:szCs w:val="20"/>
          <w:color w:val="auto"/>
        </w:rPr>
      </w:pPr>
    </w:p>
    <w:p>
      <w:pPr>
        <w:ind w:left="540" w:right="240" w:hanging="532"/>
        <w:spacing w:after="0" w:line="268"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is a former employee of such Person will be eligible for consideration as an "Independent Director" until the fifth anniversary of the date on which that employment ended,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207"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Intellectual Property Security Agreement, dated as of the date of the indenture, among the Issuers, the Restricted Entities and the trustee, and</w:t>
      </w:r>
    </w:p>
    <w:p>
      <w:pPr>
        <w:spacing w:after="0" w:line="275"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other intellectual property security agreement entered into by any Restricted Subsidiary of Wynn Las Vegas, any Restricted Entity or Wynn Resorts from time to time in accordance with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w:t>
      </w:r>
    </w:p>
    <w:p>
      <w:pPr>
        <w:spacing w:after="0" w:line="239" w:lineRule="exact"/>
        <w:rPr>
          <w:sz w:val="20"/>
          <w:szCs w:val="20"/>
          <w:color w:val="auto"/>
        </w:rPr>
      </w:pPr>
    </w:p>
    <w:p>
      <w:pPr>
        <w:ind w:left="540" w:right="440" w:hanging="532"/>
        <w:spacing w:after="0" w:line="268"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Intercreditor Agreement, dated as of the date of the indenture, among the Issuers, the trustee, and a representative of the lenders under the Credit Agreement, and</w:t>
      </w:r>
    </w:p>
    <w:p>
      <w:pPr>
        <w:spacing w:after="0" w:line="199" w:lineRule="exact"/>
        <w:rPr>
          <w:rFonts w:ascii="Arial" w:cs="Arial" w:eastAsia="Arial" w:hAnsi="Arial"/>
          <w:sz w:val="18"/>
          <w:szCs w:val="18"/>
          <w:color w:val="auto"/>
        </w:rPr>
      </w:pPr>
    </w:p>
    <w:p>
      <w:pPr>
        <w:ind w:left="540" w:right="740" w:hanging="532"/>
        <w:spacing w:after="0" w:line="268"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Intercreditor Agreement, dated as of the date of the indenture, among the Issuers, the trustee, a representative of the lenders under the Credit Agreement and a representative of the lenders under the FF&amp;E Facility.</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means, with respect to any Person, all direct or indirect investments by such Person in other Persons (including Affiliates) in the forms of loans (including Guarantees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 respective Restricted Subsidiaries sells or otherwise disposes of any Equity Interests of any direct or indirect Restricted Subsidiary of such selling Person such that, after giving effect to any such sale or disposition, such Person is no longer a Subsidiary of Wynn Las Vegas, such Restricted Entity or any of the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"—Certain Covenants—Restricted Payments." The acquisition by Wynn Las Vegas, a Restricted Entity or any Restricted Subsidiary of a Person that holds an Investment in a third Person will be deemed to be an Investment by Wynn Las Vegas, that Restricted Subsidiary, as the case may be, in such third Person in an amount equal to the fair market value of the Investments held by the acquired Person in such third Person in an amount determined as provided in the final paragraph of the covenant described above under the caption "—Certain Covenants—Restricted Payments."</w:t>
      </w:r>
    </w:p>
    <w:p>
      <w:pPr>
        <w:spacing w:after="0" w:line="17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ectPr>
          <w:pgSz w:w="11900" w:h="16838" w:orient="portrait"/>
          <w:cols w:equalWidth="0" w:num="1">
            <w:col w:w="11400"/>
          </w:cols>
          <w:pgMar w:left="240" w:top="131" w:right="259" w:bottom="0" w:gutter="0" w:footer="0" w:header="0"/>
        </w:sectPr>
      </w:pPr>
    </w:p>
    <w:bookmarkStart w:id="115" w:name="page116"/>
    <w:bookmarkEnd w:id="115"/>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Operational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Water Show Entertainment Production Agreement,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Wynn Employment Agreement,</w:t>
      </w:r>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Project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execution and delivery thereof, the Golf Course Construction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Payment and Performance Bond,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Water Rights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Water Show Entertainment Production Agreement, and</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all other material agreements, instruments or documents entered into by Wynn Resorts, either Issuer, any Restricted Subsidiary of Wynn Las Vegas or any Restricted Entity that are necessary for the construction, ownership and operation of the Project,</w:t>
      </w:r>
    </w:p>
    <w:p>
      <w:pPr>
        <w:spacing w:after="0" w:line="18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Services Agreement dated as of the date of the indenture, among the Issuers, on the one hand, and Wynn Resorts and the Restricted Entities, as in effect on the date of the indenture or as amended, modified or supplemented from time to time in accordance with the covenant captioned "Amendments to Certain Agreements."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as in effect on the date hereof, to Wynn Resorts, any Restricted Entity or any Affiliate (other than Wynn Las Vegas or any of its Restricted Subsidiaries) of any of those Persons.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Facilities</w:t>
      </w:r>
      <w:r>
        <w:rPr>
          <w:rFonts w:ascii="Arial" w:cs="Arial" w:eastAsia="Arial" w:hAnsi="Arial"/>
          <w:sz w:val="18"/>
          <w:szCs w:val="18"/>
          <w:color w:val="auto"/>
        </w:rPr>
        <w:t>" means, with respect to the Project:</w:t>
      </w:r>
    </w:p>
    <w:p>
      <w:pPr>
        <w:spacing w:after="0" w:line="239" w:lineRule="exact"/>
        <w:rPr>
          <w:sz w:val="20"/>
          <w:szCs w:val="20"/>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114 table games,</w:t>
      </w:r>
    </w:p>
    <w:p>
      <w:pPr>
        <w:spacing w:after="0" w:line="252" w:lineRule="exact"/>
        <w:rPr>
          <w:rFonts w:ascii="Arial" w:cs="Arial" w:eastAsia="Arial" w:hAnsi="Arial"/>
          <w:sz w:val="18"/>
          <w:szCs w:val="18"/>
          <w:color w:val="auto"/>
        </w:rPr>
      </w:pPr>
    </w:p>
    <w:p>
      <w:pPr>
        <w:ind w:left="540" w:hanging="532"/>
        <w:spacing w:after="0" w:line="335" w:lineRule="auto"/>
        <w:tabs>
          <w:tab w:leader="none" w:pos="5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 resort which has approximately 74,000 square feet of retail space, approximately 190,000 square feet of convention, meeting and reception facilities, a spa and salon complex occupying approximately 36,000 square feet, at least 17 dining outlets, seating for approximately 2,000 persons at a show-room for an entertainment production, and approximately 3,700 parking spaces for employees and guests, including approximately 1,700 parking spaces for guests,</w:t>
      </w:r>
    </w:p>
    <w:p>
      <w:pPr>
        <w:sectPr>
          <w:pgSz w:w="11900" w:h="16838" w:orient="portrait"/>
          <w:cols w:equalWidth="0" w:num="1">
            <w:col w:w="11420"/>
          </w:cols>
          <w:pgMar w:left="240" w:top="131" w:right="239" w:bottom="0" w:gutter="0" w:footer="0" w:header="0"/>
        </w:sectPr>
      </w:pPr>
    </w:p>
    <w:bookmarkStart w:id="116" w:name="page117"/>
    <w:bookmarkEnd w:id="116"/>
    <w:p>
      <w:pPr>
        <w:spacing w:after="0" w:line="83" w:lineRule="exact"/>
        <w:rPr>
          <w:sz w:val="20"/>
          <w:szCs w:val="20"/>
          <w:color w:val="auto"/>
        </w:rPr>
      </w:pPr>
    </w:p>
    <w:p>
      <w:pPr>
        <w:ind w:left="540" w:hanging="532"/>
        <w:spacing w:after="0"/>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hotel with at least 2,500 guest rooms and suites,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means Moody's Investors Service, Inc., or any successor to its statistical rating business; </w:t>
      </w:r>
      <w:r>
        <w:rPr>
          <w:rFonts w:ascii="Arial" w:cs="Arial" w:eastAsia="Arial" w:hAnsi="Arial"/>
          <w:sz w:val="18"/>
          <w:szCs w:val="18"/>
          <w:i w:val="1"/>
          <w:iCs w:val="1"/>
          <w:color w:val="auto"/>
        </w:rPr>
        <w:t>provided</w:t>
      </w:r>
      <w:r>
        <w:rPr>
          <w:rFonts w:ascii="Arial" w:cs="Arial" w:eastAsia="Arial" w:hAnsi="Arial"/>
          <w:sz w:val="18"/>
          <w:szCs w:val="18"/>
          <w:color w:val="auto"/>
        </w:rPr>
        <w:t>that any reference to a particular rating by Moody's shall be deemed to be a reference to the corresponding rating by any such successor.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equity dividends, excluding, however:</w:t>
      </w:r>
    </w:p>
    <w:p>
      <w:pPr>
        <w:spacing w:after="0" w:line="199" w:lineRule="exact"/>
        <w:rPr>
          <w:sz w:val="20"/>
          <w:szCs w:val="20"/>
          <w:color w:val="auto"/>
        </w:rPr>
      </w:pPr>
    </w:p>
    <w:p>
      <w:pPr>
        <w:ind w:left="540" w:hanging="532"/>
        <w:spacing w:after="0" w:line="259"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225"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Loss Proceeds</w:t>
      </w:r>
      <w:r>
        <w:rPr>
          <w:rFonts w:ascii="Arial" w:cs="Arial" w:eastAsia="Arial" w:hAnsi="Arial"/>
          <w:sz w:val="15"/>
          <w:szCs w:val="15"/>
          <w:color w:val="auto"/>
        </w:rPr>
        <w:t>" means the aggregate cash proceeds received by either Issuer, any Restricted Subsidiary of Wynn Las Vegas or any Restricted Entity in respect of any Event of Loss, including, without limitation, insurance proceeds from condemnation awards or damages awarded by any judgment, net of:</w:t>
      </w:r>
    </w:p>
    <w:p>
      <w:pPr>
        <w:spacing w:after="0" w:line="143" w:lineRule="exact"/>
        <w:rPr>
          <w:sz w:val="20"/>
          <w:szCs w:val="20"/>
          <w:color w:val="auto"/>
        </w:rPr>
      </w:pPr>
    </w:p>
    <w:p>
      <w:pPr>
        <w:ind w:left="540" w:right="32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amounts required to be applied to the repayment of Indebtedness secured by a Permitted Lien on the asset or assets that were the subject of such Event of Loss,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taxes or Tax Distributions paid or payable as a result of the receipt of such cash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New Equity Proceeds</w:t>
      </w:r>
      <w:r>
        <w:rPr>
          <w:rFonts w:ascii="Arial" w:cs="Arial" w:eastAsia="Arial" w:hAnsi="Arial"/>
          <w:sz w:val="15"/>
          <w:szCs w:val="15"/>
          <w:color w:val="auto"/>
        </w:rPr>
        <w:t>" means the aggregate net cash proceeds received by Wynn Las Vegas as a contribution to its common equity capital excluding:</w:t>
      </w:r>
    </w:p>
    <w:p>
      <w:pPr>
        <w:spacing w:after="0" w:line="287" w:lineRule="exact"/>
        <w:rPr>
          <w:sz w:val="20"/>
          <w:szCs w:val="20"/>
          <w:color w:val="auto"/>
        </w:rPr>
      </w:pPr>
    </w:p>
    <w:p>
      <w:pPr>
        <w:ind w:left="540" w:right="38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capital contribution made on the Closing Date to Wynn Las Vegas in respect of the Completion Guarantee Capital Contribution or the Liquidity Reserve Capital Contribution;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Steve Wynn Capital Contribution;</w:t>
      </w:r>
    </w:p>
    <w:p>
      <w:pPr>
        <w:spacing w:after="0" w:line="238"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capital contribution from a Qualified Equity Offering to the extent those proceeds are used to redeem the notes in compliance with the provisions described under the caption "—Optional Redemption."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either Issuer, any Restricted Subsidiary of Wynn Las Vegas or any Restricted Entity in respect of any Asset Sale (including, without limitation, any cash received upon the sale or other disposition of any non-cash consideration received in any Asset Sale), net of:</w:t>
      </w:r>
    </w:p>
    <w:p>
      <w:pPr>
        <w:spacing w:after="0" w:line="221" w:lineRule="exact"/>
        <w:rPr>
          <w:sz w:val="20"/>
          <w:szCs w:val="20"/>
          <w:color w:val="auto"/>
        </w:rPr>
      </w:pPr>
    </w:p>
    <w:p>
      <w:pPr>
        <w:ind w:left="540" w:right="40" w:hanging="532"/>
        <w:spacing w:after="0" w:line="306"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 taking into account any available tax credits or deductions and any tax sharing arrangements,</w:t>
      </w:r>
    </w:p>
    <w:p>
      <w:pPr>
        <w:spacing w:after="0" w:line="174" w:lineRule="exact"/>
        <w:rPr>
          <w:rFonts w:ascii="Arial" w:cs="Arial" w:eastAsia="Arial" w:hAnsi="Arial"/>
          <w:sz w:val="16"/>
          <w:szCs w:val="16"/>
          <w:color w:val="auto"/>
        </w:rPr>
      </w:pPr>
    </w:p>
    <w:p>
      <w:pPr>
        <w:ind w:left="540" w:right="40" w:hanging="532"/>
        <w:spacing w:after="0" w:line="298"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252" w:lineRule="exact"/>
        <w:rPr>
          <w:sz w:val="20"/>
          <w:szCs w:val="20"/>
          <w:color w:val="auto"/>
        </w:rPr>
      </w:pPr>
    </w:p>
    <w:p>
      <w:pPr>
        <w:ind w:left="540" w:right="80" w:hanging="532"/>
        <w:spacing w:after="0" w:line="268"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assets that, individually or in the aggregate, are not necessary to the development, construction and operation of the Project in accordance with the Plans and Specifications, and</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60" w:right="60" w:hanging="352"/>
        <w:spacing w:after="0" w:line="501" w:lineRule="auto"/>
        <w:tabs>
          <w:tab w:leader="none" w:pos="54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assets, the absence of which, individually or in the aggregate, would not result in the Completion Date occurring after the Outside Completion Deadline. "</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7" w:lineRule="exact"/>
        <w:rPr>
          <w:sz w:val="20"/>
          <w:szCs w:val="20"/>
          <w:color w:val="auto"/>
        </w:rPr>
      </w:pPr>
    </w:p>
    <w:p>
      <w:pPr>
        <w:ind w:left="540" w:hanging="532"/>
        <w:spacing w:after="0" w:line="259"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to which neither Issuer, no Restricted Subsidiary of Wynn Las Vegas and no Restricted Entity (a) provides credit support of any kind (including any undertaking, agreement or instrument that would constitute Indebtedness), (b) is directly or indirectly liable as a guarantor or otherwise, or (c) constitutes the lender;</w:t>
      </w:r>
    </w:p>
    <w:p>
      <w:pPr>
        <w:spacing w:after="0" w:line="207" w:lineRule="exact"/>
        <w:rPr>
          <w:rFonts w:ascii="Arial" w:cs="Arial" w:eastAsia="Arial" w:hAnsi="Arial"/>
          <w:sz w:val="18"/>
          <w:szCs w:val="18"/>
          <w:color w:val="auto"/>
        </w:rPr>
      </w:pPr>
    </w:p>
    <w:p>
      <w:pPr>
        <w:jc w:val="both"/>
        <w:ind w:left="540" w:right="200" w:hanging="532"/>
        <w:spacing w:after="0" w:line="370" w:lineRule="auto"/>
        <w:tabs>
          <w:tab w:leader="none" w:pos="54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no default with respect to which (including any rights that the holders thereof may have to take enforcement action against an Unrestricted Subsidiary) would permit upon notice, lapse of time or both any holder of any other Indebtedness of either Issuer, any Restricted Subsidiary of Wynn Las Vegas or</w:t>
      </w:r>
    </w:p>
    <w:p>
      <w:pPr>
        <w:sectPr>
          <w:pgSz w:w="11900" w:h="16921" w:orient="portrait"/>
          <w:cols w:equalWidth="0" w:num="1">
            <w:col w:w="11320"/>
          </w:cols>
          <w:pgMar w:left="240" w:top="145" w:right="339" w:bottom="0" w:gutter="0" w:footer="0" w:header="0"/>
        </w:sectPr>
      </w:pPr>
    </w:p>
    <w:bookmarkStart w:id="117" w:name="page118"/>
    <w:bookmarkEnd w:id="117"/>
    <w:p>
      <w:pPr>
        <w:spacing w:after="0" w:line="33"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any Restricted Entity to declare a default on such other Indebtedness or cause the payment thereof to be accelerated or payable prior to its stated maturity; and</w:t>
      </w:r>
    </w:p>
    <w:p>
      <w:pPr>
        <w:spacing w:after="0" w:line="199" w:lineRule="exact"/>
        <w:rPr>
          <w:sz w:val="20"/>
          <w:szCs w:val="20"/>
          <w:color w:val="auto"/>
        </w:rPr>
      </w:pPr>
    </w:p>
    <w:p>
      <w:pPr>
        <w:ind w:left="540" w:right="140" w:hanging="532"/>
        <w:spacing w:after="0" w:line="268"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either Issuer, any Restricted Subsidiary of Wynn Las Vegas or any Restricted Entity.</w:t>
      </w:r>
    </w:p>
    <w:p>
      <w:pPr>
        <w:spacing w:after="0" w:line="18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w:t>
      </w:r>
      <w:r>
        <w:rPr>
          <w:rFonts w:ascii="Arial" w:cs="Arial" w:eastAsia="Arial" w:hAnsi="Arial"/>
          <w:sz w:val="18"/>
          <w:szCs w:val="18"/>
          <w:color w:val="auto"/>
        </w:rPr>
        <w:t>" means, with respect to the Project, that the Project shall be open to the general public and that each of the conditions to opening the Project set forth in the Disbursement Agreement has been satisfied.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Outside Completion Deadline</w:t>
      </w:r>
      <w:r>
        <w:rPr>
          <w:rFonts w:ascii="Arial" w:cs="Arial" w:eastAsia="Arial" w:hAnsi="Arial"/>
          <w:sz w:val="16"/>
          <w:szCs w:val="16"/>
          <w:color w:val="auto"/>
        </w:rPr>
        <w:t>" means August 31, 2005, as that date may be extended from time to time pursuant to the Disbursement Agreement.</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a Guarantee by Wynn Resorts, in the event that it is required to provide a Guarantee by the provisions of the covenant under the caption "—Restrictions on Incurrence of Indebtedness and Guarantees by Wynn Resorts."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Wynn Resorts, in the event that it is required to provide a Guarantee by the provisions of the covenant under the caption "— Restrictions on Incurrence of Indebtedness and Guarantees by Wynn Resorts."</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Security Agreement</w:t>
      </w:r>
      <w:r>
        <w:rPr>
          <w:rFonts w:ascii="Arial" w:cs="Arial" w:eastAsia="Arial" w:hAnsi="Arial"/>
          <w:sz w:val="16"/>
          <w:szCs w:val="16"/>
          <w:color w:val="auto"/>
        </w:rPr>
        <w:t>" means a security agreement entered into by Wynn Resorts, in the event that it is required to provide a security interest by the provisions of the covenant under the caption "—Restrictions on Incurrence of Indebtedness and Guarantees by Wynn Resorts."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federal or state income tax purposes or (2) an entity treated as a partnership or a disregarded entity for federal or state income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20" w:hanging="532"/>
        <w:spacing w:after="0" w:line="268"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99"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development or operation of lodging, retail and restaurant facilities, sports or entertainment facilities, food and beverage distribution operations, transportation services (including operation of the corporate aircraft), sales, leasing and repair of automobiles, parking services, or other activities related to the foregoing; and</w:t>
      </w:r>
    </w:p>
    <w:p>
      <w:pPr>
        <w:spacing w:after="0" w:line="221"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xml:space="preserve">" means a transaction resulting in Wynn Las Vegas, any of its Restricted Subsidiaries or any Restricted Entity becoming a subchapter "C" corporation under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such transaction:</w:t>
      </w:r>
    </w:p>
    <w:p>
      <w:pPr>
        <w:spacing w:after="0" w:line="199" w:lineRule="exact"/>
        <w:rPr>
          <w:sz w:val="20"/>
          <w:szCs w:val="20"/>
          <w:color w:val="auto"/>
        </w:rPr>
      </w:pPr>
    </w:p>
    <w:p>
      <w:pPr>
        <w:jc w:val="both"/>
        <w:ind w:left="540" w:right="140" w:hanging="532"/>
        <w:spacing w:after="0" w:line="306" w:lineRule="auto"/>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74" w:lineRule="exact"/>
        <w:rPr>
          <w:rFonts w:ascii="Arial" w:cs="Arial" w:eastAsia="Arial" w:hAnsi="Arial"/>
          <w:sz w:val="16"/>
          <w:szCs w:val="16"/>
          <w:color w:val="auto"/>
        </w:rPr>
      </w:pPr>
    </w:p>
    <w:p>
      <w:pPr>
        <w:ind w:left="540" w:right="60" w:hanging="532"/>
        <w:spacing w:after="0" w:line="256"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24"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complies with the covenant entitled "—Additional Collateral; Formation or Acquisition of Restricted Entities or Restricted Subsidiaries, Designation of Unrestricted Subsidiaries as Restricted Subsidiaries or Permitted C-Corp. Conversion";</w:t>
      </w:r>
    </w:p>
    <w:p>
      <w:pPr>
        <w:spacing w:after="0" w:line="152"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252"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99"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99"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any Guarantor nor any Restricted Entity nor any of the holders will recognize income, gain or loss for U.S. federal or state income</w:t>
      </w:r>
    </w:p>
    <w:p>
      <w:pPr>
        <w:sectPr>
          <w:pgSz w:w="11900" w:h="16871" w:orient="portrait"/>
          <w:cols w:equalWidth="0" w:num="1">
            <w:col w:w="11400"/>
          </w:cols>
          <w:pgMar w:left="240" w:top="131" w:right="259" w:bottom="0" w:gutter="0" w:footer="0" w:header="0"/>
        </w:sectPr>
      </w:pPr>
    </w:p>
    <w:bookmarkStart w:id="118" w:name="page119"/>
    <w:bookmarkEnd w:id="118"/>
    <w:p>
      <w:pPr>
        <w:ind w:left="532"/>
        <w:spacing w:after="0"/>
        <w:rPr>
          <w:sz w:val="20"/>
          <w:szCs w:val="20"/>
          <w:color w:val="auto"/>
        </w:rPr>
      </w:pPr>
      <w:r>
        <w:rPr>
          <w:rFonts w:ascii="Arial" w:cs="Arial" w:eastAsia="Arial" w:hAnsi="Arial"/>
          <w:sz w:val="18"/>
          <w:szCs w:val="18"/>
          <w:color w:val="auto"/>
        </w:rPr>
        <w:t>tax purposes as a result of such Permitted C-Corp. Conversion; and</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32" w:hanging="532"/>
        <w:spacing w:after="0"/>
        <w:tabs>
          <w:tab w:leader="none" w:pos="53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Issuers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532"/>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219"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52" w:lineRule="exact"/>
        <w:rPr>
          <w:sz w:val="20"/>
          <w:szCs w:val="20"/>
          <w:color w:val="auto"/>
        </w:rPr>
      </w:pPr>
    </w:p>
    <w:p>
      <w:pPr>
        <w:ind w:left="532" w:right="220" w:hanging="532"/>
        <w:spacing w:after="0" w:line="268" w:lineRule="auto"/>
        <w:tabs>
          <w:tab w:leader="none" w:pos="5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Investment in Wynn Las Vegas or in a Wholly Owned Restricted Subsidiary of Wynn Las Vegas that is engaged in a Permitted Business and that is evidenced by Capital Stock or intercompany notes that are pledged to the trustee as Primary Note Collateral;</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238" w:lineRule="exact"/>
        <w:rPr>
          <w:rFonts w:ascii="Arial" w:cs="Arial" w:eastAsia="Arial" w:hAnsi="Arial"/>
          <w:sz w:val="18"/>
          <w:szCs w:val="18"/>
          <w:color w:val="auto"/>
        </w:rPr>
      </w:pPr>
    </w:p>
    <w:p>
      <w:pPr>
        <w:ind w:left="532" w:right="480" w:hanging="532"/>
        <w:spacing w:after="0" w:line="370" w:lineRule="auto"/>
        <w:tabs>
          <w:tab w:leader="none" w:pos="53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pacing w:after="0" w:line="359" w:lineRule="exact"/>
        <w:rPr>
          <w:rFonts w:ascii="Arial" w:cs="Arial" w:eastAsia="Arial" w:hAnsi="Arial"/>
          <w:sz w:val="15"/>
          <w:szCs w:val="15"/>
          <w:color w:val="auto"/>
        </w:rPr>
      </w:pPr>
    </w:p>
    <w:p>
      <w:pPr>
        <w:ind w:left="1072" w:hanging="532"/>
        <w:spacing w:after="0"/>
        <w:tabs>
          <w:tab w:leader="none" w:pos="10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238" w:lineRule="exact"/>
        <w:rPr>
          <w:rFonts w:ascii="Arial" w:cs="Arial" w:eastAsia="Arial" w:hAnsi="Arial"/>
          <w:sz w:val="18"/>
          <w:szCs w:val="18"/>
          <w:color w:val="auto"/>
        </w:rPr>
      </w:pPr>
    </w:p>
    <w:p>
      <w:pPr>
        <w:ind w:left="1072" w:right="280" w:hanging="532"/>
        <w:spacing w:after="0" w:line="268" w:lineRule="auto"/>
        <w:tabs>
          <w:tab w:leader="none" w:pos="10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jc w:val="both"/>
        <w:ind w:left="532" w:right="40" w:hanging="532"/>
        <w:spacing w:after="0" w:line="259" w:lineRule="auto"/>
        <w:tabs>
          <w:tab w:leader="none" w:pos="5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an Event of Loss of the type contemplated by clause (3) of the definition of "Event of Loss" that was made pursuant to and in compliance with the covenant described above under the caption "—Repurchase at the Option of Holders—Asset Sales" or "—Events of Loss";</w:t>
      </w:r>
    </w:p>
    <w:p>
      <w:pPr>
        <w:spacing w:after="0" w:line="221" w:lineRule="exact"/>
        <w:rPr>
          <w:rFonts w:ascii="Arial" w:cs="Arial" w:eastAsia="Arial" w:hAnsi="Arial"/>
          <w:sz w:val="18"/>
          <w:szCs w:val="18"/>
          <w:color w:val="auto"/>
        </w:rPr>
      </w:pPr>
    </w:p>
    <w:p>
      <w:pPr>
        <w:ind w:left="532" w:hanging="532"/>
        <w:spacing w:after="0"/>
        <w:tabs>
          <w:tab w:leader="none" w:pos="5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acquisition of assets solely in exchange for the issuance of Equity Interests (other than Disqualified Stock) of Wynn Las Vegas;</w:t>
      </w:r>
    </w:p>
    <w:p>
      <w:pPr>
        <w:spacing w:after="0" w:line="238" w:lineRule="exact"/>
        <w:rPr>
          <w:rFonts w:ascii="Arial" w:cs="Arial" w:eastAsia="Arial" w:hAnsi="Arial"/>
          <w:sz w:val="18"/>
          <w:szCs w:val="18"/>
          <w:color w:val="auto"/>
        </w:rPr>
      </w:pPr>
    </w:p>
    <w:p>
      <w:pPr>
        <w:ind w:left="532" w:right="20" w:hanging="532"/>
        <w:spacing w:after="0" w:line="370" w:lineRule="auto"/>
        <w:tabs>
          <w:tab w:leader="none" w:pos="53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any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 and</w:t>
      </w:r>
    </w:p>
    <w:p>
      <w:pPr>
        <w:spacing w:after="0" w:line="129" w:lineRule="exact"/>
        <w:rPr>
          <w:rFonts w:ascii="Arial" w:cs="Arial" w:eastAsia="Arial" w:hAnsi="Arial"/>
          <w:sz w:val="15"/>
          <w:szCs w:val="15"/>
          <w:color w:val="auto"/>
        </w:rPr>
      </w:pPr>
    </w:p>
    <w:p>
      <w:pPr>
        <w:ind w:left="532" w:hanging="532"/>
        <w:spacing w:after="0"/>
        <w:tabs>
          <w:tab w:leader="none" w:pos="5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2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52" w:lineRule="exact"/>
        <w:rPr>
          <w:sz w:val="20"/>
          <w:szCs w:val="20"/>
          <w:color w:val="auto"/>
        </w:rPr>
      </w:pPr>
    </w:p>
    <w:p>
      <w:pPr>
        <w:ind w:left="532" w:right="140" w:hanging="532"/>
        <w:spacing w:after="0" w:line="306" w:lineRule="auto"/>
        <w:tabs>
          <w:tab w:leader="none" w:pos="53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any of its Restricted Subsidiaries or any Restricted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were in existence prior to the contemplation of such merger or consolidation and do not extend to any assets other than those of the Person merged into or consolidated with any Restricted Entity;</w:t>
      </w:r>
    </w:p>
    <w:p>
      <w:pPr>
        <w:spacing w:after="0" w:line="174" w:lineRule="exact"/>
        <w:rPr>
          <w:rFonts w:ascii="Arial" w:cs="Arial" w:eastAsia="Arial" w:hAnsi="Arial"/>
          <w:sz w:val="16"/>
          <w:szCs w:val="16"/>
          <w:color w:val="auto"/>
        </w:rPr>
      </w:pPr>
    </w:p>
    <w:p>
      <w:pPr>
        <w:ind w:left="532" w:right="320" w:hanging="532"/>
        <w:spacing w:after="0" w:line="332" w:lineRule="auto"/>
        <w:tabs>
          <w:tab w:leader="none" w:pos="53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Liens in favor of Wynn Las Vegas, any of its Restricted Subsidiaries or any Restricted Entity (other than Liens granted by Wynn Las Vegas, any of its Restricted Subsidiaries or any Restricted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Liens are on any or all of the Collateral, such Liens are either:</w:t>
      </w:r>
    </w:p>
    <w:p>
      <w:pPr>
        <w:spacing w:after="0" w:line="368" w:lineRule="exact"/>
        <w:rPr>
          <w:rFonts w:ascii="Arial" w:cs="Arial" w:eastAsia="Arial" w:hAnsi="Arial"/>
          <w:sz w:val="16"/>
          <w:szCs w:val="16"/>
          <w:color w:val="auto"/>
        </w:rPr>
      </w:pPr>
    </w:p>
    <w:p>
      <w:pPr>
        <w:ind w:left="1072" w:hanging="532"/>
        <w:spacing w:after="0"/>
        <w:tabs>
          <w:tab w:leader="none" w:pos="107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collaterally assigned to the trustee, or</w:t>
      </w:r>
    </w:p>
    <w:p>
      <w:pPr>
        <w:spacing w:after="0" w:line="252" w:lineRule="exact"/>
        <w:rPr>
          <w:rFonts w:ascii="Arial" w:cs="Arial" w:eastAsia="Arial" w:hAnsi="Arial"/>
          <w:sz w:val="18"/>
          <w:szCs w:val="18"/>
          <w:color w:val="auto"/>
        </w:rPr>
      </w:pPr>
    </w:p>
    <w:p>
      <w:pPr>
        <w:ind w:left="1072" w:hanging="532"/>
        <w:spacing w:after="0" w:line="332" w:lineRule="auto"/>
        <w:tabs>
          <w:tab w:leader="none" w:pos="1072" w:val="left"/>
        </w:tabs>
        <w:numPr>
          <w:ilvl w:val="1"/>
          <w:numId w:val="238"/>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w:t>
      </w:r>
    </w:p>
    <w:p>
      <w:pPr>
        <w:spacing w:after="0" w:line="13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spacing w:after="0"/>
        <w:rPr>
          <w:sz w:val="20"/>
          <w:szCs w:val="20"/>
          <w:color w:val="auto"/>
        </w:rPr>
      </w:pPr>
      <w:r>
        <w:rPr>
          <w:rFonts w:ascii="Arial" w:cs="Arial" w:eastAsia="Arial" w:hAnsi="Arial"/>
          <w:sz w:val="18"/>
          <w:szCs w:val="18"/>
          <w:color w:val="auto"/>
        </w:rPr>
        <w:t>representative of the lenders under the Credit Agreement pursuant to the applicable Intercreditor Agreement;</w:t>
      </w:r>
    </w:p>
    <w:p>
      <w:pPr>
        <w:spacing w:after="0" w:line="239" w:lineRule="exact"/>
        <w:rPr>
          <w:sz w:val="20"/>
          <w:szCs w:val="20"/>
          <w:color w:val="auto"/>
        </w:rPr>
      </w:pPr>
    </w:p>
    <w:p>
      <w:pPr>
        <w:ind w:left="532" w:right="80" w:hanging="532"/>
        <w:spacing w:after="0" w:line="259" w:lineRule="auto"/>
        <w:tabs>
          <w:tab w:leader="none" w:pos="5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any of its Restricted Subsidiaries or any Restricted Entity (other than materials, supplies or FF&amp;E acquired in connection with developing, constructing, expanding or equipping of the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the contemplation of such acquisition;</w:t>
      </w:r>
    </w:p>
    <w:p>
      <w:pPr>
        <w:spacing w:after="0" w:line="221" w:lineRule="exact"/>
        <w:rPr>
          <w:rFonts w:ascii="Arial" w:cs="Arial" w:eastAsia="Arial" w:hAnsi="Arial"/>
          <w:sz w:val="18"/>
          <w:szCs w:val="18"/>
          <w:color w:val="auto"/>
        </w:rPr>
      </w:pPr>
    </w:p>
    <w:p>
      <w:pPr>
        <w:ind w:left="532" w:right="640" w:hanging="532"/>
        <w:spacing w:after="0" w:line="268" w:lineRule="auto"/>
        <w:tabs>
          <w:tab w:leader="none" w:pos="5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199" w:lineRule="exact"/>
        <w:rPr>
          <w:rFonts w:ascii="Arial" w:cs="Arial" w:eastAsia="Arial" w:hAnsi="Arial"/>
          <w:sz w:val="18"/>
          <w:szCs w:val="18"/>
          <w:color w:val="auto"/>
        </w:rPr>
      </w:pPr>
    </w:p>
    <w:p>
      <w:pPr>
        <w:ind w:left="532" w:right="60" w:hanging="532"/>
        <w:spacing w:after="0" w:line="256" w:lineRule="auto"/>
        <w:tabs>
          <w:tab w:leader="none" w:pos="5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reserve or other appropriate provision as shall be required by GAAP shall have been made therefor;</w:t>
      </w:r>
    </w:p>
    <w:p>
      <w:pPr>
        <w:spacing w:after="0" w:line="210" w:lineRule="exact"/>
        <w:rPr>
          <w:rFonts w:ascii="Arial" w:cs="Arial" w:eastAsia="Arial" w:hAnsi="Arial"/>
          <w:sz w:val="18"/>
          <w:szCs w:val="18"/>
          <w:color w:val="auto"/>
        </w:rPr>
      </w:pPr>
    </w:p>
    <w:p>
      <w:pPr>
        <w:ind w:left="532" w:hanging="532"/>
        <w:spacing w:after="0"/>
        <w:tabs>
          <w:tab w:leader="none" w:pos="5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Prior to Final Completion, any Liens permitted under the Disbursement Agreement;</w:t>
      </w:r>
    </w:p>
    <w:p>
      <w:pPr>
        <w:spacing w:after="0" w:line="252" w:lineRule="exact"/>
        <w:rPr>
          <w:rFonts w:ascii="Arial" w:cs="Arial" w:eastAsia="Arial" w:hAnsi="Arial"/>
          <w:sz w:val="18"/>
          <w:szCs w:val="18"/>
          <w:color w:val="auto"/>
        </w:rPr>
      </w:pPr>
    </w:p>
    <w:p>
      <w:pPr>
        <w:ind w:left="532" w:right="40" w:hanging="532"/>
        <w:spacing w:after="0" w:line="332" w:lineRule="auto"/>
        <w:tabs>
          <w:tab w:leader="none" w:pos="53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reserve or other appropriate provision as shall be required in conformity with</w:t>
      </w:r>
    </w:p>
    <w:p>
      <w:pPr>
        <w:sectPr>
          <w:pgSz w:w="11900" w:h="16838" w:orient="portrait"/>
          <w:cols w:equalWidth="0" w:num="1">
            <w:col w:w="11372"/>
          </w:cols>
          <w:pgMar w:left="248" w:top="131" w:right="279" w:bottom="0" w:gutter="0" w:footer="0" w:header="0"/>
        </w:sectPr>
      </w:pPr>
    </w:p>
    <w:bookmarkStart w:id="119" w:name="page120"/>
    <w:bookmarkEnd w:id="119"/>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GAAP shall have been made therefor;</w:t>
      </w:r>
    </w:p>
    <w:p>
      <w:pPr>
        <w:spacing w:after="0" w:line="239" w:lineRule="exact"/>
        <w:rPr>
          <w:sz w:val="20"/>
          <w:szCs w:val="20"/>
          <w:color w:val="auto"/>
        </w:rPr>
      </w:pPr>
    </w:p>
    <w:p>
      <w:pPr>
        <w:ind w:left="54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w:t>
      </w:r>
    </w:p>
    <w:p>
      <w:pPr>
        <w:spacing w:after="0" w:line="212"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Indebtedness and other Obligations under the Credit Agreement that were permitted by the terms of the indenture to be incurred;</w:t>
      </w:r>
    </w:p>
    <w:p>
      <w:pPr>
        <w:spacing w:after="0" w:line="199"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Liens on FF&amp;E or other property or assets to secure Indebtedness permitted by clause (7) of the second paragraph of the covenant described under the caption "—Certain Covenants—Incurrence of Indebtedness and Issuance of Preferred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10" w:lineRule="exact"/>
        <w:rPr>
          <w:rFonts w:ascii="Arial" w:cs="Arial" w:eastAsia="Arial" w:hAnsi="Arial"/>
          <w:sz w:val="18"/>
          <w:szCs w:val="18"/>
          <w:color w:val="auto"/>
        </w:rPr>
      </w:pPr>
    </w:p>
    <w:p>
      <w:pPr>
        <w:ind w:left="540" w:right="540" w:hanging="532"/>
        <w:spacing w:after="0" w:line="268"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Liens, pledges or deposits in the ordinary course of business to secure lease obligations or nondelinquent obligations under workers' compensation, unemployment insurance or similar legislation;</w:t>
      </w:r>
    </w:p>
    <w:p>
      <w:pPr>
        <w:spacing w:after="0" w:line="21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easements, rights-of-way, restrictions, zoning, minor defects or irregularities in title and other similar charges or encumbrances not interfering in any material respect with the business or assets of Wynn Las Vegas, any of its Restricted Subsidiaries or any Restricted Entity incurred in the ordinary course of business;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Liens on Equity Interests in, and assets of, Unrestricted Subsidiaries of Wynn Las Vegas that secure Non-Recourse Debt of Unrestricted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74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Liens on assets or property of Wynn Las Vegas, any of its Restricted Subsidiaries or any Restricted Entity arising by reason of any judgment not constituting an Event of Default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such Liens are adequately bonded or adequate reserves have been established on the books of the applicable Restricted Entity in accordance with GAAP;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to the extent constituting Liens, ground leases in respect of the real property owned or leased by Wynn Las Vegas, any of its Restricted Subsidiaries or any Restricted Entity;</w:t>
      </w:r>
    </w:p>
    <w:p>
      <w:pPr>
        <w:spacing w:after="0" w:line="21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Uniform Commercial Code financing statements filed for precautionary purposes in connection with any true lease of property leased by Wynn Las Vegas, any of its Restricted Subsidiaries or any Restricted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financing statement does not cover any property other than the property subject to such lease and the proceeds thereof;</w:t>
      </w:r>
    </w:p>
    <w:p>
      <w:pPr>
        <w:spacing w:after="0" w:line="207" w:lineRule="exact"/>
        <w:rPr>
          <w:rFonts w:ascii="Arial" w:cs="Arial" w:eastAsia="Arial" w:hAnsi="Arial"/>
          <w:sz w:val="18"/>
          <w:szCs w:val="18"/>
          <w:color w:val="auto"/>
        </w:rPr>
      </w:pPr>
    </w:p>
    <w:p>
      <w:pPr>
        <w:ind w:left="540" w:right="58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Liens securing Permitted Refinancing Indebtedness incurred in accordance with the covenant described under the caption "—Certain Covenants— Incurrence of Indebtedness and Issuance of Preferred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Indebtedness being refinanced by such Permitted Refinancing Indebtedness was secured, and</w:t>
      </w:r>
    </w:p>
    <w:p>
      <w:pPr>
        <w:spacing w:after="0" w:line="25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Liens created or expressly contemplated by the Project Lease and Easement Agreements, in each case as in effect on the date of the indenture;</w:t>
      </w:r>
    </w:p>
    <w:p>
      <w:pPr>
        <w:spacing w:after="0" w:line="261"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199" w:lineRule="exact"/>
        <w:rPr>
          <w:rFonts w:ascii="Arial" w:cs="Arial" w:eastAsia="Arial" w:hAnsi="Arial"/>
          <w:sz w:val="18"/>
          <w:szCs w:val="18"/>
          <w:color w:val="auto"/>
        </w:rPr>
      </w:pPr>
    </w:p>
    <w:p>
      <w:pPr>
        <w:ind w:left="540" w:right="260" w:hanging="532"/>
        <w:spacing w:after="0" w:line="305" w:lineRule="auto"/>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 xml:space="preserve">Liens not specified in clauses (1) through (20) above and not otherwise permitted by the covenant described under the caption "—Certain Covenants— Liens";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outstanding principal amount of the obligations secured by all such Liens in the aggregate does not exceed</w:t>
      </w:r>
    </w:p>
    <w:p>
      <w:pPr>
        <w:ind w:left="540"/>
        <w:spacing w:after="0"/>
        <w:rPr>
          <w:rFonts w:ascii="Arial" w:cs="Arial" w:eastAsia="Arial" w:hAnsi="Arial"/>
          <w:sz w:val="15"/>
          <w:szCs w:val="15"/>
          <w:color w:val="auto"/>
        </w:rPr>
      </w:pPr>
      <w:r>
        <w:rPr>
          <w:rFonts w:ascii="Arial" w:cs="Arial" w:eastAsia="Arial" w:hAnsi="Arial"/>
          <w:sz w:val="18"/>
          <w:szCs w:val="18"/>
          <w:color w:val="auto"/>
        </w:rPr>
        <w:t>$1.0 million at any one time (collectively for all assets and property subject to such Liens); and</w:t>
      </w:r>
    </w:p>
    <w:p>
      <w:pPr>
        <w:spacing w:after="0" w:line="245" w:lineRule="exact"/>
        <w:rPr>
          <w:rFonts w:ascii="Arial" w:cs="Arial" w:eastAsia="Arial" w:hAnsi="Arial"/>
          <w:sz w:val="15"/>
          <w:szCs w:val="15"/>
          <w:color w:val="auto"/>
        </w:rPr>
      </w:pPr>
    </w:p>
    <w:p>
      <w:pPr>
        <w:ind w:left="540" w:right="460" w:hanging="532"/>
        <w:spacing w:after="0" w:line="370" w:lineRule="auto"/>
        <w:tabs>
          <w:tab w:leader="none" w:pos="5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licenses of patents, trademarks and other intellectual property rights granted by Wynn Las Vegas, any of its Restricted Subsidiaries or any Restricted Entity in the ordinary course of business and not interfering in any material respect with the ordinary conduct of the business of such Person,</w:t>
      </w:r>
    </w:p>
    <w:p>
      <w:pPr>
        <w:spacing w:after="0" w:line="200" w:lineRule="exact"/>
        <w:rPr>
          <w:sz w:val="20"/>
          <w:szCs w:val="20"/>
          <w:color w:val="auto"/>
        </w:rPr>
      </w:pPr>
    </w:p>
    <w:p>
      <w:pPr>
        <w:spacing w:after="0" w:line="376"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with respect to any Collateral, notwithstanding the definition of "Permitted Liens," a Lien shall not be a Permitted Lien on such Collateral except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extent that any applicable Collateral Document expressly permits the applicable Person to create, incur, assume or suffer to exist such Lien on such Collateral.</w:t>
      </w:r>
    </w:p>
    <w:p>
      <w:pPr>
        <w:sectPr>
          <w:pgSz w:w="11900" w:h="16881" w:orient="portrait"/>
          <w:cols w:equalWidth="0" w:num="1">
            <w:col w:w="11420"/>
          </w:cols>
          <w:pgMar w:left="240" w:top="131" w:right="239" w:bottom="0" w:gutter="0" w:footer="0" w:header="0"/>
        </w:sectPr>
      </w:pPr>
    </w:p>
    <w:bookmarkStart w:id="120" w:name="page121"/>
    <w:bookmarkEnd w:id="120"/>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Wynn Las Vegas, any of its Restricted Subsidiaries or any Restricted Entity issued in exchange for, or the net proceeds of which are used to extend, refinance, renew, replace, amend and restate, restate, defease or refund other Indebtedness of any Restricted Entity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8" w:lineRule="exact"/>
        <w:rPr>
          <w:sz w:val="20"/>
          <w:szCs w:val="20"/>
          <w:color w:val="auto"/>
        </w:rPr>
      </w:pPr>
    </w:p>
    <w:p>
      <w:pPr>
        <w:ind w:left="540" w:right="140" w:hanging="532"/>
        <w:spacing w:after="0" w:line="255"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Indebtedness is secured by a Lien described in clause (9) of the definition of "Permitted Liens," the principal amount, or accreted value will not exceed the then current fair market value of the asset so encumbered;</w:t>
      </w:r>
    </w:p>
    <w:p>
      <w:pPr>
        <w:spacing w:after="0" w:line="223" w:lineRule="exact"/>
        <w:rPr>
          <w:rFonts w:ascii="Arial" w:cs="Arial" w:eastAsia="Arial" w:hAnsi="Arial"/>
          <w:sz w:val="18"/>
          <w:szCs w:val="18"/>
          <w:color w:val="auto"/>
        </w:rPr>
      </w:pPr>
    </w:p>
    <w:p>
      <w:pPr>
        <w:ind w:left="540" w:right="60" w:hanging="532"/>
        <w:spacing w:after="0" w:line="370" w:lineRule="auto"/>
        <w:tabs>
          <w:tab w:leader="none" w:pos="54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9" w:lineRule="exact"/>
        <w:rPr>
          <w:rFonts w:ascii="Arial" w:cs="Arial" w:eastAsia="Arial" w:hAnsi="Arial"/>
          <w:sz w:val="15"/>
          <w:szCs w:val="15"/>
          <w:color w:val="auto"/>
        </w:rPr>
      </w:pPr>
    </w:p>
    <w:p>
      <w:pPr>
        <w:ind w:left="540" w:right="40" w:hanging="532"/>
        <w:spacing w:after="0" w:line="256" w:lineRule="auto"/>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 refunded.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xml:space="preserve"> has the meaning given that term in the Disbursement Agreement.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means the approximately 20 acre portion of the Project Site designated as the Phase II Land in the Collateral Documents, together with all improvements thereon and all rights appurtenant thereto.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Liability</w:t>
      </w:r>
      <w:r>
        <w:rPr>
          <w:rFonts w:ascii="Arial" w:cs="Arial" w:eastAsia="Arial" w:hAnsi="Arial"/>
          <w:sz w:val="16"/>
          <w:szCs w:val="16"/>
          <w:color w:val="auto"/>
        </w:rPr>
        <w:t>" means, for any Person that is not a Pass Through Entity or a Consolidated Member for any period, an amount equal to the product of (a) the Taxable Income allocated or attributable to such Person (directly or through one or more tiers of Pass Through Entities) (net of taxable losses allocated to such Person with respect to Wynn Las Vegas, any of its Restricted Subsidiaries or any Restricted Entity that (i) are or were previously deductible by such Person and (ii) have not previously reduced Taxable Income), and (b) the Presumed Tax Rate.</w:t>
      </w:r>
    </w:p>
    <w:p>
      <w:pPr>
        <w:spacing w:after="0" w:line="167"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any of Wynn Las Vegas, its Restricted Subsidiaries or any Restricted Entity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67"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other than the FF&amp;E Collateral, together with the proceeds and products thereof (including, without limitation, the proceeds of Asset Sales).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w:t>
      </w:r>
      <w:r>
        <w:rPr>
          <w:rFonts w:ascii="Arial" w:cs="Arial" w:eastAsia="Arial" w:hAnsi="Arial"/>
          <w:sz w:val="16"/>
          <w:szCs w:val="16"/>
          <w:color w:val="auto"/>
        </w:rPr>
        <w:t>" means the Le Rêve Casino Resort, a large scale luxury hotel and destination casino resort, with related parking structure and golf course facilities to be developed on the Project Site, all as more particularly described in the applicable exhibit to the Disbursement Agreement.</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w:t>
      </w:r>
      <w:r>
        <w:rPr>
          <w:rFonts w:ascii="Arial" w:cs="Arial" w:eastAsia="Arial" w:hAnsi="Arial"/>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252" w:lineRule="exact"/>
        <w:rPr>
          <w:sz w:val="20"/>
          <w:szCs w:val="20"/>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Employee Parking Lot Lease,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Driving Range Lease,</w:t>
      </w:r>
    </w:p>
    <w:p>
      <w:pPr>
        <w:spacing w:after="0" w:line="225"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ectPr>
          <w:pgSz w:w="11900" w:h="16879" w:orient="portrait"/>
          <w:cols w:equalWidth="0" w:num="1">
            <w:col w:w="11420"/>
          </w:cols>
          <w:pgMar w:left="240" w:top="131" w:right="239" w:bottom="0" w:gutter="0" w:footer="0" w:header="0"/>
        </w:sectPr>
      </w:pPr>
    </w:p>
    <w:bookmarkStart w:id="121" w:name="page122"/>
    <w:bookmarkEnd w:id="121"/>
    <w:p>
      <w:pPr>
        <w:ind w:right="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Related Indebtedness</w:t>
      </w:r>
      <w:r>
        <w:rPr>
          <w:rFonts w:ascii="Arial" w:cs="Arial" w:eastAsia="Arial" w:hAnsi="Arial"/>
          <w:sz w:val="18"/>
          <w:szCs w:val="18"/>
          <w:color w:val="auto"/>
        </w:rPr>
        <w:t xml:space="preserve">" means Indebtedness for borrowed money incurred by Wynn Resorts, the proceeds of which are contributed, directly or indirectly, as common equity capital to Wynn Las Vegas and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Issuer, no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jc w:val="both"/>
        <w:ind w:right="1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Project Site</w:t>
      </w:r>
      <w:r>
        <w:rPr>
          <w:rFonts w:ascii="Arial" w:cs="Arial" w:eastAsia="Arial" w:hAnsi="Arial"/>
          <w:sz w:val="15"/>
          <w:szCs w:val="15"/>
          <w:color w:val="auto"/>
        </w:rPr>
        <w:t>" means the approximately 212 acre site upon which the Project will be located, together with all easements, licenses and other rights running for the benefit of any Restricted Entity and/or appurtenant thereto, and all as more particularly described in the exhibit captioned "Project Site" in the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PUC</w:t>
      </w:r>
      <w:r>
        <w:rPr>
          <w:rFonts w:ascii="Arial" w:cs="Arial" w:eastAsia="Arial" w:hAnsi="Arial"/>
          <w:sz w:val="18"/>
          <w:szCs w:val="18"/>
          <w:color w:val="auto"/>
        </w:rPr>
        <w:t>" means the Public Utilities Commission of Nevada.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(other than Disqualified Stock) of Wynn Resorts which results in gross proceeds to Wynn Resorts of at least $50.0 million, to the extent that such gross receipts are contributed as a cash common equity contribution to Wynn Las Vegas.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the Principal; or</w:t>
      </w:r>
    </w:p>
    <w:p>
      <w:pPr>
        <w:spacing w:after="0" w:line="252"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pacing w:after="0" w:line="13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included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Prepayment Amounts"</w:t>
      </w:r>
      <w:r>
        <w:rPr>
          <w:rFonts w:ascii="Arial" w:cs="Arial" w:eastAsia="Arial" w:hAnsi="Arial"/>
          <w:sz w:val="16"/>
          <w:szCs w:val="16"/>
          <w:color w:val="auto"/>
        </w:rPr>
        <w:t xml:space="preserve"> means Net Loss Proceeds required to be and actually applied to (or deposited in a cash collateral account in which the trustee shall have a perfected first priority security interest, subject to Permitted Liens, pending application towards)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Agreements.</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Entity</w:t>
      </w:r>
      <w:r>
        <w:rPr>
          <w:rFonts w:ascii="Arial" w:cs="Arial" w:eastAsia="Arial" w:hAnsi="Arial"/>
          <w:sz w:val="18"/>
          <w:szCs w:val="18"/>
          <w:color w:val="auto"/>
        </w:rPr>
        <w:t>" means any of Valvino Lamore, Desert Inn Water Company, LLC, Desert Inn Improvement Co., Wynn Design &amp; Development, LLC, Wynn Group Nevada, LLC, Wynn Resorts Holdings, Las Vegas Jet, LLC, World Travel, LLC and Palo, LLC, and any subsidiary of any of these entities, other than Wynn Las Vegas, LLC and Wynn Las Vegas Capital Corp. and their respective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xml:space="preserve">" means Standard &amp; Poor's Rating Services, a division of the McGraw Hill Companies, Inc., or any successor to its statistical rating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reference to a particular rating by S&amp;P shall be deemed to be a reference to the corresponding rating by any such successor.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Wynn Resorts Holdings,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either Water Company,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Restricted Entity if any of the following conditions are satisfied: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300" w:hanging="532"/>
        <w:spacing w:after="0" w:line="268" w:lineRule="auto"/>
        <w:tabs>
          <w:tab w:leader="none" w:pos="10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Wynn Las Vegas' and the Restricted Entities' investments in and advances to that Restricted Entity exceed 10% of the total assets of Wynn Las Vegas and the Restricted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Entities, taken as a whole, consolidated as of the end of the most recently completed fiscal year of Wynn Las Vegas,</w:t>
      </w:r>
    </w:p>
    <w:p>
      <w:pPr>
        <w:spacing w:after="0" w:line="239" w:lineRule="exact"/>
        <w:rPr>
          <w:sz w:val="20"/>
          <w:szCs w:val="20"/>
          <w:color w:val="auto"/>
        </w:rPr>
      </w:pPr>
    </w:p>
    <w:p>
      <w:pPr>
        <w:ind w:left="1080" w:right="220" w:hanging="532"/>
        <w:spacing w:after="0" w:line="259"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Wynn Las Vegas' and the Restricted Entities' proportionate share of the total assets (after intercompany eliminations) of that Restricted Entity exceeds 10% of the total assets of Wynn Las Vegas and the Restricted Entities, taken as a whole, consolidated as of the end of the most recently completed fiscal year of Wynn Las Vegas, or</w:t>
      </w:r>
    </w:p>
    <w:p>
      <w:pPr>
        <w:spacing w:after="0" w:line="221" w:lineRule="exact"/>
        <w:rPr>
          <w:rFonts w:ascii="Arial" w:cs="Arial" w:eastAsia="Arial" w:hAnsi="Arial"/>
          <w:sz w:val="18"/>
          <w:szCs w:val="18"/>
          <w:color w:val="auto"/>
        </w:rPr>
      </w:pPr>
    </w:p>
    <w:p>
      <w:pPr>
        <w:ind w:left="1080" w:right="40" w:hanging="532"/>
        <w:spacing w:after="0" w:line="370" w:lineRule="auto"/>
        <w:tabs>
          <w:tab w:leader="none" w:pos="108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Wynn Las Vegas' and the Restricted Entities' equity in the income from continuing operations before income taxes, extraordinary items and cumulative effect of a change in accounting principle of that Restricted Entity exceeds 10% of such income of Wynn Las Vegas and the Restricted</w:t>
      </w:r>
    </w:p>
    <w:p>
      <w:pPr>
        <w:sectPr>
          <w:pgSz w:w="11900" w:h="16838" w:orient="portrait"/>
          <w:cols w:equalWidth="0" w:num="1">
            <w:col w:w="11400"/>
          </w:cols>
          <w:pgMar w:left="240" w:top="131" w:right="259" w:bottom="0" w:gutter="0" w:footer="0" w:header="0"/>
        </w:sectPr>
      </w:pPr>
    </w:p>
    <w:bookmarkStart w:id="122" w:name="page123"/>
    <w:bookmarkEnd w:id="122"/>
    <w:p>
      <w:pPr>
        <w:ind w:left="1080"/>
        <w:spacing w:after="0"/>
        <w:rPr>
          <w:sz w:val="20"/>
          <w:szCs w:val="20"/>
          <w:color w:val="auto"/>
        </w:rPr>
      </w:pPr>
      <w:r>
        <w:rPr>
          <w:rFonts w:ascii="Arial" w:cs="Arial" w:eastAsia="Arial" w:hAnsi="Arial"/>
          <w:sz w:val="18"/>
          <w:szCs w:val="18"/>
          <w:color w:val="auto"/>
        </w:rPr>
        <w:t>Entities, taken as a whole, consolidated for the most recently completed fiscal year of Wynn Las Vegas.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 any restricted Subsidiary if any of the following conditions are satisfied:</w:t>
      </w:r>
    </w:p>
    <w:p>
      <w:pPr>
        <w:spacing w:after="0" w:line="239" w:lineRule="exact"/>
        <w:rPr>
          <w:sz w:val="20"/>
          <w:szCs w:val="20"/>
          <w:color w:val="auto"/>
        </w:rPr>
      </w:pPr>
    </w:p>
    <w:p>
      <w:pPr>
        <w:ind w:left="540" w:right="220" w:hanging="532"/>
        <w:spacing w:after="0" w:line="370" w:lineRule="auto"/>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Wynn Las Vegas' and the Restricted Subsidiaries' investments in and advances to that Restricted Subsidiary exceed 10% of the total assets of Wynn Las Vegas and the Restricted Subsidiaries, taken as a whole, consolidated as of the end of the most recently completed fiscal year of Wynn Las Vegas.</w:t>
      </w:r>
    </w:p>
    <w:p>
      <w:pPr>
        <w:spacing w:after="0" w:line="143" w:lineRule="exact"/>
        <w:rPr>
          <w:rFonts w:ascii="Arial" w:cs="Arial" w:eastAsia="Arial" w:hAnsi="Arial"/>
          <w:sz w:val="15"/>
          <w:szCs w:val="15"/>
          <w:color w:val="auto"/>
        </w:rPr>
      </w:pPr>
    </w:p>
    <w:p>
      <w:pPr>
        <w:ind w:left="540" w:right="300" w:hanging="532"/>
        <w:spacing w:after="0" w:line="259"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Wynn Las Vegas' and the Restricted Subsidiaries' proportionate share of the total assets (after intercompany eliminations) of that Restricted Subsidiary exceeds 10% of the total assets of Wynn Las Vegas and the Restricted Subsidiaries, taken as a whole, consolidated as of the end of the most recently completed fiscal year of Wynn Las Vegas, or</w:t>
      </w:r>
    </w:p>
    <w:p>
      <w:pPr>
        <w:spacing w:after="0" w:line="207" w:lineRule="exact"/>
        <w:rPr>
          <w:rFonts w:ascii="Arial" w:cs="Arial" w:eastAsia="Arial" w:hAnsi="Arial"/>
          <w:sz w:val="18"/>
          <w:szCs w:val="18"/>
          <w:color w:val="auto"/>
        </w:rPr>
      </w:pPr>
    </w:p>
    <w:p>
      <w:pPr>
        <w:ind w:left="540" w:right="280" w:hanging="532"/>
        <w:spacing w:after="0" w:line="306" w:lineRule="auto"/>
        <w:tabs>
          <w:tab w:leader="none" w:pos="5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Wynn Las Vegas' and the Restricted Subsidiaries' equity in the income from continuing operations before income taxes, extraordinary items and cumulative effect of a change in accounting principle of that Restricted Subsidiary exceeds 10% of such income of Wynn Las Vegas and the Restricted Subsidiaries, taken as a whole, consolidated for the most recently completed fiscal year of Wynn Las Vegas.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Inc.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39" w:lineRule="exact"/>
        <w:rPr>
          <w:sz w:val="20"/>
          <w:szCs w:val="20"/>
          <w:color w:val="auto"/>
        </w:rPr>
      </w:pPr>
    </w:p>
    <w:p>
      <w:pPr>
        <w:jc w:val="both"/>
        <w:ind w:left="540" w:right="100" w:hanging="532"/>
        <w:spacing w:after="0" w:line="335" w:lineRule="auto"/>
        <w:tabs>
          <w:tab w:leader="none" w:pos="5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9" w:lineRule="exact"/>
        <w:rPr>
          <w:rFonts w:ascii="Arial" w:cs="Arial" w:eastAsia="Arial" w:hAnsi="Arial"/>
          <w:sz w:val="15"/>
          <w:szCs w:val="15"/>
          <w:color w:val="auto"/>
        </w:rPr>
      </w:pPr>
    </w:p>
    <w:p>
      <w:pPr>
        <w:ind w:left="540" w:right="180" w:hanging="532"/>
        <w:spacing w:after="0" w:line="268"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(i) in the a case of any direct or indirect member of a Restricted Entity that is a Pass Through Entity, the Presumed Tax Liability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such member, and (ii) with respect to any of Wynn Las Vegas, its Restricted Subsidiaries or Restricted Entities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Distribution</w:t>
      </w:r>
      <w:r>
        <w:rPr>
          <w:rFonts w:ascii="Arial" w:cs="Arial" w:eastAsia="Arial" w:hAnsi="Arial"/>
          <w:sz w:val="18"/>
          <w:szCs w:val="18"/>
          <w:color w:val="auto"/>
        </w:rPr>
        <w:t>" means a distribution in respect of taxes pursuant to clause (5) of the second paragraph of the covenant described above under the caption "Certain Covenants—Restricted Payments."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Taxable Income</w:t>
      </w:r>
      <w:r>
        <w:rPr>
          <w:rFonts w:ascii="Arial" w:cs="Arial" w:eastAsia="Arial" w:hAnsi="Arial"/>
          <w:sz w:val="16"/>
          <w:szCs w:val="16"/>
          <w:color w:val="auto"/>
        </w:rPr>
        <w:t xml:space="preserve">" means, with respect to any Person for any period, the taxable income or loss of such Person for such period for federal income tax purposes as a result of such Persons equity ownership of one or more Restricted Entities that are Pass Through Entities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all items of income, gain, loss or deduction required to be stated separately pursuant to Section 703(a)(1) of the Code shall be included in taxable income or loss.</w:t>
      </w:r>
    </w:p>
    <w:p>
      <w:pPr>
        <w:spacing w:after="0" w:line="16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Wynn Las Vegas, other than Wynn Capital that is designated by the Board of Directors as an Unrestricted Subsidiary pursuant to a resolution of the Board of Directors of Wynn Las Vegas (and any Subsidiary of each such Unrestricted Subsidiary), but only to the extent that such Subsidiary:</w:t>
      </w:r>
    </w:p>
    <w:p>
      <w:pPr>
        <w:spacing w:after="0" w:line="208" w:lineRule="exact"/>
        <w:rPr>
          <w:sz w:val="20"/>
          <w:szCs w:val="20"/>
          <w:color w:val="auto"/>
        </w:rPr>
      </w:pPr>
    </w:p>
    <w:p>
      <w:pPr>
        <w:ind w:left="540" w:hanging="532"/>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38" w:lineRule="exact"/>
        <w:rPr>
          <w:rFonts w:ascii="Arial" w:cs="Arial" w:eastAsia="Arial" w:hAnsi="Arial"/>
          <w:sz w:val="18"/>
          <w:szCs w:val="18"/>
          <w:color w:val="auto"/>
        </w:rPr>
      </w:pPr>
    </w:p>
    <w:p>
      <w:pPr>
        <w:ind w:left="540" w:right="40" w:hanging="532"/>
        <w:spacing w:after="0" w:line="294" w:lineRule="auto"/>
        <w:tabs>
          <w:tab w:leader="none" w:pos="5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of Wynn Las Vegas, or any Restricted Entity or any Guarantor unless the terms of any such agreement, contract, arrangement or understanding are no less favorable to such Person or Guarantor than those that might be obtained at the time from Persons who are not Affiliates of such Person or are Permitted Investments or transactions permitted as Restricted Payments under the covenant described above under the caption "Certain Covenants—Restricted Payments, or as Affiliate Transactions under the covenant described above under the caption "Certain Covenants—Transactions with Affiliates";</w:t>
      </w:r>
    </w:p>
    <w:p>
      <w:pPr>
        <w:spacing w:after="0" w:line="196"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 a Person with respect to which none of the Issuers, the Restricted Subsidiaries of Wynn Las Vegas, the Restricted Entities or the Guarantors has any direct or indirect obligation (a) to subscribe for additional Equity Interests or (b) to maintain or preserve such Person's financial condition or to cause such Person to achieve any specified levels of operating results;</w:t>
      </w:r>
    </w:p>
    <w:p>
      <w:pPr>
        <w:spacing w:after="0" w:line="207"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of Wynn Las Vegas, or any Restricted Entity or any Guarantor; and</w:t>
      </w:r>
    </w:p>
    <w:p>
      <w:pPr>
        <w:spacing w:after="0" w:line="199"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has at least one director on its Board of Directors that is not a director or executive officer of either Issuer, any Restricted Subsidiary of Wynn Las Vegas or any Restricted Entity or Guarantor and has at least one executive officer that is not a director or executive officer of either Issuer, any Restricted Subsidiary of Wynn Las Vegas or any Restricted Entity or Guarantor.</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1420"/>
          </w:cols>
          <w:pgMar w:left="240" w:top="131" w:right="239" w:bottom="0" w:gutter="0" w:footer="0" w:header="0"/>
          <w:type w:val="continuous"/>
        </w:sectPr>
      </w:pPr>
    </w:p>
    <w:bookmarkStart w:id="123" w:name="page124"/>
    <w:bookmarkEnd w:id="123"/>
    <w:p>
      <w:pPr>
        <w:ind w:right="60" w:firstLine="3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Wynn Las Vegas of any outstanding Indebtedness of such Unrestricted Subsidiary and such designation shall only be permitted if (1) such Indebtedness is permitted under the covenant described under the caption "Certain Covenants—Incurrence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7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Company Capital Contribution</w:t>
      </w:r>
      <w:r>
        <w:rPr>
          <w:rFonts w:ascii="Arial" w:cs="Arial" w:eastAsia="Arial" w:hAnsi="Arial"/>
          <w:sz w:val="16"/>
          <w:szCs w:val="16"/>
          <w:color w:val="auto"/>
        </w:rPr>
        <w:t>" means the contribution by Valvino Lamore to Wynn Resorts Holdings of 100% of the Capital Stock of Desert Inn Water Company as a common equity contribution in consideration for the issuance to Valvino Lamore of additional common Capital Stock of Wynn Resorts Holdings, pursuant to and in accordance with any and all necessary approvals by or consents from the Nevada Public Utilities Commission.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Companies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Desert Inn Water Company,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Desert Inn Improvement Co.</w:t>
      </w:r>
    </w:p>
    <w:p>
      <w:pPr>
        <w:spacing w:after="0" w:line="225"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Water Rights Agreement</w:t>
      </w:r>
      <w:r>
        <w:rPr>
          <w:rFonts w:ascii="Arial" w:cs="Arial" w:eastAsia="Arial" w:hAnsi="Arial"/>
          <w:sz w:val="15"/>
          <w:szCs w:val="15"/>
          <w:color w:val="auto"/>
        </w:rPr>
        <w:t>" means the Water Rights Agreement, dated as of the date of the indenture, among the Issuers and the Restricted Entities, as amended, modified or otherwise supplemented from time to time in accordance with the covenant captioned "—Amendments to Certain Agreements."</w:t>
      </w:r>
    </w:p>
    <w:p>
      <w:pPr>
        <w:spacing w:after="0" w:line="116"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Production Agreement</w:t>
      </w:r>
      <w:r>
        <w:rPr>
          <w:rFonts w:ascii="Arial" w:cs="Arial" w:eastAsia="Arial" w:hAnsi="Arial"/>
          <w:sz w:val="18"/>
          <w:szCs w:val="18"/>
          <w:color w:val="auto"/>
        </w:rPr>
        <w:t>" means the Agreement, dated January 25, 2001, between Wynn Resorts Holdings and Calitri Services and Licensing Limited Liability Company, as amended, modified or otherwise supplemented from time to time in accordance with the covenant captioned "—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39" w:lineRule="exact"/>
        <w:rPr>
          <w:sz w:val="20"/>
          <w:szCs w:val="20"/>
          <w:color w:val="auto"/>
        </w:rPr>
      </w:pPr>
    </w:p>
    <w:p>
      <w:pPr>
        <w:ind w:left="540" w:right="180" w:hanging="532"/>
        <w:spacing w:after="0" w:line="259"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Employment Agreement</w:t>
      </w:r>
      <w:r>
        <w:rPr>
          <w:rFonts w:ascii="Arial" w:cs="Arial" w:eastAsia="Arial" w:hAnsi="Arial"/>
          <w:sz w:val="16"/>
          <w:szCs w:val="16"/>
          <w:color w:val="auto"/>
        </w:rPr>
        <w:t>" means the Employment Agreement, dated as of the date of the indenture, between Stephen A. Wynn and Wynn Resorts, as amended, modified or otherwise supplemented from time to time in accordance with the covenant captioned "—Amendments to Certain Agreements."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Agreement</w:t>
      </w:r>
      <w:r>
        <w:rPr>
          <w:rFonts w:ascii="Arial" w:cs="Arial" w:eastAsia="Arial" w:hAnsi="Arial"/>
          <w:sz w:val="18"/>
          <w:szCs w:val="18"/>
          <w:color w:val="auto"/>
        </w:rPr>
        <w:t>" means the Letter Agreement, dated as of the date of the indenture, among Wynn Resorts, the trustee and a representative of the lenders under the Credit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Resorts Holdings</w:t>
      </w:r>
      <w:r>
        <w:rPr>
          <w:rFonts w:ascii="Arial" w:cs="Arial" w:eastAsia="Arial" w:hAnsi="Arial"/>
          <w:sz w:val="16"/>
          <w:szCs w:val="16"/>
          <w:color w:val="auto"/>
        </w:rPr>
        <w:t>" means Wynn Resorts Holdings, LLC, a Nevada limited liability company (formerly known as Wynn Resorts, LLC).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INDEBTEDNESS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ectPr>
          <w:pgSz w:w="11900" w:h="16838" w:orient="portrait"/>
          <w:cols w:equalWidth="0" w:num="1">
            <w:col w:w="11420"/>
          </w:cols>
          <w:pgMar w:left="240" w:top="374" w:right="239" w:bottom="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53" w:lineRule="exact"/>
        <w:rPr>
          <w:sz w:val="20"/>
          <w:szCs w:val="20"/>
          <w:color w:val="auto"/>
        </w:rPr>
      </w:pPr>
    </w:p>
    <w:p>
      <w:pPr>
        <w:ind w:left="1080" w:right="60" w:hanging="532"/>
        <w:spacing w:after="0" w:line="259"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1"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borrowings outstanding under our revolving facility equal or exceed $200 million, the lenders' agent will have the right to convert $100 to</w:t>
      </w:r>
    </w:p>
    <w:p>
      <w:pPr>
        <w:spacing w:after="0" w:line="3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63"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38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before Le Rêve opens, borrowings will bear interest, at Wynn Las Vegas' election, at the prime rate plus a margin still to be determined or the reserve adjusted Eurodollar Rate plus 4.00% per annum;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prime rate or reserve adjusted Eurodollar Rate, as Wynn Las Vegas elects, plus, in either case, a margin based on our leverage ratio.</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Until Le Rêve opens, Wynn Las Vegas will pay, quarterly in arrears, 2.00% per annum on unborrowed availability under our revolving credit facility. The amount Wynn Las Vegas will pay will be calculated on the daily average of the unborrowed availability under the revolving credit facility.</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Under the credit facilities, subsidiaries and certain affiliates of Wynn Las Vegas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obligations under the</w:t>
      </w:r>
    </w:p>
    <w:p>
      <w:pPr>
        <w:sectPr>
          <w:pgSz w:w="11900" w:h="16838" w:orient="portrait"/>
          <w:cols w:equalWidth="0" w:num="1">
            <w:col w:w="11400"/>
          </w:cols>
          <w:pgMar w:left="240" w:top="125" w:right="259" w:bottom="0" w:gutter="0" w:footer="0" w:header="0"/>
        </w:sectPr>
      </w:pPr>
    </w:p>
    <w:bookmarkStart w:id="125" w:name="page126"/>
    <w:bookmarkEnd w:id="125"/>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credit facilities will be secured by first priority security interests (subject to permitted liens) in the following:</w:t>
      </w:r>
    </w:p>
    <w:p>
      <w:pPr>
        <w:spacing w:after="0" w:line="239" w:lineRule="exact"/>
        <w:rPr>
          <w:sz w:val="20"/>
          <w:szCs w:val="20"/>
          <w:color w:val="auto"/>
        </w:rPr>
      </w:pPr>
    </w:p>
    <w:p>
      <w:pPr>
        <w:ind w:left="1080" w:hanging="532"/>
        <w:spacing w:after="0" w:line="289"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consecutive fiscal quarters after Le Rêve opens, any remaining amounts in the liquidity reserve account will be released to us;</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the other existing and future assets of Wynn Las Vegas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24"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specified percentages, ranging from a specified percentage (not to 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restricted entities will be required to comply with negative and affirmative covenants, including, without limitation, limitations on:</w:t>
      </w:r>
    </w:p>
    <w:p>
      <w:pPr>
        <w:spacing w:after="0" w:line="239" w:lineRule="exact"/>
        <w:rPr>
          <w:sz w:val="20"/>
          <w:szCs w:val="20"/>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9" w:orient="portrait"/>
          <w:cols w:equalWidth="0" w:num="1">
            <w:col w:w="11420"/>
          </w:cols>
          <w:pgMar w:left="240" w:top="131" w:right="239" w:bottom="0" w:gutter="0" w:footer="0" w:header="0"/>
        </w:sectPr>
      </w:pPr>
    </w:p>
    <w:bookmarkStart w:id="126" w:name="page127"/>
    <w:bookmarkEnd w:id="126"/>
    <w:p>
      <w:pPr>
        <w:ind w:left="1080"/>
        <w:spacing w:after="0"/>
        <w:rPr>
          <w:sz w:val="20"/>
          <w:szCs w:val="20"/>
          <w:color w:val="auto"/>
        </w:rPr>
      </w:pPr>
      <w:r>
        <w:rPr>
          <w:rFonts w:ascii="Arial" w:cs="Arial" w:eastAsia="Arial" w:hAnsi="Arial"/>
          <w:sz w:val="18"/>
          <w:szCs w:val="18"/>
          <w:color w:val="auto"/>
        </w:rPr>
        <w:t>scope changes and modifications to material contracts;</w:t>
      </w:r>
    </w:p>
    <w:p>
      <w:pPr>
        <w:spacing w:after="0" w:line="239" w:lineRule="exact"/>
        <w:rPr>
          <w:sz w:val="20"/>
          <w:szCs w:val="20"/>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force majeure extension), loss of material contracts, noncompliance with covenants, material breaches of representations and warranties, bankruptcy, judgments in excess of specified amounts, ERISA,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the provision of a proposed $178.5 million FF&amp;E facility as part of the financing of Le Rêve. The FF&amp;E facility is currently being syndicated. Obtaining the FF&amp;E facility will be a condition to the consummation of this offering. However, the availability of these funds is subject to, among other things, negotiation and execution of definitive agreements. For more information, see "Use of Proceeds," "Management's Discussion and Analysis of Financial Condition and Results of Operations" and "Certain Relationships and Related Party Transactions—Aircraft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project lenders intercreditor agreement will be entered into between the agent under our credit facilities and the trustee on behalf of the second mortgage note holders so as to implement the status of the second priority lien of the second mortgage notes with respect to all our assets and the assets pledged by the guarantors of the credit facilities and the second mortgage notes, other than the collateral securing the FF&amp;E facility with respect to which the second mortgage note holders will have a third priority lien, except that the aircraft-related collateral will not secure the second mortgage notes or the indebtedness under the credit facilities. The following summary of the material provisions of the project lenders intercreditor agreement is not meant to be complete and you should review the project lenders intercreditor agreement for a complete statement of its terms and conditions, including the definitions of terms used below.</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"Permanent" Standstill With Respect to Second Mortgage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w:t>
      </w:r>
    </w:p>
    <w:p>
      <w:pPr>
        <w:spacing w:after="0" w:line="239" w:lineRule="exact"/>
        <w:rPr>
          <w:sz w:val="20"/>
          <w:szCs w:val="20"/>
          <w:color w:val="auto"/>
        </w:rPr>
      </w:pPr>
    </w:p>
    <w:p>
      <w:pPr>
        <w:ind w:left="1080" w:right="100" w:hanging="532"/>
        <w:spacing w:after="0" w:line="255"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either a payment default occurs with respect to the credit facilities or the lenders under the credit facilities accelerate the indebtedness after the occurrence of a default (payment or otherwise) with respect to the credit facilities, then the agent under our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23"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ectPr>
          <w:pgSz w:w="11900" w:h="16838" w:orient="portrait"/>
          <w:cols w:equalWidth="0" w:num="1">
            <w:col w:w="11420"/>
          </w:cols>
          <w:pgMar w:left="240" w:top="131" w:right="239" w:bottom="0" w:gutter="0" w:footer="0" w:header="0"/>
        </w:sectPr>
      </w:pPr>
    </w:p>
    <w:bookmarkStart w:id="127" w:name="page128"/>
    <w:bookmarkEnd w:id="127"/>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shall have the right upon a default under the indenture governing the second mortgage notes:</w:t>
      </w:r>
    </w:p>
    <w:p>
      <w:pPr>
        <w:spacing w:after="0" w:line="239" w:lineRule="exact"/>
        <w:rPr>
          <w:sz w:val="20"/>
          <w:szCs w:val="20"/>
          <w:color w:val="auto"/>
        </w:rPr>
      </w:pPr>
    </w:p>
    <w:p>
      <w:pPr>
        <w:ind w:left="1080" w:hanging="532"/>
        <w:spacing w:after="0"/>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to enforce remedies with respect to the collateral if the default occurs when there is no outstanding indebtedness under the credit facilities;</w:t>
      </w:r>
    </w:p>
    <w:p>
      <w:pPr>
        <w:spacing w:after="0" w:line="275" w:lineRule="exact"/>
        <w:rPr>
          <w:rFonts w:ascii="Arial" w:cs="Arial" w:eastAsia="Arial" w:hAnsi="Arial"/>
          <w:sz w:val="16"/>
          <w:szCs w:val="16"/>
          <w:color w:val="auto"/>
        </w:rPr>
      </w:pPr>
    </w:p>
    <w:p>
      <w:pPr>
        <w:ind w:left="1080" w:right="380" w:hanging="532"/>
        <w:spacing w:after="0" w:line="332" w:lineRule="auto"/>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to take actions to preserve or protect its liens (or its right to excess proceeds derived from a sale in foreclosure of a senior lien), so long as the actions are not adverse to the perfection, priority or enforcement of the liens in favor of the lenders under the credit facilities;</w:t>
      </w:r>
    </w:p>
    <w:p>
      <w:pPr>
        <w:spacing w:after="0" w:line="152" w:lineRule="exact"/>
        <w:rPr>
          <w:rFonts w:ascii="Arial" w:cs="Arial" w:eastAsia="Arial" w:hAnsi="Arial"/>
          <w:sz w:val="16"/>
          <w:szCs w:val="16"/>
          <w:color w:val="auto"/>
        </w:rPr>
      </w:pPr>
    </w:p>
    <w:p>
      <w:pPr>
        <w:ind w:left="1080" w:right="140" w:hanging="532"/>
        <w:spacing w:after="0" w:line="306" w:lineRule="auto"/>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to purchase or pay off the outstanding indebtedness under the credit facilities (any such payment to include payment of all amounts owed and outstanding under the credit facilities (including LIBOR breakage charges), provided that the second mortgage note holders shall not be required in such circumstances to pay any prepayment premiums or like charges payable under the terms of the credit facilities);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to accelerate the indebtedness under the second mortgage notes;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280" w:hanging="532"/>
        <w:spacing w:after="0" w:line="268" w:lineRule="auto"/>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second mortgage notes.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Enforcement of Security Documents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 evidencing the liens in favor of the lenders under the credit facilities. Such enforcement actions may include:</w:t>
      </w:r>
    </w:p>
    <w:p>
      <w:pPr>
        <w:spacing w:after="0" w:line="208" w:lineRule="exact"/>
        <w:rPr>
          <w:sz w:val="20"/>
          <w:szCs w:val="20"/>
          <w:color w:val="auto"/>
        </w:rPr>
      </w:pPr>
    </w:p>
    <w:p>
      <w:pPr>
        <w:ind w:left="1080" w:hanging="532"/>
        <w:spacing w:after="0"/>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enforcement of the FF&amp;E intercreditor agreement on behalf of the lenders under the credit facilities and the second mortgage note 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exercise of rights of setoff;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delivery of notices, claims and demands relating to the collateral, including delivery of notices to depositary institutions holding pledged accounts instructing the depositary institutions to suspend any further disbursements from such accounts.</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199" w:lineRule="exact"/>
        <w:rPr>
          <w:sz w:val="20"/>
          <w:szCs w:val="20"/>
          <w:color w:val="auto"/>
        </w:rPr>
      </w:pPr>
    </w:p>
    <w:p>
      <w:pPr>
        <w:ind w:left="1080" w:right="60" w:hanging="532"/>
        <w:spacing w:after="0" w:line="298" w:lineRule="auto"/>
        <w:tabs>
          <w:tab w:leader="none" w:pos="10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until such time as either a payment default occurs with respect to the indebtedness under the credit facilities or the agent under our credit facilities has accelerated such indebtedness, no instructions to depositary institutions holding pledged accounts shall suspend disbursements of cash from such accounts for payment of expenses reasonably necessary or appropriate for the conduct of the business of Wynn Las Vegas or Wynn Capital, or for payment of debt service on permitted secured debt (including the second mortgage notes and the FF&amp;E facility), and</w:t>
      </w:r>
    </w:p>
    <w:p>
      <w:pPr>
        <w:spacing w:after="0" w:line="180"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at any time when the outstanding indebtedness under the credit facilities is less than $100,000,000 and unless otherwise agreed by the trustee, no sale in foreclosure of the liens in favor of the lenders under the credit facilities shall be completed on account of a particular default under the credit facilities until at least 180 days after the trustee has received written notice from the agent under our credit facilities of the occurrence of such default; provided that the agent under our credit facilities at all times shall have the right to foreclose liens granted by any of the guarantors with respect to the indebtedness under the credit facilities to the extent that such liens encumber equity interests in Wynn Las Vegas, Wynn Capital or any of their affiliates, or other assets that are not related in a material respect to the operation of the business at the project.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Further Authority of the Agent under our Credit Facilities to Effect Waivers and Amendments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project lenders intercreditor agreement, the second mortgage note holders have agreed that from and after the first funding under the credit facilities, the lenders thereunder shall have the right to waive defaults and effect amendments under the disbursement agreement and the security documents. Any such waivers or amendments, once approved by the lenders under our credit facilities shall become automatically effective with respect to the second mortgage notes. Notwithstanding the foregoing, except with respect to the phase II land and the golf course parcel and related collateral, any such waiver or amendment approved by the lenders under the credit facilities shall not be permitted to effect a release of liens on the collateral or modify any provisions of the indenture governing the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second mortgage notes without the consent of the trustee. The agent under our credit facilities further shall have the authority to effect certain amendments regarding the scope of the project without the consent of the trustee or the FF&amp;E lenders. See "Disbursement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project lenders intercreditor agreement further provides that in any bankruptcy proceeding including Wynn Las Vegas, Wynn Capital or any of the guarantors as debtor, the trustee and the second mortgage note holders shall not:</w:t>
      </w:r>
    </w:p>
    <w:p>
      <w:pPr>
        <w:spacing w:after="0" w:line="213" w:lineRule="exact"/>
        <w:rPr>
          <w:sz w:val="20"/>
          <w:szCs w:val="20"/>
          <w:color w:val="auto"/>
        </w:rPr>
      </w:pPr>
    </w:p>
    <w:p>
      <w:pPr>
        <w:ind w:left="1080" w:right="26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take any action challenging the liens of the lenders under the credit facilities (and the lenders correspondingly shall agree not to take any action challenging the liens in favor of the second mortgage note holders);</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oppose or otherwise contest any motion of the agent under our credit facilities for relief from the automatic stay or any injunction against foreclosure or enforcement of any liens of the lenders under the credit facilities;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oppose or otherwise contest any exercise by the agent under our credit facilities of the right to credit bid any portion of the indebtedness under the credit facilities at any sale in foreclosure of any of the liens of the lenders;</w:t>
      </w:r>
    </w:p>
    <w:p>
      <w:pPr>
        <w:sectPr>
          <w:pgSz w:w="11900" w:h="16852" w:orient="portrait"/>
          <w:cols w:equalWidth="0" w:num="1">
            <w:col w:w="11400"/>
          </w:cols>
          <w:pgMar w:left="240" w:top="131" w:right="259" w:bottom="0" w:gutter="0" w:footer="0" w:header="0"/>
        </w:sectPr>
      </w:pPr>
    </w:p>
    <w:bookmarkStart w:id="128" w:name="page129"/>
    <w:bookmarkEnd w:id="128"/>
    <w:p>
      <w:pPr>
        <w:ind w:left="1080" w:right="16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oppose or otherwise contest any use of cash collateral by Wynn Las Vegas or Wynn Capital that has been approved by the agent under our credit facilities, so long as such use of cash collateral calls for:</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2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or Wynn Capital, or for the preservation of the collateral;</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the second mortgage notes;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payment of administrative expenses arising in connection with the bankruptcy proceeding;</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vote to accept any plan of reorganization (or other dispositive restructuring plan) unless the lenders holding two-thirds of the outstanding amount of loans under the credit facilities have voted to accept such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and the second mortgage note holders:</w:t>
      </w:r>
    </w:p>
    <w:p>
      <w:pPr>
        <w:spacing w:after="0" w:line="239" w:lineRule="exact"/>
        <w:rPr>
          <w:sz w:val="20"/>
          <w:szCs w:val="20"/>
          <w:color w:val="auto"/>
        </w:rPr>
      </w:pPr>
    </w:p>
    <w:p>
      <w:pPr>
        <w:ind w:left="1080" w:hanging="532"/>
        <w:spacing w:after="0"/>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shall not be in any respect restricted in voting any unsecured claims based upon the indebtedness owed on the second mortgage notes; and</w:t>
      </w:r>
    </w:p>
    <w:p>
      <w:pPr>
        <w:spacing w:after="0" w:line="261"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shall not be in any respect restricted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or the collateral securing the second mortgage notes as a basis for approving a motion or other relief sought in a bankruptcy proceeding and approved by the lenders under the credit facilities.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Waivers by Second Mortgage Noteholders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project lenders intercreditor agreement, the second mortgage note holders waive each of the following:</w:t>
      </w:r>
    </w:p>
    <w:p>
      <w:pPr>
        <w:spacing w:after="0" w:line="252" w:lineRule="exact"/>
        <w:rPr>
          <w:sz w:val="20"/>
          <w:szCs w:val="20"/>
          <w:color w:val="auto"/>
        </w:rPr>
      </w:pPr>
    </w:p>
    <w:p>
      <w:pPr>
        <w:ind w:left="1080" w:hanging="532"/>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lenders under the credit facilities, to the maximum extent permitted by law, based upon any of the following:</w:t>
      </w:r>
    </w:p>
    <w:p>
      <w:pPr>
        <w:spacing w:after="0" w:line="185" w:lineRule="exact"/>
        <w:rPr>
          <w:rFonts w:ascii="Arial" w:cs="Arial" w:eastAsia="Arial" w:hAnsi="Arial"/>
          <w:sz w:val="18"/>
          <w:szCs w:val="18"/>
          <w:color w:val="auto"/>
        </w:rPr>
      </w:pPr>
    </w:p>
    <w:p>
      <w:pPr>
        <w:ind w:left="1080" w:right="160" w:firstLine="360"/>
        <w:spacing w:after="0" w:line="259" w:lineRule="auto"/>
        <w:tabs>
          <w:tab w:leader="none" w:pos="172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regardless of whether any conditions to such advances have not been satisfied, provided that the maximum amount of senior lien debt permitted by the indenture governing the second mortgage notes has not been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267"/>
        </w:numPr>
        <w:rPr>
          <w:rFonts w:ascii="Arial" w:cs="Arial" w:eastAsia="Arial" w:hAnsi="Arial"/>
          <w:sz w:val="15"/>
          <w:szCs w:val="15"/>
          <w:color w:val="auto"/>
        </w:rPr>
      </w:pPr>
      <w:r>
        <w:rPr>
          <w:rFonts w:ascii="Arial" w:cs="Arial" w:eastAsia="Arial" w:hAnsi="Arial"/>
          <w:sz w:val="15"/>
          <w:szCs w:val="15"/>
          <w:color w:val="auto"/>
        </w:rPr>
        <w:t>a change in the manner, place or terms of any payment under the credit facilities, or an extension of the date on which any such payment</w:t>
      </w:r>
    </w:p>
    <w:p>
      <w:pPr>
        <w:spacing w:after="0" w:line="4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is due;</w:t>
      </w:r>
    </w:p>
    <w:p>
      <w:pPr>
        <w:spacing w:after="0" w:line="218" w:lineRule="exact"/>
        <w:rPr>
          <w:rFonts w:ascii="Arial" w:cs="Arial" w:eastAsia="Arial" w:hAnsi="Arial"/>
          <w:sz w:val="15"/>
          <w:szCs w:val="15"/>
          <w:color w:val="auto"/>
        </w:rPr>
      </w:pPr>
    </w:p>
    <w:p>
      <w:pPr>
        <w:jc w:val="both"/>
        <w:ind w:left="1080" w:right="120" w:firstLine="360"/>
        <w:spacing w:after="0" w:line="306" w:lineRule="auto"/>
        <w:tabs>
          <w:tab w:leader="none" w:pos="172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an increase or reduction in the available credit under the credit facilities or the interest, fees or other amounts payable in respect thereof or in respect of any debt outstanding thereunder, provided that the maximum amount of senior lien debt permitted by the indenture governing the second mortgage notes has not been exceeded. See "Description of the Second Mortgage Notes";</w:t>
      </w:r>
    </w:p>
    <w:p>
      <w:pPr>
        <w:spacing w:after="0" w:line="160" w:lineRule="exact"/>
        <w:rPr>
          <w:rFonts w:ascii="Arial" w:cs="Arial" w:eastAsia="Arial" w:hAnsi="Arial"/>
          <w:sz w:val="16"/>
          <w:szCs w:val="16"/>
          <w:color w:val="auto"/>
        </w:rPr>
      </w:pPr>
    </w:p>
    <w:p>
      <w:pPr>
        <w:ind w:left="1740" w:hanging="300"/>
        <w:spacing w:after="0"/>
        <w:tabs>
          <w:tab w:leader="none" w:pos="17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25" w:lineRule="exact"/>
        <w:rPr>
          <w:rFonts w:ascii="Arial" w:cs="Arial" w:eastAsia="Arial" w:hAnsi="Arial"/>
          <w:sz w:val="18"/>
          <w:szCs w:val="18"/>
          <w:color w:val="auto"/>
        </w:rPr>
      </w:pPr>
    </w:p>
    <w:p>
      <w:pPr>
        <w:ind w:left="1080" w:right="660" w:firstLine="360"/>
        <w:spacing w:after="0" w:line="268" w:lineRule="auto"/>
        <w:tabs>
          <w:tab w:leader="none" w:pos="172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exercise of rights or remedies by the agent under our credit facilities under any security documents with respect to the credit facilities.</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claim against the agent or the lenders under our credit facilities arising out of any action or failure to act or any error of judgment or negligence on the part of the agent under our credit facilities other than gross negligence or willful misconduct, to the maximum extent permitted by law.</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project lenders intercreditor agreement provides that the lenders under the credit facilities and the second mortgage note holders each shall be responsible for keeping themselves informed of the financial condition of Wynn Las Vegas, Wynn Capital and all other circumstances bearing upon the risk of nonpayment of the credit facilities or the second mortgage notes, and neither the agent under our credit facilities nor the trustee shall have any responsibility to advise the other (or the members of the other's lending group) of such information or circumstances.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indebtedness under the credit facilities is refinanced in accordance with the terms thereof, the intercreditor arrangements described above shall apply to the replacement debt as well, and the trustee shall execute such documentation as reasonably may be requested to effect such arrangements.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 following summary of the material provisions of the FF&amp;E intercreditor agreement is not meant to be complete and you should review the FF&amp;E intercreditor</w:t>
      </w:r>
    </w:p>
    <w:p>
      <w:pPr>
        <w:sectPr>
          <w:pgSz w:w="11900" w:h="16838" w:orient="portrait"/>
          <w:cols w:equalWidth="0" w:num="1">
            <w:col w:w="11400"/>
          </w:cols>
          <w:pgMar w:left="240" w:top="361" w:right="259" w:bottom="0" w:gutter="0" w:footer="0" w:header="0"/>
        </w:sectPr>
      </w:pPr>
    </w:p>
    <w:bookmarkStart w:id="129" w:name="page130"/>
    <w:bookmarkEnd w:id="129"/>
    <w:p>
      <w:pPr>
        <w:jc w:val="both"/>
        <w:ind w:right="420"/>
        <w:spacing w:after="0" w:line="259" w:lineRule="auto"/>
        <w:rPr>
          <w:sz w:val="20"/>
          <w:szCs w:val="20"/>
          <w:color w:val="auto"/>
        </w:rPr>
      </w:pPr>
      <w:r>
        <w:rPr>
          <w:rFonts w:ascii="Arial" w:cs="Arial" w:eastAsia="Arial" w:hAnsi="Arial"/>
          <w:sz w:val="18"/>
          <w:szCs w:val="18"/>
          <w:color w:val="auto"/>
        </w:rPr>
        <w:t>agreement for a complete statement of its terms and conditions, including the definitions of terms used below. The FF&amp;E intercreditor agreement focuses in particular on the exercise of remedies in respect of the furniture, fixtures, equipment and aircraft financed under the FF&amp;E facility, referred to as the FF&amp;E collateral, and includes the following material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Lien Priorities.</w:t>
      </w:r>
    </w:p>
    <w:p>
      <w:pPr>
        <w:spacing w:after="0" w:line="225"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30" w:lineRule="exact"/>
        <w:rPr>
          <w:sz w:val="20"/>
          <w:szCs w:val="20"/>
          <w:color w:val="auto"/>
        </w:rPr>
      </w:pPr>
    </w:p>
    <w:p>
      <w:pPr>
        <w:ind w:left="1080" w:hanging="532"/>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FF&amp;E lenders will have a senior, first priority security interest in the FF&amp;E collateral, including the aircraft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a second priority security interest in the FF&amp;E collateral excluding the aircraft collateral;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second mortgage note holders will have a third priority security interest in the FF&amp;E collateral excluding the aircraft collateral;</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lenders under the credit facilities and the second mortgage note holders shall have a first and second priority liens, respectively, upon all other assets pledged by us and the restricted entities;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FF&amp;E lenders shall not have a lien upon any of our assets or the assets of the restricted entities other than the FF&amp;E collateral.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each party has agreed not to challenge the other's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Standstill Period.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before completion of Le Rêve, so long as all interest, fees, indemnities and expenses of the FF&amp;E lenders have been paid current.</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Subject to certain limitations, exceptions and exclusions, 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Vegas, Wynn Capital and the FF&amp;E collateral if a bankruptcy proceeding has been initiated by or against against Wynn Las Vegas, Wynn Capital or the guarantors.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Payoff Of Debt Allocable To FF&amp;E Collateral, And Release Of FF&amp;E lenders Lien On FF&amp;E Collateral.</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Relating To Junior Liens On The FF&amp;E Collateral.</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FF&amp;E intercreditor agreement includes the following provisions which apply to the liens of the lenders under the credit facilities and the second mortgage note holders on the FF&amp;E collateral:</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Until and unless the indebtedness under the FF&amp;E facility (other than the portion thereof allocable to the aircraft collateral) is paid in full as described under the subheading </w:t>
      </w:r>
      <w:r>
        <w:rPr>
          <w:rFonts w:ascii="Arial" w:cs="Arial" w:eastAsia="Arial" w:hAnsi="Arial"/>
          <w:sz w:val="18"/>
          <w:szCs w:val="18"/>
          <w:i w:val="1"/>
          <w:iCs w:val="1"/>
          <w:color w:val="auto"/>
        </w:rPr>
        <w:t>Payoff Of Debt Allocable To FF&amp;E Collateral, And Release Of FF&amp;E lenders Lien On FF&amp;E Collateral</w:t>
      </w:r>
      <w:r>
        <w:rPr>
          <w:rFonts w:ascii="Arial" w:cs="Arial" w:eastAsia="Arial" w:hAnsi="Arial"/>
          <w:sz w:val="18"/>
          <w:szCs w:val="18"/>
          <w:color w:val="auto"/>
        </w:rPr>
        <w:t xml:space="preserve">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pacing w:after="0" w:line="208" w:lineRule="exact"/>
        <w:rPr>
          <w:sz w:val="20"/>
          <w:szCs w:val="20"/>
          <w:color w:val="auto"/>
        </w:rPr>
      </w:pPr>
    </w:p>
    <w:p>
      <w:pPr>
        <w:ind w:left="1080" w:hanging="532"/>
        <w:spacing w:after="0"/>
        <w:tabs>
          <w:tab w:leader="none" w:pos="10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to enforce remedies with respect to the FF&amp;E collateral if the default occurs when there is no outstanding indebtedness under the FF&amp;E facility;</w:t>
      </w:r>
    </w:p>
    <w:p>
      <w:pPr>
        <w:spacing w:after="0" w:line="248" w:lineRule="exact"/>
        <w:rPr>
          <w:rFonts w:ascii="Arial" w:cs="Arial" w:eastAsia="Arial" w:hAnsi="Arial"/>
          <w:sz w:val="16"/>
          <w:szCs w:val="16"/>
          <w:color w:val="auto"/>
        </w:rPr>
      </w:pPr>
    </w:p>
    <w:p>
      <w:pPr>
        <w:spacing w:after="0"/>
        <w:tabs>
          <w:tab w:leader="none" w:pos="0" w:val="left"/>
        </w:tabs>
        <w:numPr>
          <w:ilvl w:val="0"/>
          <w:numId w:val="269"/>
        </w:numPr>
        <w:rPr>
          <w:rFonts w:ascii="Arial" w:cs="Arial" w:eastAsia="Arial" w:hAnsi="Arial"/>
          <w:sz w:val="18"/>
          <w:szCs w:val="18"/>
          <w:color w:val="auto"/>
        </w:rPr>
      </w:pPr>
    </w:p>
    <w:p>
      <w:pPr>
        <w:sectPr>
          <w:pgSz w:w="11900" w:h="16838" w:orient="portrait"/>
          <w:cols w:equalWidth="0" w:num="1">
            <w:col w:w="11380"/>
          </w:cols>
          <w:pgMar w:left="240" w:top="131" w:right="279" w:bottom="0" w:gutter="0" w:footer="0" w:header="0"/>
        </w:sectPr>
      </w:pPr>
    </w:p>
    <w:bookmarkStart w:id="130" w:name="page131"/>
    <w:bookmarkEnd w:id="130"/>
    <w:p>
      <w:pPr>
        <w:spacing w:after="0" w:line="101" w:lineRule="exact"/>
        <w:rPr>
          <w:sz w:val="20"/>
          <w:szCs w:val="20"/>
          <w:color w:val="auto"/>
        </w:rPr>
      </w:pPr>
    </w:p>
    <w:p>
      <w:pPr>
        <w:jc w:val="both"/>
        <w:ind w:left="1080" w:right="40"/>
        <w:spacing w:after="0" w:line="259" w:lineRule="auto"/>
        <w:rPr>
          <w:sz w:val="20"/>
          <w:szCs w:val="20"/>
          <w:color w:val="auto"/>
        </w:rPr>
      </w:pPr>
      <w:r>
        <w:rPr>
          <w:rFonts w:ascii="Arial" w:cs="Arial" w:eastAsia="Arial" w:hAnsi="Arial"/>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2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purchase or pay off the outstanding FF&amp;E indebtedness as provided under the subheading Payoff Of Debt Allocable To FF&amp;E Collateral, And Release Of FF&amp;E lenders Lien On FF&amp;E Collateral above;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accelerate the indebtedness under the credit facilities or second mortgage notes, as the case may be;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credit facilities or second mortgage notes, as the case may be.</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99" w:lineRule="exact"/>
        <w:rPr>
          <w:sz w:val="20"/>
          <w:szCs w:val="20"/>
          <w:color w:val="auto"/>
        </w:rPr>
      </w:pPr>
    </w:p>
    <w:p>
      <w:pPr>
        <w:ind w:left="1080" w:right="80" w:hanging="532"/>
        <w:spacing w:after="0" w:line="268"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21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opposing or otherwise contesting any motion of the FF&amp;E lenders for relief from the automatic stay or any injunction against foreclosure or enforcement of any liens of the FF&amp;E lenders;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opposing or otherwise contesting any exercise by the FF&amp;E lenders of the right to credit bid any portion of the FF&amp;E facility debt at any sale in foreclosure of any of the liens of the FF&amp;E lenders.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Under the FF&amp;E intercreditor agreement, each of the bank agent and the trustee waive each of the following with respect to their junior liens on the FF&amp;E collateral:</w:t>
      </w:r>
    </w:p>
    <w:p>
      <w:pPr>
        <w:spacing w:after="0" w:line="199" w:lineRule="exact"/>
        <w:rPr>
          <w:sz w:val="20"/>
          <w:szCs w:val="20"/>
          <w:color w:val="auto"/>
        </w:rPr>
      </w:pPr>
    </w:p>
    <w:p>
      <w:pPr>
        <w:ind w:left="1080" w:hanging="532"/>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 change in the manner, place or terms of any payment under the FF&amp;E facility, or an extension of the date on which any such payment is due;</w:t>
      </w:r>
    </w:p>
    <w:p>
      <w:pPr>
        <w:spacing w:after="0" w:line="212"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 increase or reduction in the available credit under the FF&amp;E facility or the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exercise of rights or remedies by the FF&amp;E lenders under any FF&amp;E security documents.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80" w:right="80" w:hanging="532"/>
        <w:spacing w:after="0" w:line="332" w:lineRule="auto"/>
        <w:tabs>
          <w:tab w:leader="none" w:pos="10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39"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 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with Foreclosure Purchaser.</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 proceeding and the expiration of certain specified time periods, pending such removal by 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w:t>
      </w:r>
    </w:p>
    <w:p>
      <w:pPr>
        <w:sectPr>
          <w:pgSz w:w="11900" w:h="16940" w:orient="portrait"/>
          <w:cols w:equalWidth="0" w:num="1">
            <w:col w:w="11400"/>
          </w:cols>
          <w:pgMar w:left="240" w:top="131" w:right="259" w:bottom="0" w:gutter="0" w:footer="0" w:header="0"/>
        </w:sectPr>
      </w:pPr>
    </w:p>
    <w:bookmarkStart w:id="131" w:name="page132"/>
    <w:bookmarkEnd w:id="131"/>
    <w:p>
      <w:pPr>
        <w:spacing w:after="0" w:line="13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FF&amp;E intercreditor agreement provides that such actions are not intended to prevent the lenders under our credit facilities or the second mortgage note holders from foreclosing on their collateral, other than the FF&amp;E collateral.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94"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we are not permitted to use the proceeds for rebuilding (whether before or after completion), then the FF&amp;E intercreditor agreement provides that the proceeds shall be allocated between the FF&amp;E collateral and the other collateral securing the credit facilities and the second mortgage notes as follows:</w:t>
      </w:r>
    </w:p>
    <w:p>
      <w:pPr>
        <w:spacing w:after="0" w:line="153" w:lineRule="exact"/>
        <w:rPr>
          <w:sz w:val="20"/>
          <w:szCs w:val="20"/>
          <w:color w:val="auto"/>
        </w:rPr>
      </w:pPr>
    </w:p>
    <w:p>
      <w:pPr>
        <w:ind w:left="1080" w:right="540" w:hanging="532"/>
        <w:spacing w:after="0" w:line="259"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221"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amounts so allocated shall be applied to reduce the indebtedness secured by such collateral, in order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Remove FF&amp;E Collateral.</w:t>
      </w:r>
    </w:p>
    <w:p>
      <w:pPr>
        <w:spacing w:after="0" w:line="22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53" w:lineRule="exact"/>
        <w:rPr>
          <w:sz w:val="20"/>
          <w:szCs w:val="20"/>
          <w:color w:val="auto"/>
        </w:rPr>
      </w:pPr>
    </w:p>
    <w:p>
      <w:pPr>
        <w:ind w:left="1080" w:hanging="532"/>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enter the project's real property, inspect and/or remove the FF&amp;E collateral and all records relating thereto;</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limited right to store the FF&amp;E collateral on site under certain circumstances and subject to certain exceptions.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 agent or the trustee shall have any responsibility to advise any of the others (or the members of the others' lending groups) of such information or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Wynn Capital will enter into a disbursement agreement with Deutsche Bank Trust Company Americas, as the bank agent,</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 as the trustee, [ ], as the FF&amp;E agent, and Deutsche Bank Trust Company Americas, as the disbursement agent. The following summary of the material provisions of the disbursement agreement is not meant to be complete and you should review the disbursement agreement for a complete statement of its terms and conditions, including the definitions of terms used below.</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agent to make disbursements under the credit facilities and the FF&amp;E facility and the obligation of the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in the budget.</w:t>
      </w:r>
    </w:p>
    <w:p>
      <w:pPr>
        <w:spacing w:after="0" w:line="186"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We expect to commence construction of Le Rêve in September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w:t>
      </w:r>
    </w:p>
    <w:p>
      <w:pPr>
        <w:sectPr>
          <w:pgSz w:w="11900" w:h="16977" w:orient="portrait"/>
          <w:cols w:equalWidth="0" w:num="1">
            <w:col w:w="11420"/>
          </w:cols>
          <w:pgMar w:left="240" w:top="131" w:right="239" w:bottom="0" w:gutter="0" w:footer="0" w:header="0"/>
        </w:sectPr>
      </w:pPr>
    </w:p>
    <w:bookmarkStart w:id="132" w:name="page133"/>
    <w:bookmarkEnd w:id="132"/>
    <w:p>
      <w:pPr>
        <w:ind w:right="20"/>
        <w:spacing w:after="0" w:line="256" w:lineRule="auto"/>
        <w:rPr>
          <w:sz w:val="20"/>
          <w:szCs w:val="20"/>
          <w:color w:val="auto"/>
        </w:rPr>
      </w:pPr>
      <w:r>
        <w:rPr>
          <w:rFonts w:ascii="Arial" w:cs="Arial" w:eastAsia="Arial" w:hAnsi="Arial"/>
          <w:sz w:val="18"/>
          <w:szCs w:val="18"/>
          <w:color w:val="auto"/>
        </w:rPr>
        <w:t>offering of common stock, and our other available funds, to commence construction of Le Rêve. Pursuant to the disbursement agreement,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Order</w:t>
      </w:r>
    </w:p>
    <w:p>
      <w:pPr>
        <w:spacing w:after="0" w:line="225" w:lineRule="exact"/>
        <w:rPr>
          <w:sz w:val="20"/>
          <w:szCs w:val="20"/>
          <w:color w:val="auto"/>
        </w:rPr>
      </w:pPr>
    </w:p>
    <w:p>
      <w:pPr>
        <w:ind w:right="920" w:firstLine="348"/>
        <w:spacing w:after="0" w:line="332" w:lineRule="auto"/>
        <w:rPr>
          <w:sz w:val="20"/>
          <w:szCs w:val="20"/>
          <w:color w:val="auto"/>
        </w:rPr>
      </w:pPr>
      <w:r>
        <w:rPr>
          <w:rFonts w:ascii="Arial" w:cs="Arial" w:eastAsia="Arial" w:hAnsi="Arial"/>
          <w:sz w:val="16"/>
          <w:szCs w:val="16"/>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53" w:lineRule="exact"/>
        <w:rPr>
          <w:sz w:val="20"/>
          <w:szCs w:val="20"/>
          <w:color w:val="auto"/>
        </w:rPr>
      </w:pPr>
    </w:p>
    <w:p>
      <w:pPr>
        <w:ind w:left="1080" w:hanging="532"/>
        <w:spacing w:after="0"/>
        <w:tabs>
          <w:tab w:leader="none" w:pos="10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first, by using a substantial portion of the cash equity contribution made to Wynn Las Vegas by Wynn Resorts, until exhaustion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second, by using the proceeds from the issuance of the second mortgage notes, until exhaustion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third, by using the proceeds of the credit facilities and the FF&amp;E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Immediately prior to completion of the project, the agent under our FF&amp;E facility shall obtain an appraisal of the fair market value of the FF&amp;E collateral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Accounts</w:t>
      </w:r>
    </w:p>
    <w:p>
      <w:pPr>
        <w:spacing w:after="0" w:line="225"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accounts will include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Company's Funds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shall be deposited into the company's funds account:</w:t>
      </w:r>
    </w:p>
    <w:p>
      <w:pPr>
        <w:spacing w:after="0" w:line="239" w:lineRule="exact"/>
        <w:rPr>
          <w:sz w:val="20"/>
          <w:szCs w:val="20"/>
          <w:color w:val="auto"/>
        </w:rPr>
      </w:pPr>
    </w:p>
    <w:p>
      <w:pPr>
        <w:ind w:left="1080" w:hanging="532"/>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cash equity contributions required to be made to Wynn Las Vegas from the equity offering of Wynn Resorts,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funds transferred from the operating account, the completion guarantee deposit account and the liquidity reserve account pursuant to the terms of the disbursement agreement,</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all amounts received by Wynn Las Vegas or Wynn Capital prior to the final completion date in respect of liquidated or other damages under the project documents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insurance policies, amounts paid to Wynn Las Vegas under the Austi construction guaranty and any payment and performance bond;</w:t>
      </w:r>
    </w:p>
    <w:p>
      <w:pPr>
        <w:spacing w:after="0" w:line="239" w:lineRule="exact"/>
        <w:rPr>
          <w:sz w:val="20"/>
          <w:szCs w:val="20"/>
          <w:color w:val="auto"/>
        </w:rPr>
      </w:pPr>
    </w:p>
    <w:p>
      <w:pPr>
        <w:ind w:left="1080" w:right="400" w:hanging="532"/>
        <w:spacing w:after="0" w:line="256"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loss proceeds received by Wynn Las Vegas, Wynn Capital,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24"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other funds or amounts received by Wynn Las Vegas or Wynn Capital and not otherwise provided for in the disbursement agreement, in each case, prior to final completion of Le Rêve.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620" w:hanging="532"/>
        <w:spacing w:after="0" w:line="268"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be transferred by the disbursement agent to disbursement account for application to pay project costs in accordance with the disbursement agreement,</w:t>
      </w:r>
    </w:p>
    <w:p>
      <w:pPr>
        <w:sectPr>
          <w:pgSz w:w="11900" w:h="16838" w:orient="portrait"/>
          <w:cols w:equalWidth="0" w:num="1">
            <w:col w:w="11400"/>
          </w:cols>
          <w:pgMar w:left="240" w:top="131" w:right="259" w:bottom="0" w:gutter="0" w:footer="0" w:header="0"/>
        </w:sectPr>
      </w:pPr>
    </w:p>
    <w:bookmarkStart w:id="133" w:name="page134"/>
    <w:bookmarkEnd w:id="133"/>
    <w:p>
      <w:pPr>
        <w:spacing w:after="0" w:line="87" w:lineRule="exact"/>
        <w:rPr>
          <w:sz w:val="20"/>
          <w:szCs w:val="20"/>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applied to prepayment of the obligations as set forth in the disbursement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 Proceeds Account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Disbursement Account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 account. Subject to certain exceptions, amounts on deposit in the disbursement account shall be applied to pay project costs and/or transferred by the disbursement agent to the cash management account or the interest payment account.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Management Account</w:t>
      </w:r>
    </w:p>
    <w:p>
      <w:pPr>
        <w:spacing w:after="0" w:line="225"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On the closing date, an agreed upon amount shall be deposited into the cash management account. Subject to certain exceptions, Wynn Las Vegas and Wynn Capital shall be permitted from time to time to draw checks on and otherwise withdraw amounts on deposit in the cash management account to pay costs set forth in the budget that are then due and payable. Wynn Las Vegas and Wynn Capital shall be permitted from time to time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and the agent under our credit facilities.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Payment Account</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Account</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There shall be deposited in the operating account all revenues received by Wynn Las Vegas or Wynn Capital as a consequence of sales of goods or rendering of services in the ordinary course of business prior to the completion date. In addition, there shall be deposited in the operating account funds transferred from the company's funds account to pay operating costs prior the completion date. Subject to the disbursement agent's rights upon the occurrence of an event of default, Wynn Las Vegas and Wynn Capital shall be permitted from time to time to draw checks on and otherwise withdraw amounts on deposit in the operating account to pay due and payable operating costs. Until the opening date, if the amounts on deposit in the operating account exceed $100,000, such excess shall be withdrawn and deposited in the company's funds account. The foregoing limit on amounts on deposit in the operating account shall be increased upon opening to an amount mutually agreed upon by Wynn Capital, Wynn Las Vegas and the agent under our credit facilities.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no amounts are outstanding under our credit facilities, the holders of the second mortgage notes, will be permitted to exercise remedies against such sums and apply such sums and apply such sums against the obligations under their respective documents. Upon the completion and opening of Le Rêve, any amounts remaining in this account will be released to Wynn Resorts.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w:t>
      </w:r>
    </w:p>
    <w:p>
      <w:pPr>
        <w:sectPr>
          <w:pgSz w:w="11900" w:h="16925" w:orient="portrait"/>
          <w:cols w:equalWidth="0" w:num="1">
            <w:col w:w="11420"/>
          </w:cols>
          <w:pgMar w:left="240" w:top="361" w:right="239" w:bottom="0" w:gutter="0" w:footer="0" w:header="0"/>
        </w:sectPr>
      </w:pPr>
    </w:p>
    <w:bookmarkStart w:id="134" w:name="page135"/>
    <w:bookmarkEnd w:id="134"/>
    <w:p>
      <w:pPr>
        <w:spacing w:after="0" w:line="290" w:lineRule="auto"/>
        <w:rPr>
          <w:sz w:val="20"/>
          <w:szCs w:val="20"/>
          <w:color w:val="auto"/>
        </w:rPr>
      </w:pPr>
      <w:r>
        <w:rPr>
          <w:rFonts w:ascii="Arial" w:cs="Arial" w:eastAsia="Arial" w:hAnsi="Arial"/>
          <w:sz w:val="16"/>
          <w:szCs w:val="16"/>
          <w:color w:val="auto"/>
        </w:rPr>
        <w:t>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At such time as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Conditions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800" w:hanging="532"/>
        <w:spacing w:after="0" w:line="268" w:lineRule="auto"/>
        <w:tabs>
          <w:tab w:leader="none" w:pos="16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680" w:hanging="532"/>
        <w:spacing w:after="0" w:line="268" w:lineRule="auto"/>
        <w:tabs>
          <w:tab w:leader="none" w:pos="16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August 31, 2005, subject to the limited permitted extensions due to force majeure events,</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the use of funds in accordance with the budgeted amounts, as adjusted from time to time in accordance with the disbursement agreement,</w:t>
      </w:r>
    </w:p>
    <w:p>
      <w:pPr>
        <w:spacing w:after="0" w:line="261"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sufficiency of remaining funds (net of the completion guaranty and liquidity reserve and required contingency amounts) to complete Le Rêve, and</w:t>
      </w:r>
    </w:p>
    <w:p>
      <w:pPr>
        <w:spacing w:after="0" w:line="199"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delivery by the construction consultant and the contractors and subcontractors of certificates corroborating various matters set forth in our disbursement request and certificate;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our receipt of the governmental approvals then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212"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our major stockholders is unable to qualify for such license;</w:t>
      </w:r>
    </w:p>
    <w:p>
      <w:pPr>
        <w:spacing w:after="0" w:line="207" w:lineRule="exact"/>
        <w:rPr>
          <w:rFonts w:ascii="Arial" w:cs="Arial" w:eastAsia="Arial" w:hAnsi="Arial"/>
          <w:sz w:val="18"/>
          <w:szCs w:val="18"/>
          <w:color w:val="auto"/>
        </w:rPr>
      </w:pPr>
    </w:p>
    <w:p>
      <w:pPr>
        <w:jc w:val="both"/>
        <w:ind w:left="1080" w:right="180" w:hanging="532"/>
        <w:spacing w:after="0" w:line="370" w:lineRule="auto"/>
        <w:tabs>
          <w:tab w:leader="none" w:pos="108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we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129" w:lineRule="exact"/>
        <w:rPr>
          <w:rFonts w:ascii="Arial" w:cs="Arial" w:eastAsia="Arial" w:hAnsi="Arial"/>
          <w:sz w:val="15"/>
          <w:szCs w:val="15"/>
          <w:color w:val="auto"/>
        </w:rPr>
      </w:pPr>
    </w:p>
    <w:p>
      <w:pPr>
        <w:jc w:val="both"/>
        <w:ind w:left="1080" w:right="40" w:hanging="532"/>
        <w:spacing w:after="0" w:line="259" w:lineRule="auto"/>
        <w:tabs>
          <w:tab w:leader="none" w:pos="10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subcontracts awarded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From the initial funding of the second mortgage notes through exhaustion of the amounts on deposit in the second mortgage notes proceeds account,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the bank agent (acting under the credit facilities agreement) shall be entitled to waive the conditions precedent to advances under the disbursement agreement with respect to advances under the credit facilities and from the company's funds account without the</w:t>
      </w:r>
    </w:p>
    <w:p>
      <w:pPr>
        <w:sectPr>
          <w:pgSz w:w="11900" w:h="16838" w:orient="portrait"/>
          <w:cols w:equalWidth="0" w:num="1">
            <w:col w:w="11420"/>
          </w:cols>
          <w:pgMar w:left="240" w:top="131" w:right="239" w:bottom="0" w:gutter="0" w:footer="0" w:header="0"/>
        </w:sectPr>
      </w:pPr>
    </w:p>
    <w:bookmarkStart w:id="135" w:name="page136"/>
    <w:bookmarkEnd w:id="135"/>
    <w:p>
      <w:pPr>
        <w:spacing w:after="0" w:line="5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trustee's or the FF&amp;E agent's consent. The FF&amp;E agent (acting under the FF&amp;E facility agreement) shall at all times be entitled to waive the conditions precedent to advances under the disbursement agreement with respect to advances under the FF&amp;E facility without the bank agent's or the trustee's consent.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to Construction Budget and Schedule</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Notwithstanding the foregoing, increases to any line item category as a result of changes in the scope of the project shall be funded only by additional equity contributed to us by our stockholders.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disbursement agreement contains various affirmative covenants that we are obligated to comply with. Such covenants include the following:</w:t>
      </w:r>
    </w:p>
    <w:p>
      <w:pPr>
        <w:spacing w:after="0" w:line="262" w:lineRule="exact"/>
        <w:rPr>
          <w:sz w:val="20"/>
          <w:szCs w:val="20"/>
          <w:color w:val="auto"/>
        </w:rPr>
      </w:pPr>
    </w:p>
    <w:p>
      <w:pPr>
        <w:ind w:left="108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budget and the disbursement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repay all indebtedness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maintain our existence and engage only in the business permitted by the disbursement agreement;</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permit the mortgage note trustee to inspect the project and to examine our books and records;</w:t>
      </w:r>
    </w:p>
    <w:p>
      <w:pPr>
        <w:spacing w:after="0" w:line="238"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cause to be deposited into the company's funds account all additional required equity as and when required;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cause certain unincorporated materials to be stored and identified in accordance with specific requirements;</w:t>
      </w:r>
    </w:p>
    <w:p>
      <w:pPr>
        <w:spacing w:after="0" w:line="25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to cause each contractor to cause its subcontractors working under a subcontract with a value more than the lesser of 5% of the total construction price and $25.0 million in aggregate fees to provide a payment and performance bond to secure its obligations under its subcontract;</w:t>
      </w:r>
    </w:p>
    <w:p>
      <w:pPr>
        <w:spacing w:after="0" w:line="129" w:lineRule="exact"/>
        <w:rPr>
          <w:rFonts w:ascii="Arial" w:cs="Arial" w:eastAsia="Arial" w:hAnsi="Arial"/>
          <w:sz w:val="15"/>
          <w:szCs w:val="15"/>
          <w:color w:val="auto"/>
        </w:rPr>
      </w:pPr>
    </w:p>
    <w:p>
      <w:pPr>
        <w:ind w:left="1080" w:right="160" w:hanging="532"/>
        <w:spacing w:after="0" w:line="268"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subcontractors, a retainage equal to 10% of each payment made to that person;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maintain and preserve the liens of the security documents and the priority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restricted entities' ability to:</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93" w:orient="portrait"/>
          <w:cols w:equalWidth="0" w:num="1">
            <w:col w:w="11420"/>
          </w:cols>
          <w:pgMar w:left="240" w:top="131" w:right="239" w:bottom="0" w:gutter="0" w:footer="0" w:header="0"/>
        </w:sectPr>
      </w:pPr>
    </w:p>
    <w:bookmarkStart w:id="136" w:name="page137"/>
    <w:bookmarkEnd w:id="136"/>
    <w:p>
      <w:pPr>
        <w:spacing w:after="0" w:line="81" w:lineRule="exact"/>
        <w:rPr>
          <w:sz w:val="20"/>
          <w:szCs w:val="20"/>
          <w:color w:val="auto"/>
        </w:rPr>
      </w:pPr>
    </w:p>
    <w:p>
      <w:pPr>
        <w:ind w:left="1080" w:right="320"/>
        <w:spacing w:after="0" w:line="268" w:lineRule="auto"/>
        <w:rPr>
          <w:sz w:val="20"/>
          <w:szCs w:val="20"/>
          <w:color w:val="auto"/>
        </w:rPr>
      </w:pPr>
      <w:r>
        <w:rPr>
          <w:rFonts w:ascii="Arial" w:cs="Arial" w:eastAsia="Arial" w:hAnsi="Arial"/>
          <w:sz w:val="18"/>
          <w:szCs w:val="18"/>
          <w:color w:val="auto"/>
        </w:rPr>
        <w:t>waive or terminate any material right under the construction contract guaranty, other material project documents or any required governmental approval;</w:t>
      </w:r>
    </w:p>
    <w:p>
      <w:pPr>
        <w:spacing w:after="0" w:line="199" w:lineRule="exact"/>
        <w:rPr>
          <w:sz w:val="20"/>
          <w:szCs w:val="20"/>
          <w:color w:val="auto"/>
        </w:rPr>
      </w:pPr>
    </w:p>
    <w:p>
      <w:pPr>
        <w:ind w:left="1080" w:right="40" w:hanging="532"/>
        <w:spacing w:after="0" w:line="306"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87"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 or</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release any hazardous substance in violation of any legal requirement or governmental approval if it could reasonably be expected to have a material adverse effect.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and after the first funding under the credit facilities, the bank agent, without the consent of the trustee or the lenders under our FF&amp;E facility, shall have the right to agree with Wynn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Las Vegas and Wynn Capital to reduce the scope of the project, so long as after giving effect to the amendment:</w:t>
      </w:r>
    </w:p>
    <w:p>
      <w:pPr>
        <w:spacing w:after="0" w:line="239" w:lineRule="exact"/>
        <w:rPr>
          <w:sz w:val="20"/>
          <w:szCs w:val="20"/>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scope will continue to satisfy certain minimum project standards set forth in the indenture and the FF&amp;E facility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project will remain capable of being completed at or before the outside completion deadline;</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remaining funds (net of the completion guaranty and liquidity reserve and a required contingency amount) are sufficient to complete the project on or before the outside completion deadline;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no other default or event of default exists under the disbursement agreement.</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Exercise of Remedies on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provide that each of the following constitutes an "event of default" thereunder:</w:t>
      </w:r>
    </w:p>
    <w:p>
      <w:pPr>
        <w:spacing w:after="0" w:line="252" w:lineRule="exact"/>
        <w:rPr>
          <w:sz w:val="20"/>
          <w:szCs w:val="20"/>
          <w:color w:val="auto"/>
        </w:rPr>
      </w:pPr>
    </w:p>
    <w:p>
      <w:pPr>
        <w:ind w:left="1080" w:hanging="532"/>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credit facilities, the FF&amp;E facility or the indenture;</w:t>
      </w:r>
    </w:p>
    <w:p>
      <w:pPr>
        <w:spacing w:after="0" w:line="238"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failure, from time to time, of remaining funds (net of the completion guarantee and liquidity reserve, and a required contingency amount) to be sufficient to complete the project on or before the outside completion deadline, if such failure has not been remedied within 30 days;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Wynn Las Vegas or Wynn Capital's failure, for 60 consecutive days, to submit an advance request for disbursement of funds which is approved;</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failure of any representation or warranty made by us in any operative agreement to have been correct when made or deemed made in any material respect;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default by Wynn Las Vegas or Wynn Capital in its compliance with any affirmative or negative covenant contained in the disbursement agreement, subject to certain cure periods not to exceed 30 days;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default by us or any other party thereto of any construction contract, subject to certain cure and substitution rights by Wynn Las Vegas and Wynn Capital;</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default by us or any other party thereto of any project document (other than the construction contracts) the effect of which reasonably could be expected to have a material adverse effect, subject to certain cure and substitution rights by Wynn Las Vegas and Wynn Capital;</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ectPr>
          <w:pgSz w:w="11900" w:h="16919" w:orient="portrait"/>
          <w:cols w:equalWidth="0" w:num="1">
            <w:col w:w="11420"/>
          </w:cols>
          <w:pgMar w:left="240" w:top="131" w:right="239" w:bottom="0" w:gutter="0" w:footer="0" w:header="0"/>
        </w:sectPr>
      </w:pPr>
    </w:p>
    <w:bookmarkStart w:id="137" w:name="page138"/>
    <w:bookmarkEnd w:id="137"/>
    <w:p>
      <w:pPr>
        <w:ind w:left="1080" w:right="680" w:hanging="532"/>
        <w:spacing w:after="0" w:line="268"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Marnell Corrao construction contract, the Austi construction contract guaranty or certain other material project documents shall have terminated or otherwise become invalid or illegal;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20" w:hanging="532"/>
        <w:spacing w:after="0" w:line="268"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of the other project documents shall have terminated or otherwise become invalid or illegal, subject to certain cure and substitution rights by Wynn Las Vegas and Wynn Capital;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Wynn Las Vegas ceasing to own the Le Rêve site, the improvements thereon or certain easements, subject to certain permitted exceptions;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Wynn Resorts ceasing to own the golf course parcel, the improvements thereon or certain easements, subject to certain permitted exceptions;</w:t>
      </w:r>
    </w:p>
    <w:p>
      <w:pPr>
        <w:spacing w:after="0" w:line="275"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Valvino ceasing to own the 20 acre parcel next to Le Rêve, the improvements thereon or certain easements, subject to certain permitted exceptions;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Desert Inn Water ceasing to own the water rights in connection with the Le Rêve site, the improvements thereon or certain easements;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Wynn Las Vegas or Wynn Capital abandoning the project or otherwise ceasing to pursue the operations of the project in accordance with standard industry practice or selling or disposing of its interest therein;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gaming license necessary for the ownership, financing or operation of the project being modified, revoked or cancelled;</w:t>
      </w:r>
    </w:p>
    <w:p>
      <w:pPr>
        <w:spacing w:after="0" w:line="238"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any other governmental approvals necessary for the ownership, construction, maintenance, financing or operation of the project being modified, revoked or cancelled and the effect of such modification, revocation or cancellation is reasonably likely to have a material adverse effect;</w:t>
      </w:r>
    </w:p>
    <w:p>
      <w:pPr>
        <w:spacing w:after="0" w:line="129" w:lineRule="exact"/>
        <w:rPr>
          <w:rFonts w:ascii="Arial" w:cs="Arial" w:eastAsia="Arial" w:hAnsi="Arial"/>
          <w:sz w:val="15"/>
          <w:szCs w:val="15"/>
          <w:color w:val="auto"/>
        </w:rPr>
      </w:pPr>
    </w:p>
    <w:p>
      <w:pPr>
        <w:ind w:left="1080" w:right="680" w:hanging="532"/>
        <w:spacing w:after="0" w:line="268"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construction consultant shall reasonably determine that the completion date is likely to occur no earlier than 75 days after the outside completion deadline;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failure to achieve the completion date on or before the outside completion deadline.</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Upon the occurrence of an event of default under the disbursement agreement, our lenders will be permitted to exercise remedies, including one or more of the following:</w:t>
      </w:r>
    </w:p>
    <w:p>
      <w:pPr>
        <w:spacing w:after="0" w:line="199" w:lineRule="exact"/>
        <w:rPr>
          <w:sz w:val="20"/>
          <w:szCs w:val="20"/>
          <w:color w:val="auto"/>
        </w:rPr>
      </w:pPr>
    </w:p>
    <w:p>
      <w:pPr>
        <w:ind w:left="1080" w:hanging="532"/>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at the offering price. Those consequences will differ depending on whether the investor is a U.S. Holder or a Non-U.S. Holder.</w:t>
      </w:r>
    </w:p>
    <w:p>
      <w:pPr>
        <w:spacing w:after="0" w:line="194"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 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"Non-U.S. Holder" is a beneficial owner of a second mortgage note that is not a U.S. 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If a partnership (including for this purpose any entity treated as a partnership for United States federal income tax purposes) is a beneficial owner of the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second mortgage notes, the treatment of a partner in the partnership will generally depend upon the status of the partner and upon the activities of the partnership.</w:t>
      </w:r>
    </w:p>
    <w:p>
      <w:pPr>
        <w:sectPr>
          <w:pgSz w:w="11900" w:h="16838" w:orient="portrait"/>
          <w:cols w:equalWidth="0" w:num="1">
            <w:col w:w="11360"/>
          </w:cols>
          <w:pgMar w:left="240" w:top="361" w:right="299" w:bottom="0" w:gutter="0" w:footer="0" w:header="0"/>
        </w:sectPr>
      </w:pPr>
    </w:p>
    <w:bookmarkStart w:id="138" w:name="page139"/>
    <w:bookmarkEnd w:id="138"/>
    <w:p>
      <w:pPr>
        <w:ind w:right="160"/>
        <w:spacing w:after="0" w:line="268" w:lineRule="auto"/>
        <w:rPr>
          <w:sz w:val="20"/>
          <w:szCs w:val="20"/>
          <w:color w:val="auto"/>
        </w:rPr>
      </w:pPr>
      <w:r>
        <w:rPr>
          <w:rFonts w:ascii="Arial" w:cs="Arial" w:eastAsia="Arial" w:hAnsi="Arial"/>
          <w:sz w:val="18"/>
          <w:szCs w:val="18"/>
          <w:color w:val="auto"/>
        </w:rPr>
        <w:t>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summary assumes that investors hold second mortgage notes as "capital assets" under the Code and does not discuss special situations, such as those of</w:t>
      </w:r>
    </w:p>
    <w:p>
      <w:pPr>
        <w:spacing w:after="0" w:line="50" w:lineRule="exact"/>
        <w:rPr>
          <w:sz w:val="20"/>
          <w:szCs w:val="20"/>
          <w:color w:val="auto"/>
        </w:rPr>
      </w:pPr>
    </w:p>
    <w:p>
      <w:pPr>
        <w:ind w:right="20" w:firstLine="8"/>
        <w:spacing w:after="0" w:line="287" w:lineRule="auto"/>
        <w:tabs>
          <w:tab w:leader="none" w:pos="24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Sates federal income tax; (2) certain former citizens or former long-term residents of the United States, or (3) persons holding second mortgage notes as part of a hedging or conversion transaction, a straddle, a constructive sale or synthetic securities transactions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6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Payments of Interest on the Second Mortgage Notes</w:t>
      </w:r>
    </w:p>
    <w:p>
      <w:pPr>
        <w:spacing w:after="0" w:line="231"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Interest on the second mortgage notes will be taxable to a U.S. Holder as ordinary income from domestic sources at the time it is paid or accrued in accordance with the U.S. Holder's regular method of accounting for tax purposes.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Optional Redemption on Original Issue Discount</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have determined,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determination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determination is not, however, binding on the Internal Revenue Service, referred to as the IRS, and if the IRS were to successfully challenge this determination, a U.S. Holder might be required to accrue income on its notes in excess of stated interest.</w:t>
      </w:r>
    </w:p>
    <w:p>
      <w:pPr>
        <w:spacing w:after="0" w:line="181" w:lineRule="exact"/>
        <w:rPr>
          <w:sz w:val="20"/>
          <w:szCs w:val="20"/>
          <w:color w:val="auto"/>
        </w:rPr>
      </w:pPr>
    </w:p>
    <w:p>
      <w:pPr>
        <w:ind w:right="180" w:firstLine="348"/>
        <w:spacing w:after="0" w:line="286" w:lineRule="auto"/>
        <w:rPr>
          <w:sz w:val="20"/>
          <w:szCs w:val="20"/>
          <w:color w:val="auto"/>
        </w:rPr>
      </w:pPr>
      <w:r>
        <w:rPr>
          <w:rFonts w:ascii="Arial" w:cs="Arial" w:eastAsia="Arial" w:hAnsi="Arial"/>
          <w:sz w:val="16"/>
          <w:szCs w:val="16"/>
          <w:color w:val="auto"/>
        </w:rPr>
        <w:t>We may redeem up to 35% of the second mortgage notes prior to , 2005 and may redeem the second mortgage notes, in whole or in part, at any time on or after , 2006, at redemption prices specified elsewhere herein plus accrued and unpaid stated interest, if any. The Treasury Regulations contain</w:t>
      </w:r>
    </w:p>
    <w:p>
      <w:pPr>
        <w:ind w:right="40"/>
        <w:spacing w:after="0" w:line="253" w:lineRule="auto"/>
        <w:rPr>
          <w:sz w:val="20"/>
          <w:szCs w:val="20"/>
          <w:color w:val="auto"/>
        </w:rPr>
      </w:pPr>
      <w:r>
        <w:rPr>
          <w:rFonts w:ascii="Arial" w:cs="Arial" w:eastAsia="Arial" w:hAnsi="Arial"/>
          <w:sz w:val="18"/>
          <w:szCs w:val="18"/>
          <w:color w:val="auto"/>
        </w:rPr>
        <w:t>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may wish to consult their own tax advisors regarding the treatment of such contingencies.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Second Mortgage Notes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 received in exchange therefor and (2) the holder's adjusted tax basis in such second mortgage note. Amounts attributable to accrued but unpaid interest on the second mortgage notes will be treated as ordinary interest income. A holder's adjusted tax basis in a second mortgage note is equal to the purchase price paid by such holder increased by the amount of 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market discount previously included in income by such holder with respect to such second mortgage note and decreased by the amount of any amortizable bond premium applied to reduce interest on the second mortgage notes and by any payments received thereon.</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Discount</w:t>
      </w:r>
    </w:p>
    <w:p>
      <w:pPr>
        <w:spacing w:after="0" w:line="231"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 xml:space="preserve">A U.S. Holder receives a "market discount" if he/she purchases a second mortgage note for an amount below the issue price (i.e. the price at which a substantial amount of notes were sold to persons other than bond houses, brokers or similar persons, or organizations acting in the capacity of underwriter, placement agent, or wholesaler) on the date of purchase. Under the market discount rules, subject to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exception, a U.S. Holder is required to treat any</w:t>
      </w:r>
    </w:p>
    <w:p>
      <w:pPr>
        <w:sectPr>
          <w:pgSz w:w="11900" w:h="16838" w:orient="portrait"/>
          <w:cols w:equalWidth="0" w:num="1">
            <w:col w:w="11420"/>
          </w:cols>
          <w:pgMar w:left="240" w:top="131" w:right="239" w:bottom="0" w:gutter="0" w:footer="0" w:header="0"/>
        </w:sectPr>
      </w:pPr>
    </w:p>
    <w:bookmarkStart w:id="139" w:name="page140"/>
    <w:bookmarkEnd w:id="139"/>
    <w:p>
      <w:pPr>
        <w:ind w:right="160"/>
        <w:spacing w:after="0" w:line="294" w:lineRule="auto"/>
        <w:rPr>
          <w:sz w:val="20"/>
          <w:szCs w:val="20"/>
          <w:color w:val="auto"/>
        </w:rPr>
      </w:pPr>
      <w:r>
        <w:rPr>
          <w:rFonts w:ascii="Arial" w:cs="Arial" w:eastAsia="Arial" w:hAnsi="Arial"/>
          <w:sz w:val="16"/>
          <w:szCs w:val="16"/>
          <w:color w:val="auto"/>
        </w:rPr>
        <w:t>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notes.</w:t>
      </w:r>
    </w:p>
    <w:p>
      <w:pPr>
        <w:spacing w:after="0" w:line="170"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Any market discount is considered to accrue ratably during the period from the date of acquisition to the maturity date of the second mortgage note, unless the U.S. Holder elects to accrue such discount on a constant interest rate method. If this election is made, the holder's basis in the second mortgage note will be increased to reflect the amount of income recognized and the rules described above regarding 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Amortizable Bond Premium</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 as applied with respect to each accrual period of the second mortgage note, and allocated ratably to each day within an accrual period. As described above, the notes are subject to call provisions at our option at various times. A U.S. Holder will calculate the amortizable bond premium based on the amount payable at the applicable call date, but only if the use of the call date (in lieu of the stated maturity date) results in a smaller amortizable bond premium for the period ending on the call date. The amount amortized in any year will be treated as a reduction of the U.S. Holder's interest income from the second mortgage note. Bond premium on a second mortgage note held by a U.S. Holder that does not make an election to amortize will decrease the gain or increase the loss otherwise recognized upon disposition of the Note.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election to amortize premium on a constant yield method, once made, applies to all debt obligations held or subsequently acquired by the electing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on or after the first day of the first taxable year to which the election applies and may not be revoked without the consent of the IRS.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 January 1, 2011. Certain U.S. Holders, including all corporations, are not subject to backup withholding and information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The payment to a Non-U.S. Holder of interest on the second mortgage note is not subject to United States federal withholding tax pursuant to the "portfolio interest exception," provided that (i) the Non-U.S. Holder (A) does not actually or constructively own 10% or more of our capital or profits interest and (B) is neither a controlled foreign corporation that is related to us within the meaning of the Code, nor a bank that received the second mortgage notes on an extension of credit made pursuant to a loan agreement entered into in the ordinary course of its trade or business; and (ii) either (A) the beneficial owner of the second mortgage notes certifies to us or the our paying agent, under penalties of perjury, that it is not a U.S. Holder and provides its name and address on Internal Revenue Service Form W-8BEN (or a suitable substitute form) or (B) 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and furnishes the payor with a copy thereof.</w:t>
      </w:r>
    </w:p>
    <w:p>
      <w:pPr>
        <w:spacing w:after="0" w:line="181" w:lineRule="exact"/>
        <w:rPr>
          <w:sz w:val="20"/>
          <w:szCs w:val="20"/>
          <w:color w:val="auto"/>
        </w:rPr>
      </w:pPr>
    </w:p>
    <w:p>
      <w:pPr>
        <w:ind w:right="40" w:firstLine="351"/>
        <w:spacing w:after="0" w:line="303" w:lineRule="auto"/>
        <w:rPr>
          <w:sz w:val="20"/>
          <w:szCs w:val="20"/>
          <w:color w:val="auto"/>
        </w:rPr>
      </w:pPr>
      <w:r>
        <w:rPr>
          <w:rFonts w:ascii="Arial" w:cs="Arial" w:eastAsia="Arial" w:hAnsi="Arial"/>
          <w:sz w:val="15"/>
          <w:szCs w:val="15"/>
          <w:color w:val="auto"/>
        </w:rPr>
        <w:t>If a Non-U.S. Holder cannot satisfy the requirements of the portfolio interest exception described above, payments of interest made to such Non-U.S. Holder will be subject to a 30% withholding tax, unless the beneficial owner of the second mortgage note provides us or our paying agent, as the case may be, with a properly executed (i) Form W-8BEN (or a suitable substitute form) claiming an exemption from or reduction in the rate of withholding pursuant to a tax treaty or</w:t>
      </w:r>
    </w:p>
    <w:p>
      <w:pPr>
        <w:spacing w:after="0" w:line="1" w:lineRule="exact"/>
        <w:rPr>
          <w:sz w:val="20"/>
          <w:szCs w:val="20"/>
          <w:color w:val="auto"/>
        </w:rPr>
      </w:pPr>
    </w:p>
    <w:p>
      <w:pPr>
        <w:ind w:right="380" w:firstLine="8"/>
        <w:spacing w:after="0" w:line="261" w:lineRule="auto"/>
        <w:tabs>
          <w:tab w:leader="none" w:pos="25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an United States permanent establishment, such Non-U.S. Holder, will be subject to United States federal income tax on such interest, including original issue discount.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Notes</w:t>
      </w:r>
    </w:p>
    <w:p>
      <w:pPr>
        <w:spacing w:after="0" w:line="231" w:lineRule="exact"/>
        <w:rPr>
          <w:sz w:val="20"/>
          <w:szCs w:val="20"/>
          <w:color w:val="auto"/>
        </w:rPr>
      </w:pPr>
    </w:p>
    <w:p>
      <w:pPr>
        <w:ind w:right="100" w:firstLine="341"/>
        <w:spacing w:after="0" w:line="370" w:lineRule="auto"/>
        <w:rPr>
          <w:sz w:val="20"/>
          <w:szCs w:val="20"/>
          <w:color w:val="auto"/>
        </w:rPr>
      </w:pPr>
      <w:r>
        <w:rPr>
          <w:rFonts w:ascii="Arial" w:cs="Arial" w:eastAsia="Arial" w:hAnsi="Arial"/>
          <w:sz w:val="15"/>
          <w:szCs w:val="15"/>
          <w:color w:val="auto"/>
        </w:rPr>
        <w:t>A Non-U.S. Holder generally will not be subject to United States federal income tax on gain realized on a sale, exchange, redemption, retirement or other taxable disposition of a second mortgage note unless (1) the gain is effectively connected with the conduct of a trade or business in the United States by the Non-</w:t>
      </w:r>
    </w:p>
    <w:p>
      <w:pPr>
        <w:sectPr>
          <w:pgSz w:w="11900" w:h="16838" w:orient="portrait"/>
          <w:cols w:equalWidth="0" w:num="1">
            <w:col w:w="11420"/>
          </w:cols>
          <w:pgMar w:left="240" w:top="131" w:right="239" w:bottom="0" w:gutter="0" w:footer="0" w:header="0"/>
        </w:sectPr>
      </w:pPr>
    </w:p>
    <w:bookmarkStart w:id="140" w:name="page141"/>
    <w:bookmarkEnd w:id="140"/>
    <w:p>
      <w:pPr>
        <w:spacing w:after="0" w:line="62" w:lineRule="exact"/>
        <w:rPr>
          <w:sz w:val="20"/>
          <w:szCs w:val="20"/>
          <w:color w:val="auto"/>
        </w:rPr>
      </w:pPr>
    </w:p>
    <w:p>
      <w:pPr>
        <w:jc w:val="both"/>
        <w:ind w:right="220"/>
        <w:spacing w:after="0" w:line="332" w:lineRule="auto"/>
        <w:rPr>
          <w:sz w:val="20"/>
          <w:szCs w:val="20"/>
          <w:color w:val="auto"/>
        </w:rPr>
      </w:pPr>
      <w:r>
        <w:rPr>
          <w:rFonts w:ascii="Arial" w:cs="Arial" w:eastAsia="Arial" w:hAnsi="Arial"/>
          <w:sz w:val="16"/>
          <w:szCs w:val="16"/>
          <w:color w:val="auto"/>
        </w:rPr>
        <w:t>U.S. Holder, and, where an income tax treaty applies, attributable to a United States permanent establishment or (2) in the case of a Non-U.S. Holder who is an individual, such holder is present in the United States for 183 days or more in the taxable year of disposition and certain other conditions are met.</w:t>
      </w:r>
    </w:p>
    <w:p>
      <w:pPr>
        <w:spacing w:after="0" w:line="139" w:lineRule="exact"/>
        <w:rPr>
          <w:sz w:val="20"/>
          <w:szCs w:val="20"/>
          <w:color w:val="auto"/>
        </w:rPr>
      </w:pPr>
    </w:p>
    <w:p>
      <w:pPr>
        <w:jc w:val="both"/>
        <w:ind w:right="200" w:firstLine="351"/>
        <w:spacing w:after="0" w:line="323" w:lineRule="auto"/>
        <w:rPr>
          <w:sz w:val="20"/>
          <w:szCs w:val="20"/>
          <w:color w:val="auto"/>
        </w:rPr>
      </w:pPr>
      <w:r>
        <w:rPr>
          <w:rFonts w:ascii="Arial" w:cs="Arial" w:eastAsia="Arial" w:hAnsi="Arial"/>
          <w:sz w:val="15"/>
          <w:szCs w:val="15"/>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or (b) they are excluded under an applicable treaty. The United States federal estate tax generally has been repealed for decedents dying in 2010. Unless extended by new legislation, however, the repeal expires and the United States federal estate tax is reinstated beginning January 1, 2011.</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Arial" w:cs="Arial" w:eastAsia="Arial" w:hAnsi="Arial"/>
          <w:sz w:val="18"/>
          <w:szCs w:val="18"/>
          <w:b w:val="1"/>
          <w:bCs w:val="1"/>
          <w:color w:val="auto"/>
        </w:rPr>
        <w:t>"</w:t>
      </w:r>
      <w:r>
        <w:rPr>
          <w:rFonts w:ascii="Arial" w:cs="Arial" w:eastAsia="Arial" w:hAnsi="Arial"/>
          <w:sz w:val="18"/>
          <w:szCs w:val="18"/>
          <w:color w:val="auto"/>
        </w:rPr>
        <w:t>United States Federal Income Tax Considerations—United States Federal Income Taxation of Non-U.S. Holders—Payments of Interest."</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payment of proceeds from the disposition of a second mortgage note effected by or through a United States office of a broker is also subject to both backup withholding and information reporting unless a Non-U.S. Holder provides the payor with such Non-U.S.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 records that the holder is a Non-U.S. Holder and certain other conditions are met, or the exemption is otherwise established.</w:t>
      </w:r>
    </w:p>
    <w:p>
      <w:pPr>
        <w:spacing w:after="0" w:line="17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60" w:firstLine="351"/>
        <w:spacing w:after="0" w:line="262" w:lineRule="auto"/>
        <w:rPr>
          <w:sz w:val="20"/>
          <w:szCs w:val="20"/>
          <w:color w:val="auto"/>
        </w:rPr>
      </w:pPr>
      <w:r>
        <w:rPr>
          <w:rFonts w:ascii="Arial" w:cs="Arial" w:eastAsia="Arial" w:hAnsi="Arial"/>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62"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9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Principal Amount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160" w:type="dxa"/>
            <w:vAlign w:val="bottom"/>
            <w:gridSpan w:val="2"/>
            <w:shd w:val="clear" w:color="auto" w:fill="CCEEFF"/>
          </w:tcPr>
          <w:p>
            <w:pPr>
              <w:jc w:val="right"/>
              <w:ind w:right="17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Dresdner Kleinwort Wasserstein — Grantchester,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Fleet Securities, Inc.</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-1858010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-1858010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-1858010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-1858010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-1565910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-1565910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-1274445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-1274445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-982980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-982980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-691515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-691515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-400050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-400050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31" w:right="259" w:bottom="0" w:gutter="0" w:footer="0" w:header="0"/>
        </w:sectPr>
      </w:pPr>
    </w:p>
    <w:bookmarkStart w:id="141" w:name="page142"/>
    <w:bookmarkEnd w:id="141"/>
    <w:p>
      <w:pPr>
        <w:ind w:left="2340"/>
        <w:spacing w:after="0"/>
        <w:tabs>
          <w:tab w:leader="none" w:pos="73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77470</wp:posOffset>
            </wp:positionV>
            <wp:extent cx="1230630"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3063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94"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 of the principal amount of the second mortgage notes. The underwriters may allow, and these dealers may re-allow, a concession of not more than % of the principal amount of the second mortgage notes to other dealers. After the initial public offering, representatives of the underwriters may change the offering price and other selling terms.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ind w:left="880" w:hanging="872"/>
        <w:spacing w:after="0"/>
        <w:tabs>
          <w:tab w:leader="none" w:pos="8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p>
    <w:p>
      <w:pPr>
        <w:spacing w:after="0" w:line="21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 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 mortgage notes does not develop, the market price and liquidity of the second mortgage notes may be adversely affected.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pacing w:after="0" w:line="186"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the second mortgage notes made by the underwriters in the open market prior to the completion of the offering.</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7"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20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Deutsche Bank Securities Inc., Banc of America Securities LLC and Bear, Stearns &amp; Co. Inc., and Dresdner Kleinwort Wasserstein Securities LLC, or one of their respective affiliates, will provide investment banking services to us and our affiliates in connection with other financings expected to close concurrently with this offering, and will receive certain fees for their services.</w:t>
      </w:r>
    </w:p>
    <w:p>
      <w:pPr>
        <w:spacing w:after="0" w:line="19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Certain Indebtedness—Credit Facilities."</w:t>
      </w:r>
    </w:p>
    <w:p>
      <w:pPr>
        <w:sectPr>
          <w:pgSz w:w="11900" w:h="16838" w:orient="portrait"/>
          <w:cols w:equalWidth="0" w:num="1">
            <w:col w:w="11360"/>
          </w:cols>
          <w:pgMar w:left="240" w:top="131" w:right="299" w:bottom="844"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844" w:gutter="0" w:footer="0" w:header="0"/>
          <w:type w:val="continuous"/>
        </w:sectPr>
      </w:pPr>
    </w:p>
    <w:bookmarkStart w:id="142" w:name="page143"/>
    <w:bookmarkEnd w:id="142"/>
    <w:p>
      <w:pPr>
        <w:jc w:val="both"/>
        <w:ind w:right="6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Bank of American, N.A. and Banc of America Leasing &amp; Capital LLC, affiliates of Banc of America Securities LLC, and Deutsche Bank Securities Inc. will act as arrangers under the FF&amp;E facility and will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6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Affiliates of Dresdner Kleinwort Wasserstein — Grantchester, Inc., Fleet Securites, Inc. and Scotia Capital (USA) Inc. may participate in the credit facilities and/or FF&amp;E facility and will receive certain fees for their services.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Godfrey, Las Vegas, Nevada. Selected legal matters in connection with this offering will be passed upon for the underwriters by Latham &amp; Watkins, Los Angeles, California. Certain matters of the law of the Macau Special Administrative Region of the People's Republic of China will be passed upon for Wynn Resorts by A. Correia da Silva, Macau Special Administrative Region of the People's Republic of China.</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 Through the present date, there have been no disagreements between Valvino and Andersen on any matter of accounting principles or practices, financial statement disclosure, or auditing scope or procedure, which disagreements,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Wynn Capital and the guarantors listed herein have filed with the Securities and Exchange Commission, referred to as the SEC, a registration statement on Form S-1 with respect to the second mortgage notes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w:t>
      </w:r>
    </w:p>
    <w:p>
      <w:pPr>
        <w:sectPr>
          <w:pgSz w:w="11900" w:h="16838" w:orient="portrait"/>
          <w:cols w:equalWidth="0" w:num="1">
            <w:col w:w="11400"/>
          </w:cols>
          <w:pgMar w:left="240" w:top="131" w:right="259" w:bottom="0" w:gutter="0" w:footer="0" w:header="0"/>
        </w:sectPr>
      </w:pPr>
    </w:p>
    <w:bookmarkStart w:id="143" w:name="page144"/>
    <w:bookmarkEnd w:id="143"/>
    <w:p>
      <w:pPr>
        <w:spacing w:after="0" w:line="6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1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Valvino Lamore, LLC and Subsidiaries</w:t>
            </w:r>
          </w:p>
        </w:tc>
        <w:tc>
          <w:tcPr>
            <w:tcW w:w="5600" w:type="dxa"/>
            <w:vAlign w:val="bottom"/>
            <w:shd w:val="clear" w:color="auto" w:fill="CCEEFF"/>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Development Stage Company)</w:t>
            </w:r>
          </w:p>
        </w:tc>
        <w:tc>
          <w:tcPr>
            <w:tcW w:w="5600" w:type="dxa"/>
            <w:vAlign w:val="bottom"/>
            <w:shd w:val="clear" w:color="auto" w:fill="CCEEFF"/>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Independent Auditors' Report</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F-3</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0"/>
              </w:rPr>
              <w:t>Consolidated Statements of Members' Equity</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F-5</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8120" w:type="dxa"/>
            <w:vAlign w:val="bottom"/>
            <w:gridSpan w:val="2"/>
          </w:tcPr>
          <w:p>
            <w:pPr>
              <w:ind w:left="53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Notes to Consolidated Financial Statements</w:t>
            </w:r>
          </w:p>
        </w:tc>
        <w:tc>
          <w:tcPr>
            <w:tcW w:w="5600" w:type="dxa"/>
            <w:vAlign w:val="bottom"/>
            <w:shd w:val="clear" w:color="auto" w:fill="CCEEFF"/>
          </w:tcPr>
          <w:p>
            <w:pPr>
              <w:ind w:left="5360"/>
              <w:spacing w:after="0"/>
              <w:rPr>
                <w:sz w:val="20"/>
                <w:szCs w:val="20"/>
                <w:color w:val="auto"/>
              </w:rPr>
            </w:pPr>
            <w:r>
              <w:rPr>
                <w:rFonts w:ascii="Arial" w:cs="Arial" w:eastAsia="Arial" w:hAnsi="Arial"/>
                <w:sz w:val="18"/>
                <w:szCs w:val="18"/>
                <w:color w:val="auto"/>
                <w:w w:val="81"/>
              </w:rPr>
              <w:t>F-8</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8120" w:type="dxa"/>
            <w:vAlign w:val="bottom"/>
            <w:gridSpan w:val="2"/>
          </w:tcPr>
          <w:p>
            <w:pPr>
              <w:ind w:left="2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719"/>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ind w:right="739"/>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55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-1334770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-1334770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-1334770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-1334770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-1334770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-1334770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44" w:name="page145"/>
    <w:bookmarkEnd w:id="144"/>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r>
      <w:tr>
        <w:trPr>
          <w:trHeight w:val="112"/>
        </w:trPr>
        <w:tc>
          <w:tcPr>
            <w:tcW w:w="5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5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shd w:val="clear" w:color="auto" w:fill="CCEEFF"/>
          </w:tcPr>
          <w:p>
            <w:pPr>
              <w:spacing w:after="0"/>
              <w:rPr>
                <w:sz w:val="21"/>
                <w:szCs w:val="2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380,236</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337,464</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tcPr>
          <w:p>
            <w:pPr>
              <w:spacing w:after="0"/>
              <w:rPr>
                <w:sz w:val="18"/>
                <w:szCs w:val="18"/>
                <w:color w:val="auto"/>
              </w:rPr>
            </w:pPr>
          </w:p>
        </w:tc>
      </w:t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5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8"/>
                <w:szCs w:val="18"/>
                <w:color w:val="auto"/>
              </w:rPr>
            </w:pPr>
          </w:p>
        </w:tc>
      </w:tr>
      <w:tr>
        <w:trPr>
          <w:trHeight w:val="216"/>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6,913</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r>
      <w:tr>
        <w:trPr>
          <w:trHeight w:val="112"/>
        </w:trPr>
        <w:tc>
          <w:tcPr>
            <w:tcW w:w="5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5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4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shd w:val="clear" w:color="auto" w:fill="CCEEFF"/>
          </w:tcPr>
          <w:p>
            <w:pPr>
              <w:spacing w:after="0"/>
              <w:rPr>
                <w:sz w:val="21"/>
                <w:szCs w:val="21"/>
                <w:color w:val="auto"/>
              </w:rPr>
            </w:pPr>
          </w:p>
        </w:tc>
      </w:tr>
      <w:tr>
        <w:trPr>
          <w:trHeight w:val="105"/>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55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562"/>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430"/>
        </w:trPr>
        <w:tc>
          <w:tcPr>
            <w:tcW w:w="556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7,272</w:t>
            </w:r>
          </w:p>
        </w:tc>
        <w:tc>
          <w:tcPr>
            <w:tcW w:w="220" w:type="dxa"/>
            <w:vAlign w:val="bottom"/>
          </w:tcPr>
          <w:p>
            <w:pPr>
              <w:spacing w:after="0"/>
              <w:rPr>
                <w:sz w:val="24"/>
                <w:szCs w:val="24"/>
                <w:color w:val="auto"/>
              </w:rPr>
            </w:pP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4"/>
                <w:szCs w:val="24"/>
                <w:color w:val="auto"/>
              </w:rPr>
            </w:pPr>
          </w:p>
        </w:tc>
      </w:tr>
      <w:tr>
        <w:trPr>
          <w:trHeight w:val="218"/>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112"/>
        </w:trPr>
        <w:tc>
          <w:tcPr>
            <w:tcW w:w="5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5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CEEFF"/>
          </w:tcPr>
          <w:p>
            <w:pPr>
              <w:spacing w:after="0"/>
              <w:rPr>
                <w:sz w:val="21"/>
                <w:szCs w:val="21"/>
                <w:color w:val="auto"/>
              </w:rPr>
            </w:pPr>
          </w:p>
        </w:tc>
      </w:tr>
      <w:tr>
        <w:trPr>
          <w:trHeight w:val="430"/>
        </w:trPr>
        <w:tc>
          <w:tcPr>
            <w:tcW w:w="556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28,140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r>
      <w:tr>
        <w:trPr>
          <w:trHeight w:val="218"/>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430"/>
        </w:trPr>
        <w:tc>
          <w:tcPr>
            <w:tcW w:w="5560" w:type="dxa"/>
            <w:vAlign w:val="bottom"/>
          </w:tcPr>
          <w:p>
            <w:pPr>
              <w:spacing w:after="0"/>
              <w:rPr>
                <w:sz w:val="20"/>
                <w:szCs w:val="20"/>
                <w:color w:val="auto"/>
              </w:rPr>
            </w:pPr>
            <w:r>
              <w:rPr>
                <w:rFonts w:ascii="Arial" w:cs="Arial" w:eastAsia="Arial" w:hAnsi="Arial"/>
                <w:sz w:val="18"/>
                <w:szCs w:val="18"/>
                <w:color w:val="auto"/>
              </w:rPr>
              <w:t>Members' Equity</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5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5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(40,747)</w:t>
            </w:r>
          </w:p>
        </w:tc>
        <w:tc>
          <w:tcPr>
            <w:tcW w:w="7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(26,054)</w:t>
            </w:r>
          </w:p>
        </w:tc>
        <w:tc>
          <w:tcPr>
            <w:tcW w:w="7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(9,155)</w:t>
            </w:r>
          </w:p>
        </w:tc>
      </w:tr>
      <w:tr>
        <w:trPr>
          <w:trHeight w:val="112"/>
        </w:trPr>
        <w:tc>
          <w:tcPr>
            <w:tcW w:w="5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55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shd w:val="clear" w:color="auto" w:fill="CCEEFF"/>
          </w:tcPr>
          <w:p>
            <w:pPr>
              <w:spacing w:after="0"/>
              <w:rPr>
                <w:sz w:val="18"/>
                <w:szCs w:val="18"/>
                <w:color w:val="auto"/>
              </w:rPr>
            </w:pPr>
          </w:p>
        </w:tc>
      </w:tr>
      <w:tr>
        <w:trPr>
          <w:trHeight w:val="118"/>
        </w:trPr>
        <w:tc>
          <w:tcPr>
            <w:tcW w:w="55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556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586,407</w:t>
            </w:r>
          </w:p>
        </w:tc>
        <w:tc>
          <w:tcPr>
            <w:tcW w:w="220" w:type="dxa"/>
            <w:vAlign w:val="bottom"/>
          </w:tcPr>
          <w:p>
            <w:pPr>
              <w:spacing w:after="0"/>
              <w:rPr>
                <w:sz w:val="24"/>
                <w:szCs w:val="24"/>
                <w:color w:val="auto"/>
              </w:rPr>
            </w:pP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390,788</w:t>
            </w:r>
          </w:p>
        </w:tc>
        <w:tc>
          <w:tcPr>
            <w:tcW w:w="22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r>
      <w:tr>
        <w:trPr>
          <w:trHeight w:val="107"/>
        </w:trPr>
        <w:tc>
          <w:tcPr>
            <w:tcW w:w="5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55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-4353560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-4353560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-4353560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-4353560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-4353560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-4353560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-3359150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-3359150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-3359150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-3359150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-3359150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-3359150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-1901190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-1901190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-1901190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-1901190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-1901190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-631825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-631825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-631825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-631825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-631825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-631825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-340360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-340360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-340360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-340360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-340360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Six Months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20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2001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2001</w:t>
            </w:r>
          </w:p>
        </w:tc>
        <w:tc>
          <w:tcPr>
            <w:tcW w:w="260" w:type="dxa"/>
            <w:vAlign w:val="bottom"/>
          </w:tcPr>
          <w:p>
            <w:pPr>
              <w:spacing w:after="0"/>
              <w:rPr>
                <w:sz w:val="15"/>
                <w:szCs w:val="15"/>
                <w:color w:val="auto"/>
              </w:rPr>
            </w:pPr>
          </w:p>
        </w:tc>
        <w:tc>
          <w:tcPr>
            <w:tcW w:w="2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December 31, 2000</w:t>
            </w: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Airplane lease</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336</w:t>
            </w: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838</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2080" w:type="dxa"/>
            <w:vAlign w:val="bottom"/>
            <w:gridSpan w:val="3"/>
          </w:tcPr>
          <w:p>
            <w:pPr>
              <w:ind w:left="1640"/>
              <w:spacing w:after="0"/>
              <w:rPr>
                <w:sz w:val="20"/>
                <w:szCs w:val="20"/>
                <w:color w:val="auto"/>
              </w:rPr>
            </w:pPr>
            <w:r>
              <w:rPr>
                <w:rFonts w:ascii="Arial" w:cs="Arial" w:eastAsia="Arial" w:hAnsi="Arial"/>
                <w:sz w:val="14"/>
                <w:szCs w:val="14"/>
                <w:color w:val="auto"/>
              </w:rPr>
              <w:t>—  $</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Art gallery</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w:t>
            </w:r>
          </w:p>
        </w:tc>
        <w:tc>
          <w:tcPr>
            <w:tcW w:w="26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Retail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21"/>
                <w:szCs w:val="21"/>
                <w:color w:val="auto"/>
              </w:rPr>
            </w:pPr>
          </w:p>
        </w:tc>
        <w:tc>
          <w:tcPr>
            <w:tcW w:w="20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Water</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342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918</w:t>
            </w:r>
          </w:p>
        </w:tc>
        <w:tc>
          <w:tcPr>
            <w:tcW w:w="260" w:type="dxa"/>
            <w:vAlign w:val="bottom"/>
          </w:tcPr>
          <w:p>
            <w:pPr>
              <w:spacing w:after="0"/>
              <w:rPr>
                <w:sz w:val="22"/>
                <w:szCs w:val="22"/>
                <w:color w:val="auto"/>
              </w:rPr>
            </w:pPr>
          </w:p>
        </w:tc>
        <w:tc>
          <w:tcPr>
            <w:tcW w:w="20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Pre-opening costs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9,193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5,028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10,980</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24,695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Depreciation and</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amortization</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4,021</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7,979</w:t>
            </w:r>
          </w:p>
        </w:tc>
        <w:tc>
          <w:tcPr>
            <w:tcW w:w="26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w w:val="92"/>
              </w:rPr>
              <w:t>Loss on affiliate acquisitions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Loss on sale of fixed assets</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394</w:t>
            </w:r>
          </w:p>
        </w:tc>
        <w:tc>
          <w:tcPr>
            <w:tcW w:w="26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220"/>
              <w:spacing w:after="0" w:line="138" w:lineRule="exact"/>
              <w:rPr>
                <w:sz w:val="20"/>
                <w:szCs w:val="20"/>
                <w:color w:val="auto"/>
              </w:rPr>
            </w:pPr>
            <w:r>
              <w:rPr>
                <w:rFonts w:ascii="Arial" w:cs="Arial" w:eastAsia="Arial" w:hAnsi="Arial"/>
                <w:sz w:val="14"/>
                <w:szCs w:val="14"/>
                <w:color w:val="auto"/>
              </w:rPr>
              <w:t>Selling, general &amp;</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220"/>
              <w:spacing w:after="0" w:line="159" w:lineRule="exact"/>
              <w:rPr>
                <w:sz w:val="20"/>
                <w:szCs w:val="20"/>
                <w:color w:val="auto"/>
              </w:rPr>
            </w:pPr>
            <w:r>
              <w:rPr>
                <w:rFonts w:ascii="Arial" w:cs="Arial" w:eastAsia="Arial" w:hAnsi="Arial"/>
                <w:sz w:val="14"/>
                <w:szCs w:val="14"/>
                <w:color w:val="auto"/>
              </w:rPr>
              <w:t>administrative expenses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376</w:t>
            </w:r>
          </w:p>
        </w:tc>
        <w:tc>
          <w:tcPr>
            <w:tcW w:w="260" w:type="dxa"/>
            <w:vAlign w:val="bottom"/>
          </w:tcPr>
          <w:p>
            <w:pPr>
              <w:spacing w:after="0"/>
              <w:rPr>
                <w:sz w:val="13"/>
                <w:szCs w:val="13"/>
                <w:color w:val="auto"/>
              </w:rPr>
            </w:pPr>
          </w:p>
        </w:tc>
        <w:tc>
          <w:tcPr>
            <w:tcW w:w="208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Facility closure</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expenses</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373</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373</w:t>
            </w:r>
          </w:p>
        </w:tc>
        <w:tc>
          <w:tcPr>
            <w:tcW w:w="260" w:type="dxa"/>
            <w:vAlign w:val="bottom"/>
            <w:shd w:val="clear" w:color="auto" w:fill="CCEEFF"/>
          </w:tcPr>
          <w:p>
            <w:pPr>
              <w:spacing w:after="0"/>
              <w:rPr>
                <w:sz w:val="13"/>
                <w:szCs w:val="13"/>
                <w:color w:val="auto"/>
              </w:rPr>
            </w:pP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Cost of water</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21"/>
                <w:szCs w:val="21"/>
                <w:color w:val="auto"/>
              </w:rPr>
            </w:pPr>
          </w:p>
        </w:tc>
        <w:tc>
          <w:tcPr>
            <w:tcW w:w="20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retail sales</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220"/>
              <w:spacing w:after="0" w:line="138" w:lineRule="exact"/>
              <w:rPr>
                <w:sz w:val="20"/>
                <w:szCs w:val="20"/>
                <w:color w:val="auto"/>
              </w:rPr>
            </w:pPr>
            <w:r>
              <w:rPr>
                <w:rFonts w:ascii="Arial" w:cs="Arial" w:eastAsia="Arial" w:hAnsi="Arial"/>
                <w:sz w:val="14"/>
                <w:szCs w:val="14"/>
                <w:color w:val="auto"/>
              </w:rPr>
              <w:t>Loss from incidental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operations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15,915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20,151</w:t>
            </w:r>
          </w:p>
        </w:tc>
        <w:tc>
          <w:tcPr>
            <w:tcW w:w="260" w:type="dxa"/>
            <w:vAlign w:val="bottom"/>
            <w:shd w:val="clear" w:color="auto" w:fill="CCEEFF"/>
          </w:tcPr>
          <w:p>
            <w:pPr>
              <w:spacing w:after="0"/>
              <w:rPr>
                <w:sz w:val="12"/>
                <w:szCs w:val="12"/>
                <w:color w:val="auto"/>
              </w:rPr>
            </w:pPr>
          </w:p>
        </w:tc>
        <w:tc>
          <w:tcPr>
            <w:tcW w:w="1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ind w:left="220"/>
              <w:spacing w:after="0"/>
              <w:rPr>
                <w:sz w:val="20"/>
                <w:szCs w:val="20"/>
                <w:color w:val="auto"/>
              </w:rPr>
            </w:pPr>
            <w:r>
              <w:rPr>
                <w:rFonts w:ascii="Arial" w:cs="Arial" w:eastAsia="Arial" w:hAnsi="Arial"/>
                <w:sz w:val="14"/>
                <w:szCs w:val="14"/>
                <w:color w:val="auto"/>
              </w:rPr>
              <w:t>Operating Loss</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(15,627)</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(9,471)</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(19,233)</w:t>
            </w:r>
          </w:p>
        </w:tc>
        <w:tc>
          <w:tcPr>
            <w:tcW w:w="260" w:type="dxa"/>
            <w:vAlign w:val="bottom"/>
          </w:tcPr>
          <w:p>
            <w:pPr>
              <w:spacing w:after="0"/>
              <w:rPr>
                <w:sz w:val="23"/>
                <w:szCs w:val="23"/>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(10,572)</w:t>
            </w:r>
          </w:p>
        </w:tc>
        <w:tc>
          <w:tcPr>
            <w:tcW w:w="20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(45,432)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-3416300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-3416300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-3416300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-3416300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-3416300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-3416300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-3416300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-3416300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-3416300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-3416300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-2301875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-2301875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-2301875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-2301875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-2301875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-2301875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-2301875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-2301875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-2301875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-2301875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-431800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-431800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-431800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-431800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-431800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-431800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-431800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-431800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-431800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-431800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-183515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-183515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-183515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-183515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-183515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-183515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-183515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-183515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-183515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-183515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40" w:right="239" w:bottom="0" w:gutter="0" w:footer="0" w:header="0"/>
        </w:sectPr>
      </w:pPr>
    </w:p>
    <w:bookmarkStart w:id="145" w:name="page146"/>
    <w:bookmarkEnd w:id="14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Other Income/(Expense)</w:t>
            </w: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rPr>
              <w:t>Interest expense, net of</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220"/>
              <w:spacing w:after="0" w:line="159" w:lineRule="exact"/>
              <w:rPr>
                <w:sz w:val="20"/>
                <w:szCs w:val="20"/>
                <w:color w:val="auto"/>
              </w:rPr>
            </w:pPr>
            <w:r>
              <w:rPr>
                <w:rFonts w:ascii="Arial" w:cs="Arial" w:eastAsia="Arial" w:hAnsi="Arial"/>
                <w:sz w:val="14"/>
                <w:szCs w:val="14"/>
                <w:color w:val="auto"/>
              </w:rPr>
              <w:t>amounts capitalized</w:t>
            </w:r>
          </w:p>
        </w:tc>
        <w:tc>
          <w:tcPr>
            <w:tcW w:w="620" w:type="dxa"/>
            <w:vAlign w:val="bottom"/>
          </w:tcPr>
          <w:p>
            <w:pPr>
              <w:spacing w:after="0"/>
              <w:rPr>
                <w:sz w:val="13"/>
                <w:szCs w:val="13"/>
                <w:color w:val="auto"/>
              </w:rPr>
            </w:pPr>
          </w:p>
        </w:tc>
        <w:tc>
          <w:tcPr>
            <w:tcW w:w="11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w:t>
            </w:r>
          </w:p>
        </w:tc>
        <w:tc>
          <w:tcPr>
            <w:tcW w:w="60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840" w:type="dxa"/>
            <w:vAlign w:val="bottom"/>
          </w:tcPr>
          <w:p>
            <w:pPr>
              <w:spacing w:after="0"/>
              <w:rPr>
                <w:sz w:val="13"/>
                <w:szCs w:val="13"/>
                <w:color w:val="auto"/>
              </w:rPr>
            </w:pPr>
          </w:p>
        </w:tc>
        <w:tc>
          <w:tcPr>
            <w:tcW w:w="13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840" w:type="dxa"/>
            <w:vAlign w:val="bottom"/>
          </w:tcPr>
          <w:p>
            <w:pPr>
              <w:spacing w:after="0"/>
              <w:rPr>
                <w:sz w:val="13"/>
                <w:szCs w:val="13"/>
                <w:color w:val="auto"/>
              </w:rPr>
            </w:pPr>
          </w:p>
        </w:tc>
        <w:tc>
          <w:tcPr>
            <w:tcW w:w="1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660" w:type="dxa"/>
            <w:vAlign w:val="bottom"/>
          </w:tcPr>
          <w:p>
            <w:pPr>
              <w:spacing w:after="0"/>
              <w:rPr>
                <w:sz w:val="13"/>
                <w:szCs w:val="13"/>
                <w:color w:val="auto"/>
              </w:rPr>
            </w:pPr>
          </w:p>
        </w:tc>
        <w:tc>
          <w:tcPr>
            <w:tcW w:w="11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income</w:t>
            </w: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6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6"/>
              </w:rPr>
              <w:t>Net loss accumulated during</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the development stage</w:t>
            </w:r>
          </w:p>
        </w:tc>
        <w:tc>
          <w:tcPr>
            <w:tcW w:w="620" w:type="dxa"/>
            <w:vAlign w:val="bottom"/>
          </w:tcPr>
          <w:p>
            <w:pPr>
              <w:jc w:val="right"/>
              <w:ind w:right="47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(14,693)</w:t>
            </w: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(7,935)</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(16,899)</w:t>
            </w:r>
          </w:p>
        </w:tc>
        <w:tc>
          <w:tcPr>
            <w:tcW w:w="840" w:type="dxa"/>
            <w:vAlign w:val="bottom"/>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(9,155)</w:t>
            </w: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6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6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208,784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203,230</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205,479</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Diluted</w:t>
            </w:r>
          </w:p>
        </w:tc>
        <w:tc>
          <w:tcPr>
            <w:tcW w:w="620" w:type="dxa"/>
            <w:vAlign w:val="bottom"/>
          </w:tcPr>
          <w:p>
            <w:pPr>
              <w:jc w:val="right"/>
              <w:ind w:right="47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(70.37)</w:t>
            </w: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(39.04)</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(82.24)</w:t>
            </w:r>
          </w:p>
        </w:tc>
        <w:tc>
          <w:tcPr>
            <w:tcW w:w="840" w:type="dxa"/>
            <w:vAlign w:val="bottom"/>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(45.78)</w:t>
            </w: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-1229360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-1229360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-1229360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-1229360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-1229360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-1229360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-1229360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-1229360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-1229360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-1229360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-981075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-981075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-981075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-981075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-981075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-981075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-981075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-981075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-981075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-981075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Stephen A.</w:t>
            </w:r>
          </w:p>
        </w:tc>
        <w:tc>
          <w:tcPr>
            <w:tcW w:w="22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Aruze USA,</w:t>
            </w:r>
          </w:p>
        </w:tc>
        <w:tc>
          <w:tcPr>
            <w:tcW w:w="24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Baron</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Wynn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Wynn Capital</w:t>
            </w:r>
          </w:p>
        </w:tc>
        <w:tc>
          <w:tcPr>
            <w:tcW w:w="2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 Capital</w:t>
            </w:r>
          </w:p>
        </w:tc>
        <w:tc>
          <w:tcPr>
            <w:tcW w:w="24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Asset Fund</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Family Trust</w:t>
            </w:r>
          </w:p>
        </w:tc>
        <w:tc>
          <w:tcPr>
            <w:tcW w:w="30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at Inception (April 21, 2000)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135,291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248,126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(8,213)</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18"/>
        </w:trPr>
        <w:tc>
          <w:tcPr>
            <w:tcW w:w="282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82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160" w:type="dxa"/>
            <w:vAlign w:val="bottom"/>
          </w:tcPr>
          <w:p>
            <w:pPr>
              <w:jc w:val="right"/>
              <w:spacing w:after="0"/>
              <w:rPr>
                <w:sz w:val="20"/>
                <w:szCs w:val="20"/>
                <w:color w:val="auto"/>
              </w:rPr>
            </w:pPr>
            <w:r>
              <w:rPr>
                <w:rFonts w:ascii="Arial" w:cs="Arial" w:eastAsia="Arial" w:hAnsi="Arial"/>
                <w:sz w:val="18"/>
                <w:szCs w:val="18"/>
                <w:color w:val="auto"/>
              </w:rPr>
              <w:t>207,692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127,078</w:t>
            </w: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239,913</w:t>
            </w:r>
          </w:p>
        </w:tc>
        <w:tc>
          <w:tcPr>
            <w:tcW w:w="1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19,527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Member contributions (unaudited)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development stage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2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(7,021)</w:t>
            </w: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Balance at June 30, 2002 (unaudited)</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-3290570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-3290570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-3290570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-3290570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-3290570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-3290570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-3290570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-3290570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-3290570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-3290570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-3290570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-3290570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-2261235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-2261235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-2261235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-2261235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-2261235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-2261235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-2261235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-2261235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-2261235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-2261235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-2261235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-2261235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-1214755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-1214755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-1214755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-1214755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-1214755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-1214755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-1214755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-1214755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-1214755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-1214755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-1214755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 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(14,693)</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(7,935)</w:t>
            </w: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(16,899)</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(9,155)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-588645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-588645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-588645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-588645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-588645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-588645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-588645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-588645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-588645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-588645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70" w:right="239" w:bottom="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w w:val="96"/>
              </w:rPr>
              <w:t>Adjustments to reconcile net loss accumulated during</w:t>
            </w: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the development stage to net cash provided by/(used</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 operating activities:</w:t>
            </w: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3,966</w:t>
            </w:r>
          </w:p>
        </w:tc>
        <w:tc>
          <w:tcPr>
            <w:tcW w:w="1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4,021</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7,979</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3,681</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loan origination fees</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Loss on sale of fixed assets</w:t>
            </w: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1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Incidental operations</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3,210</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Receivables, net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w:t>
            </w:r>
          </w:p>
        </w:tc>
        <w:tc>
          <w:tcPr>
            <w:tcW w:w="1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1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w:t>
            </w: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Prepaid expenses and other</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1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(664)</w:t>
            </w:r>
          </w:p>
        </w:tc>
        <w:tc>
          <w:tcPr>
            <w:tcW w:w="1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6,318</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350</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620</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(9,064)</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Minority interest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by/(Used in) Operating Activities</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(4,507)</w:t>
            </w:r>
          </w:p>
        </w:tc>
        <w:tc>
          <w:tcPr>
            <w:tcW w:w="1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579</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(4,187)</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(4,807)</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Desert Inn Resort and Casino, net of</w:t>
            </w: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15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(19,306)</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(14,961)</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(29,080)</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(47,068)</w:t>
            </w:r>
          </w:p>
        </w:tc>
        <w:tc>
          <w:tcPr>
            <w:tcW w:w="1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(9,591)</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(4,714)</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(968)</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(1,720)</w:t>
            </w:r>
          </w:p>
        </w:tc>
        <w:tc>
          <w:tcPr>
            <w:tcW w:w="1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(1,299)</w:t>
            </w:r>
          </w:p>
        </w:tc>
        <w:tc>
          <w:tcPr>
            <w:tcW w:w="1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2,165</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(498)</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(1,465)</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8,008</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343</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776</w:t>
            </w: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(23,438)</w:t>
            </w: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(25,573)</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(40,979)</w:t>
            </w:r>
          </w:p>
        </w:tc>
        <w:tc>
          <w:tcPr>
            <w:tcW w:w="1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(319,472)</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8"/>
              </w:rPr>
              <w:t>Proceeds from issuance of related party loan</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Borders>
              <w:right w:val="single" w:sz="8" w:color="CCEEFF"/>
            </w:tcBorders>
            <w:shd w:val="clear" w:color="auto" w:fill="CCEEFF"/>
          </w:tcPr>
          <w:p>
            <w:pPr>
              <w:ind w:left="200"/>
              <w:spacing w:after="0" w:line="138" w:lineRule="exact"/>
              <w:rPr>
                <w:sz w:val="20"/>
                <w:szCs w:val="20"/>
                <w:color w:val="auto"/>
              </w:rPr>
            </w:pPr>
            <w:r>
              <w:rPr>
                <w:rFonts w:ascii="Arial" w:cs="Arial" w:eastAsia="Arial" w:hAnsi="Arial"/>
                <w:sz w:val="14"/>
                <w:szCs w:val="14"/>
                <w:color w:val="auto"/>
              </w:rPr>
              <w:t>Net Cash Provided by (used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Borders>
              <w:right w:val="single" w:sz="8" w:color="CCEEFF"/>
            </w:tcBorders>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148,589</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(5,009)</w:t>
            </w:r>
          </w:p>
        </w:tc>
        <w:tc>
          <w:tcPr>
            <w:tcW w:w="6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(25,198)</w:t>
            </w: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59,460</w:t>
            </w:r>
          </w:p>
        </w:tc>
        <w:tc>
          <w:tcPr>
            <w:tcW w:w="220" w:type="dxa"/>
            <w:vAlign w:val="bottom"/>
          </w:tcPr>
          <w:p>
            <w:pPr>
              <w:spacing w:after="0"/>
              <w:rPr>
                <w:sz w:val="23"/>
                <w:szCs w:val="2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39,271</w:t>
            </w:r>
          </w:p>
        </w:tc>
        <w:tc>
          <w:tcPr>
            <w:tcW w:w="220" w:type="dxa"/>
            <w:vAlign w:val="bottom"/>
          </w:tcPr>
          <w:p>
            <w:pPr>
              <w:spacing w:after="0"/>
              <w:rPr>
                <w:sz w:val="23"/>
                <w:szCs w:val="23"/>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3"/>
                <w:szCs w:val="23"/>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-1326515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-1326515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-1326515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-1326515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-1326515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-1326515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-1326515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-1326515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-1326515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-1326515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-983615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-983615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-983615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-983615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-983615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-983615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-983615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-983615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-983615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-983615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-640080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-640080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-640080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-640080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-640080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-640080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-640080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-640080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-640080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2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 connection with the May 2002 acquisition of Las Vegas Jet (Note 10.c.), the Company forgave approximately $2 million of related party accounts receivable due from Las Vegas Jet.</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(Concluded)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ectPr>
          <w:pgSz w:w="11900" w:h="16838" w:orient="portrait"/>
          <w:cols w:equalWidth="0" w:num="1">
            <w:col w:w="11420"/>
          </w:cols>
          <w:pgMar w:left="240" w:top="116" w:right="239" w:bottom="0" w:gutter="0" w:footer="0" w:header="0"/>
        </w:sectPr>
      </w:pPr>
    </w:p>
    <w:bookmarkStart w:id="147" w:name="page148"/>
    <w:bookmarkEnd w:id="147"/>
    <w:p>
      <w:pPr>
        <w:ind w:left="540" w:hanging="532"/>
        <w:spacing w:after="0"/>
        <w:tabs>
          <w:tab w:leader="none" w:pos="5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Valvino Lamore, LLC was formed on April 21, 2000 as a Nevada limited-liability company. At formation the Company's sole member was Stephen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Wynn. As of December 31, 2001, subsidiaries of Valvino Lamore, LLC include Wynn Design and Development, LLC, Rambas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collectively, with Valvino Lamore, LLC, herein referred to as the "Company".</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42"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Additionally, effective June 28, 2001, the Nevada Public Utility Commission approved the transfer of ownership of Desert Inn Water Company, also a previously unconsolidated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221" w:lineRule="exact"/>
        <w:rPr>
          <w:sz w:val="20"/>
          <w:szCs w:val="20"/>
          <w:color w:val="auto"/>
        </w:rPr>
      </w:pPr>
    </w:p>
    <w:p>
      <w:pPr>
        <w:ind w:left="540" w:hanging="532"/>
        <w:spacing w:after="0"/>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540" w:hanging="532"/>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213" w:lineRule="exact"/>
        <w:rPr>
          <w:sz w:val="20"/>
          <w:szCs w:val="20"/>
          <w:color w:val="auto"/>
        </w:rPr>
      </w:pPr>
    </w:p>
    <w:p>
      <w:pPr>
        <w:ind w:left="540" w:hanging="532"/>
        <w:spacing w:after="0"/>
        <w:tabs>
          <w:tab w:leader="none" w:pos="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ectPr>
          <w:pgSz w:w="11900" w:h="16838" w:orient="portrait"/>
          <w:cols w:equalWidth="0" w:num="1">
            <w:col w:w="10880"/>
          </w:cols>
          <w:pgMar w:left="780" w:top="144" w:right="239" w:bottom="0" w:gutter="0" w:footer="0" w:header="0"/>
        </w:sectPr>
      </w:pPr>
    </w:p>
    <w:bookmarkStart w:id="148" w:name="page149"/>
    <w:bookmarkEnd w:id="148"/>
    <w:p>
      <w:pPr>
        <w:jc w:val="center"/>
        <w:ind w:right="4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 to 3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Parking garage</w:t>
            </w:r>
          </w:p>
        </w:tc>
        <w:tc>
          <w:tcPr>
            <w:tcW w:w="3260" w:type="dxa"/>
            <w:vAlign w:val="bottom"/>
          </w:tcPr>
          <w:p>
            <w:pPr>
              <w:ind w:left="1900"/>
              <w:spacing w:after="0"/>
              <w:rPr>
                <w:sz w:val="20"/>
                <w:szCs w:val="20"/>
                <w:color w:val="auto"/>
              </w:rPr>
            </w:pPr>
            <w:r>
              <w:rPr>
                <w:rFonts w:ascii="Arial" w:cs="Arial" w:eastAsia="Arial" w:hAnsi="Arial"/>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7 years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ind w:left="190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December 31, 2001, there were 207,692.31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w:t>
      </w:r>
    </w:p>
    <w:p>
      <w:pPr>
        <w:spacing w:after="0" w:line="1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94"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All of the assets and operations of Wynn Resort, Limited are presently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contribution will be a tax-free contribution under the Internal Revenue Code and will be accounted for as a reorganization of entities under common control. Accordingly,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225" w:lineRule="exact"/>
        <w:rPr>
          <w:sz w:val="20"/>
          <w:szCs w:val="20"/>
          <w:color w:val="auto"/>
        </w:rPr>
      </w:pPr>
    </w:p>
    <w:p>
      <w:pPr>
        <w:ind w:left="540" w:hanging="532"/>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540" w:hanging="532"/>
        <w:spacing w:after="0"/>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Long-Lived Assets</w:t>
      </w:r>
    </w:p>
    <w:p>
      <w:pPr>
        <w:sectPr>
          <w:pgSz w:w="11900" w:h="16838" w:orient="portrait"/>
          <w:cols w:equalWidth="0" w:num="1">
            <w:col w:w="10800"/>
          </w:cols>
          <w:pgMar w:left="780" w:top="131" w:right="319" w:bottom="0" w:gutter="0" w:footer="0" w:header="0"/>
        </w:sectPr>
      </w:pPr>
    </w:p>
    <w:bookmarkStart w:id="149" w:name="page150"/>
    <w:bookmarkEnd w:id="149"/>
    <w:p>
      <w:pPr>
        <w:ind w:right="6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46" w:lineRule="exact"/>
        <w:rPr>
          <w:sz w:val="20"/>
          <w:szCs w:val="20"/>
          <w:color w:val="auto"/>
        </w:rPr>
      </w:pPr>
    </w:p>
    <w:p>
      <w:pPr>
        <w:ind w:left="540" w:hanging="532"/>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11" w:lineRule="exact"/>
        <w:rPr>
          <w:sz w:val="20"/>
          <w:szCs w:val="20"/>
          <w:color w:val="auto"/>
        </w:rPr>
      </w:pPr>
    </w:p>
    <w:p>
      <w:pPr>
        <w:ind w:left="540" w:hanging="532"/>
        <w:spacing w:after="0"/>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9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15" w:lineRule="exact"/>
        <w:rPr>
          <w:sz w:val="20"/>
          <w:szCs w:val="20"/>
          <w:color w:val="auto"/>
        </w:rPr>
      </w:pPr>
    </w:p>
    <w:p>
      <w:pPr>
        <w:ind w:left="540" w:hanging="532"/>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540" w:hanging="532"/>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 prices for comparable assets and estimates made by management. The allocation of the purchase price was completed within one year from the acquisition date and is as follows:</w:t>
      </w:r>
    </w:p>
    <w:p>
      <w:pPr>
        <w:sectPr>
          <w:pgSz w:w="11900" w:h="16838" w:orient="portrait"/>
          <w:cols w:equalWidth="0" w:num="1">
            <w:col w:w="10880"/>
          </w:cols>
          <w:pgMar w:left="780" w:top="131" w:right="239" w:bottom="0" w:gutter="0" w:footer="0" w:header="0"/>
        </w:sectPr>
      </w:pP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520" w:type="dxa"/>
            <w:vAlign w:val="bottom"/>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900" w:type="dxa"/>
            <w:vAlign w:val="bottom"/>
          </w:tcPr>
          <w:p>
            <w:pPr>
              <w:jc w:val="center"/>
              <w:ind w:left="652"/>
              <w:spacing w:after="0"/>
              <w:rPr>
                <w:sz w:val="20"/>
                <w:szCs w:val="20"/>
                <w:color w:val="auto"/>
              </w:rPr>
            </w:pPr>
            <w:r>
              <w:rPr>
                <w:rFonts w:ascii="Arial" w:cs="Arial" w:eastAsia="Arial" w:hAnsi="Arial"/>
                <w:sz w:val="14"/>
                <w:szCs w:val="14"/>
                <w:b w:val="1"/>
                <w:bCs w:val="1"/>
                <w:color w:val="auto"/>
                <w:w w:val="88"/>
              </w:rPr>
              <w:t>Allocated Fair Value</w:t>
            </w:r>
          </w:p>
        </w:tc>
      </w:tr>
      <w:tr>
        <w:trPr>
          <w:trHeight w:val="131"/>
        </w:trPr>
        <w:tc>
          <w:tcPr>
            <w:tcW w:w="5520" w:type="dxa"/>
            <w:vAlign w:val="bottom"/>
            <w:tcBorders>
              <w:bottom w:val="single" w:sz="8" w:color="808080"/>
            </w:tcBorders>
          </w:tcPr>
          <w:p>
            <w:pPr>
              <w:spacing w:after="0"/>
              <w:rPr>
                <w:sz w:val="11"/>
                <w:szCs w:val="11"/>
                <w:color w:val="auto"/>
              </w:rPr>
            </w:pPr>
          </w:p>
        </w:tc>
        <w:tc>
          <w:tcPr>
            <w:tcW w:w="1900" w:type="dxa"/>
            <w:vAlign w:val="bottom"/>
          </w:tcPr>
          <w:p>
            <w:pPr>
              <w:jc w:val="center"/>
              <w:ind w:left="652"/>
              <w:spacing w:after="0" w:line="131" w:lineRule="exact"/>
              <w:rPr>
                <w:sz w:val="20"/>
                <w:szCs w:val="20"/>
                <w:color w:val="auto"/>
              </w:rPr>
            </w:pPr>
            <w:r>
              <w:rPr>
                <w:rFonts w:ascii="Arial" w:cs="Arial" w:eastAsia="Arial" w:hAnsi="Arial"/>
                <w:sz w:val="14"/>
                <w:szCs w:val="14"/>
                <w:b w:val="1"/>
                <w:bCs w:val="1"/>
                <w:color w:val="auto"/>
                <w:w w:val="91"/>
              </w:rPr>
              <w:t>($ 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-14605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80"/>
          </w:cols>
          <w:pgMar w:left="780" w:top="131" w:right="239" w:bottom="0" w:gutter="0" w:footer="0" w:header="0"/>
          <w:type w:val="continuous"/>
        </w:sectPr>
      </w:pPr>
    </w:p>
    <w:bookmarkStart w:id="150" w:name="page151"/>
    <w:bookmarkEnd w:id="150"/>
    <w:tbl>
      <w:tblPr>
        <w:tblLayout w:type="fixed"/>
        <w:tblInd w:w="172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98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9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9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118"/>
        </w:trPr>
        <w:tc>
          <w:tcPr>
            <w:tcW w:w="576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760" w:type="dxa"/>
            <w:vAlign w:val="bottom"/>
          </w:tcPr>
          <w:p>
            <w:pPr>
              <w:spacing w:after="0"/>
              <w:rPr>
                <w:sz w:val="20"/>
                <w:szCs w:val="20"/>
                <w:color w:val="auto"/>
              </w:rPr>
            </w:pPr>
            <w:r>
              <w:rPr>
                <w:rFonts w:ascii="Arial" w:cs="Arial" w:eastAsia="Arial" w:hAnsi="Arial"/>
                <w:sz w:val="18"/>
                <w:szCs w:val="18"/>
                <w:color w:val="auto"/>
              </w:rPr>
              <w:t>Total Purchase Price</w:t>
            </w:r>
          </w:p>
        </w:tc>
        <w:tc>
          <w:tcPr>
            <w:tcW w:w="980" w:type="dxa"/>
            <w:vAlign w:val="bottom"/>
          </w:tcPr>
          <w:p>
            <w:pPr>
              <w:jc w:val="right"/>
              <w:ind w:right="8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r>
      <w:tr>
        <w:trPr>
          <w:trHeight w:val="107"/>
        </w:trPr>
        <w:tc>
          <w:tcPr>
            <w:tcW w:w="5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76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4897755</wp:posOffset>
            </wp:positionH>
            <wp:positionV relativeFrom="page">
              <wp:posOffset>88900</wp:posOffset>
            </wp:positionV>
            <wp:extent cx="1367790"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67790" cy="1905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 plan the development of a new casino/hotel project named "Le Rêve" on the existing site. In accordance with SFAS No. 67, "Accounting for Costs and Initial Rental Operations of Real Estate Projects," both the casino/hotel operation and the golf course and related operations are being accounted for as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separate incidental operations. Under this method, incidental operations with a net income are excluded from the Company's consolidated operating results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net 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$3,611,000 and $1,198,000 for the year ended December 31, 2001 and the period April 21, 2000 through December 31, 2000, respectively. Incidental operations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38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38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4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Hotel/Golf Course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58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-1566545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-1566545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-1317625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-1317625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-1317625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-1317625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8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75" w:right="339" w:bottom="539" w:gutter="0" w:footer="0" w:header="0"/>
        </w:sectPr>
      </w:pPr>
    </w:p>
    <w:bookmarkStart w:id="151" w:name="page152"/>
    <w:bookmarkEnd w:id="151"/>
    <w:p>
      <w:pPr>
        <w:ind w:left="540" w:hanging="532"/>
        <w:spacing w:after="0"/>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88" w:lineRule="exact"/>
        <w:rPr>
          <w:sz w:val="20"/>
          <w:szCs w:val="20"/>
          <w:color w:val="auto"/>
        </w:rPr>
      </w:pPr>
    </w:p>
    <w:p>
      <w:pPr>
        <w:ind w:left="540" w:hanging="532"/>
        <w:spacing w:after="0"/>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7.</w:t>
            </w:r>
          </w:p>
        </w:tc>
        <w:tc>
          <w:tcPr>
            <w:tcW w:w="61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Related Parties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40" w:type="dxa"/>
            <w:vAlign w:val="bottom"/>
          </w:tcPr>
          <w:p>
            <w:pPr>
              <w:spacing w:after="0"/>
              <w:rPr>
                <w:sz w:val="24"/>
                <w:szCs w:val="24"/>
                <w:color w:val="auto"/>
              </w:rPr>
            </w:pPr>
          </w:p>
        </w:tc>
        <w:tc>
          <w:tcPr>
            <w:tcW w:w="6120" w:type="dxa"/>
            <w:vAlign w:val="bottom"/>
            <w:gridSpan w:val="2"/>
          </w:tcPr>
          <w:p>
            <w:pPr>
              <w:ind w:left="100"/>
              <w:spacing w:after="0"/>
              <w:rPr>
                <w:sz w:val="20"/>
                <w:szCs w:val="20"/>
                <w:color w:val="auto"/>
              </w:rPr>
            </w:pPr>
            <w:r>
              <w:rPr>
                <w:rFonts w:ascii="Arial" w:cs="Arial" w:eastAsia="Arial" w:hAnsi="Arial"/>
                <w:sz w:val="18"/>
                <w:szCs w:val="18"/>
                <w:color w:val="auto"/>
              </w:rPr>
              <w:t>At December 31 amounts due from related parties were as follows: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8"/>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Las Vegas CharterJet, LLC</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Kevyn, LLC</w:t>
            </w:r>
          </w:p>
        </w:tc>
        <w:tc>
          <w:tcPr>
            <w:tcW w:w="1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Related Parties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3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-1275080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-1275080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-1026160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-1026160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-1026160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-1026160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183" w:lineRule="exact"/>
        <w:rPr>
          <w:sz w:val="20"/>
          <w:szCs w:val="20"/>
          <w:color w:val="auto"/>
        </w:rPr>
      </w:pPr>
    </w:p>
    <w:p>
      <w:pPr>
        <w:ind w:left="540" w:hanging="532"/>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94" w:gutter="0" w:footer="0" w:header="0"/>
        </w:sectPr>
      </w:pPr>
    </w:p>
    <w:bookmarkStart w:id="152" w:name="page153"/>
    <w:bookmarkEnd w:id="152"/>
    <w:p>
      <w:pPr>
        <w:spacing w:after="0" w:line="8" w:lineRule="exact"/>
        <w:rPr>
          <w:sz w:val="20"/>
          <w:szCs w:val="20"/>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52" w:lineRule="exact"/>
        <w:rPr>
          <w:sz w:val="20"/>
          <w:szCs w:val="20"/>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8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4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6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6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2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53" w:lineRule="exact"/>
        <w:rPr>
          <w:sz w:val="20"/>
          <w:szCs w:val="20"/>
          <w:color w:val="auto"/>
        </w:rPr>
      </w:pPr>
    </w:p>
    <w:p>
      <w:pPr>
        <w:ind w:left="540" w:hanging="532"/>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48"/>
        <w:spacing w:after="0" w:line="306" w:lineRule="auto"/>
        <w:rPr>
          <w:sz w:val="20"/>
          <w:szCs w:val="20"/>
          <w:color w:val="auto"/>
        </w:rPr>
      </w:pPr>
      <w:r>
        <w:rPr>
          <w:rFonts w:ascii="Arial" w:cs="Arial" w:eastAsia="Arial" w:hAnsi="Arial"/>
          <w:sz w:val="16"/>
          <w:szCs w:val="16"/>
          <w:color w:val="auto"/>
        </w:rPr>
        <w:t>Through the completion of various legal agreements and transactions, in April 2002, the Company and Wynn Resorts (Macau), S.A achieved the contribution of Mr. Wynn's 90% ownership interest in Wynn Resorts (Macau), S.A. to the Company. In addition, Mr. Wynn made additional contributions to the Company including an approximate $8.6 million in cash and the right to be reimbursed for approximately $825,000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expenses advanced by him. These transactions were accounted for as approximately $32 million, in aggregate, of contributions to members' equity. No additional shares of Valvino Lamore, LLC were issued to Mr. Wynn in such contribution.</w:t>
      </w:r>
    </w:p>
    <w:p>
      <w:pPr>
        <w:spacing w:after="0" w:line="186" w:lineRule="exact"/>
        <w:rPr>
          <w:sz w:val="20"/>
          <w:szCs w:val="20"/>
          <w:color w:val="auto"/>
        </w:rPr>
      </w:pPr>
    </w:p>
    <w:p>
      <w:pPr>
        <w:ind w:left="540" w:right="300" w:firstLine="351"/>
        <w:spacing w:after="0" w:line="268" w:lineRule="auto"/>
        <w:rPr>
          <w:sz w:val="20"/>
          <w:szCs w:val="20"/>
          <w:color w:val="auto"/>
        </w:rPr>
      </w:pPr>
      <w:r>
        <w:rPr>
          <w:rFonts w:ascii="Arial" w:cs="Arial" w:eastAsia="Arial" w:hAnsi="Arial"/>
          <w:sz w:val="18"/>
          <w:szCs w:val="18"/>
          <w:color w:val="auto"/>
        </w:rPr>
        <w:t>In connection with this transaction, advances by the Company to Wynn Resorts (Macau), S.A., of approximately $458,000 were treated as capital contributions.</w:t>
      </w:r>
    </w:p>
    <w:p>
      <w:pPr>
        <w:spacing w:after="0" w:line="186" w:lineRule="exact"/>
        <w:rPr>
          <w:sz w:val="20"/>
          <w:szCs w:val="20"/>
          <w:color w:val="auto"/>
        </w:rPr>
      </w:pPr>
    </w:p>
    <w:p>
      <w:pPr>
        <w:ind w:left="540" w:right="760" w:firstLine="351"/>
        <w:spacing w:after="0" w:line="268" w:lineRule="auto"/>
        <w:rPr>
          <w:sz w:val="20"/>
          <w:szCs w:val="20"/>
          <w:color w:val="auto"/>
        </w:rPr>
      </w:pPr>
      <w:r>
        <w:rPr>
          <w:rFonts w:ascii="Arial" w:cs="Arial" w:eastAsia="Arial" w:hAnsi="Arial"/>
          <w:sz w:val="18"/>
          <w:szCs w:val="18"/>
          <w:color w:val="auto"/>
        </w:rPr>
        <w:t>In addition, in April 2002, Aruze USA, Inc. contributed an additional $120 million in cash and Baron Asset Fund contributed an additional approximately $20.3 million in cash.</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Immediately following those additional capital contributions, Mr. Wynn and Aruze USA, Inc. each owned 47.5% of the membership interests in the Company, and Baron Asset Fund owned 5% of the membership interests in the Company.</w:t>
      </w:r>
    </w:p>
    <w:p>
      <w:pPr>
        <w:spacing w:after="0" w:line="186"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53" w:lineRule="exact"/>
        <w:rPr>
          <w:sz w:val="20"/>
          <w:szCs w:val="20"/>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7)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In May 2002, the Company acquired World Travel and Las Vegas Jet, entities previously wholly owned by Mr. Wynn.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and estimates made by management. In connection with the acquisition, approximately $2 million of accounts payable to the Company were forgiven. The allocation of the purchase price will be complete within one year from the date of acquisitions and is as follows:</w:t>
      </w:r>
    </w:p>
    <w:p>
      <w:pPr>
        <w:sectPr>
          <w:pgSz w:w="11900" w:h="16847" w:orient="portrait"/>
          <w:cols w:equalWidth="0" w:num="1">
            <w:col w:w="11420"/>
          </w:cols>
          <w:pgMar w:left="240" w:top="604" w:right="239" w:bottom="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2300" w:type="dxa"/>
            <w:vAlign w:val="bottom"/>
          </w:tcPr>
          <w:p>
            <w:pPr>
              <w:jc w:val="center"/>
              <w:ind w:left="1052"/>
              <w:spacing w:after="0"/>
              <w:rPr>
                <w:sz w:val="20"/>
                <w:szCs w:val="20"/>
                <w:color w:val="auto"/>
              </w:rPr>
            </w:pPr>
            <w:r>
              <w:rPr>
                <w:rFonts w:ascii="Arial" w:cs="Arial" w:eastAsia="Arial" w:hAnsi="Arial"/>
                <w:sz w:val="14"/>
                <w:szCs w:val="14"/>
                <w:b w:val="1"/>
                <w:bCs w:val="1"/>
                <w:color w:val="auto"/>
                <w:w w:val="88"/>
              </w:rPr>
              <w:t>Allocated Fair Value</w:t>
            </w:r>
          </w:p>
        </w:tc>
      </w:tr>
      <w:tr>
        <w:trPr>
          <w:trHeight w:val="131"/>
        </w:trPr>
        <w:tc>
          <w:tcPr>
            <w:tcW w:w="8240" w:type="dxa"/>
            <w:vAlign w:val="bottom"/>
            <w:tcBorders>
              <w:bottom w:val="single" w:sz="8" w:color="808080"/>
            </w:tcBorders>
          </w:tcPr>
          <w:p>
            <w:pPr>
              <w:spacing w:after="0"/>
              <w:rPr>
                <w:sz w:val="11"/>
                <w:szCs w:val="11"/>
                <w:color w:val="auto"/>
              </w:rPr>
            </w:pPr>
          </w:p>
        </w:tc>
        <w:tc>
          <w:tcPr>
            <w:tcW w:w="2300" w:type="dxa"/>
            <w:vAlign w:val="bottom"/>
          </w:tcPr>
          <w:p>
            <w:pPr>
              <w:jc w:val="center"/>
              <w:ind w:left="1052"/>
              <w:spacing w:after="0" w:line="131" w:lineRule="exact"/>
              <w:rPr>
                <w:sz w:val="20"/>
                <w:szCs w:val="20"/>
                <w:color w:val="auto"/>
              </w:rPr>
            </w:pPr>
            <w:r>
              <w:rPr>
                <w:rFonts w:ascii="Arial" w:cs="Arial" w:eastAsia="Arial" w:hAnsi="Arial"/>
                <w:sz w:val="14"/>
                <w:szCs w:val="14"/>
                <w:b w:val="1"/>
                <w:bCs w:val="1"/>
                <w:color w:val="auto"/>
                <w:w w:val="86"/>
              </w:rPr>
              <w:t>($ 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7" w:orient="portrait"/>
          <w:cols w:equalWidth="0" w:num="1">
            <w:col w:w="11420"/>
          </w:cols>
          <w:pgMar w:left="240" w:top="604" w:right="239" w:bottom="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85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Airplane and related assets</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r>
      <w:tr>
        <w:trPr>
          <w:trHeight w:val="118"/>
        </w:trPr>
        <w:tc>
          <w:tcPr>
            <w:tcW w:w="858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19"/>
        </w:trPr>
        <w:tc>
          <w:tcPr>
            <w:tcW w:w="8580" w:type="dxa"/>
            <w:vAlign w:val="bottom"/>
          </w:tcPr>
          <w:p>
            <w:pPr>
              <w:spacing w:after="0"/>
              <w:rPr>
                <w:sz w:val="20"/>
                <w:szCs w:val="20"/>
                <w:color w:val="auto"/>
              </w:rPr>
            </w:pPr>
            <w:r>
              <w:rPr>
                <w:rFonts w:ascii="Arial" w:cs="Arial" w:eastAsia="Arial" w:hAnsi="Arial"/>
                <w:sz w:val="18"/>
                <w:szCs w:val="18"/>
                <w:color w:val="auto"/>
              </w:rPr>
              <w:t>Total cash paid</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r>
      <w:tr>
        <w:trPr>
          <w:trHeight w:val="107"/>
        </w:trPr>
        <w:tc>
          <w:tcPr>
            <w:tcW w:w="8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8580" w:type="dxa"/>
            <w:vAlign w:val="bottom"/>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5601335</wp:posOffset>
            </wp:positionH>
            <wp:positionV relativeFrom="page">
              <wp:posOffset>88900</wp:posOffset>
            </wp:positionV>
            <wp:extent cx="1736725" cy="190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36725" cy="1905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-323215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213" w:lineRule="exact"/>
        <w:rPr>
          <w:sz w:val="20"/>
          <w:szCs w:val="20"/>
          <w:color w:val="auto"/>
        </w:rPr>
      </w:pPr>
    </w:p>
    <w:p>
      <w:pPr>
        <w:ind w:left="1080" w:hanging="532"/>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right="60" w:firstLine="348"/>
        <w:spacing w:after="0" w:line="259" w:lineRule="auto"/>
        <w:rPr>
          <w:sz w:val="20"/>
          <w:szCs w:val="20"/>
          <w:color w:val="auto"/>
        </w:rPr>
      </w:pPr>
      <w:r>
        <w:rPr>
          <w:rFonts w:ascii="Arial" w:cs="Arial" w:eastAsia="Arial" w:hAnsi="Arial"/>
          <w:sz w:val="18"/>
          <w:szCs w:val="18"/>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97"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 of the amounts outstanding to term loans with the same terms and conditions as those made under the delay draw term loan facility.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20" w:firstLine="348"/>
        <w:spacing w:after="0" w:line="254" w:lineRule="auto"/>
        <w:rPr>
          <w:sz w:val="20"/>
          <w:szCs w:val="20"/>
          <w:color w:val="auto"/>
        </w:rPr>
      </w:pPr>
      <w:r>
        <w:rPr>
          <w:rFonts w:ascii="Arial" w:cs="Arial" w:eastAsia="Arial" w:hAnsi="Arial"/>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casinos in Macau. Under the concession agreement, Wynn Resorts (Macau), S.A. is obligated to invest at lease 4 billion Macau patacas (approximately US $500 million at July 31, 2002) in building its Macau casino(s) by June 26, 2009.</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99" w:lineRule="exact"/>
        <w:rPr>
          <w:sz w:val="20"/>
          <w:szCs w:val="20"/>
          <w:color w:val="auto"/>
        </w:rPr>
      </w:pPr>
    </w:p>
    <w:p>
      <w:pPr>
        <w:ind w:left="540" w:hanging="532"/>
        <w:spacing w:after="0"/>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Condensed Consolidating Financial Information of Guarantors and Issuers</w:t>
      </w:r>
    </w:p>
    <w:p>
      <w:pPr>
        <w:sectPr>
          <w:pgSz w:w="11900" w:h="16838" w:orient="portrait"/>
          <w:cols w:equalWidth="0" w:num="1">
            <w:col w:w="11420"/>
          </w:cols>
          <w:pgMar w:left="240" w:top="275" w:right="239" w:bottom="107" w:gutter="0" w:footer="0" w:header="0"/>
        </w:sectPr>
      </w:pPr>
    </w:p>
    <w:bookmarkStart w:id="154" w:name="page155"/>
    <w:bookmarkEnd w:id="154"/>
    <w:p>
      <w:pPr>
        <w:ind w:right="260" w:firstLine="348"/>
        <w:spacing w:after="0" w:line="255" w:lineRule="auto"/>
        <w:rPr>
          <w:sz w:val="20"/>
          <w:szCs w:val="20"/>
          <w:color w:val="auto"/>
        </w:rPr>
      </w:pPr>
      <w:r>
        <w:rPr>
          <w:rFonts w:ascii="Arial" w:cs="Arial" w:eastAsia="Arial" w:hAnsi="Arial"/>
          <w:sz w:val="18"/>
          <w:szCs w:val="18"/>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The following combining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Intercompany Balances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288,658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(166,852)</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(118,445)</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(3,361)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Members'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Contributed 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Deficit Accumulated from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Inception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Development Stage</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(27,555)</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(1,385)</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(9,054)</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(9,036)</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563,109</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-5725795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-5725795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-5725795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-5725795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-5725795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-5725795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-5725795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-5725795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-5725795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-5725795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-5725795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-5725795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-4336415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-4336415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-4336415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-4336415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-4336415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-4336415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-4336415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-4336415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-4336415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-4336415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-4336415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-4336415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-3342005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-3342005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-3342005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-3342005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-3342005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-3342005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-3342005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-3342005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-3342005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-3342005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-3342005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-3342005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-2038350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-2038350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-2038350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-2038350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-2038350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-2038350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-2038350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-2038350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-2038350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-2038350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-2038350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-2038350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-751840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-751840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-751840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-751840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-751840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-460375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-460375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-460375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-460375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-460375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-460375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55" w:name="page156"/>
    <w:bookmarkEnd w:id="155"/>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Valvino Lamore,</w:t>
            </w:r>
          </w:p>
        </w:tc>
        <w:tc>
          <w:tcPr>
            <w:tcW w:w="40" w:type="dxa"/>
            <w:vAlign w:val="bottom"/>
          </w:tcPr>
          <w:p>
            <w:pPr>
              <w:spacing w:after="0"/>
              <w:rPr>
                <w:sz w:val="14"/>
                <w:szCs w:val="14"/>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Wynn Las Vegas,</w:t>
            </w:r>
          </w:p>
        </w:tc>
        <w:tc>
          <w:tcPr>
            <w:tcW w:w="180" w:type="dxa"/>
            <w:vAlign w:val="bottom"/>
          </w:tcPr>
          <w:p>
            <w:pPr>
              <w:spacing w:after="0"/>
              <w:rPr>
                <w:sz w:val="14"/>
                <w:szCs w:val="14"/>
                <w:color w:val="auto"/>
              </w:rPr>
            </w:pPr>
          </w:p>
        </w:tc>
        <w:tc>
          <w:tcPr>
            <w:tcW w:w="11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5"/>
                <w:szCs w:val="15"/>
                <w:color w:val="auto"/>
              </w:rPr>
            </w:pPr>
          </w:p>
        </w:tc>
        <w:tc>
          <w:tcPr>
            <w:tcW w:w="11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Guarantors</w:t>
            </w:r>
          </w:p>
        </w:tc>
        <w:tc>
          <w:tcPr>
            <w:tcW w:w="18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All Other Non-Guarantors</w:t>
            </w:r>
          </w:p>
        </w:tc>
        <w:tc>
          <w:tcPr>
            <w:tcW w:w="13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Eliminating Entries</w:t>
            </w:r>
          </w:p>
        </w:tc>
        <w:tc>
          <w:tcPr>
            <w:tcW w:w="140" w:type="dxa"/>
            <w:vAlign w:val="bottom"/>
          </w:tcPr>
          <w:p>
            <w:pPr>
              <w:spacing w:after="0"/>
              <w:rPr>
                <w:sz w:val="15"/>
                <w:szCs w:val="15"/>
                <w:color w:val="auto"/>
              </w:rPr>
            </w:pPr>
          </w:p>
        </w:tc>
        <w:tc>
          <w:tcPr>
            <w:tcW w:w="1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1240" w:type="dxa"/>
            <w:vAlign w:val="bottom"/>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39,271</w:t>
            </w: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right w:val="single" w:sz="8" w:color="CCEEFF"/>
            </w:tcBorders>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41,507</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272,071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54,184</w:t>
            </w:r>
          </w:p>
        </w:tc>
        <w:tc>
          <w:tcPr>
            <w:tcW w:w="1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337,464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Intercompany Balances, Net of Current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(2,302)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(66,270)</w:t>
            </w:r>
          </w:p>
        </w:tc>
        <w:tc>
          <w:tcPr>
            <w:tcW w:w="1800" w:type="dxa"/>
            <w:vAlign w:val="bottom"/>
            <w:gridSpan w:val="4"/>
          </w:tcPr>
          <w:p>
            <w:pPr>
              <w:jc w:val="right"/>
              <w:ind w:right="40"/>
              <w:spacing w:after="0"/>
              <w:rPr>
                <w:sz w:val="20"/>
                <w:szCs w:val="20"/>
                <w:color w:val="auto"/>
              </w:rPr>
            </w:pPr>
            <w:r>
              <w:rPr>
                <w:rFonts w:ascii="Arial" w:cs="Arial" w:eastAsia="Arial" w:hAnsi="Arial"/>
                <w:sz w:val="18"/>
                <w:szCs w:val="18"/>
                <w:color w:val="auto"/>
              </w:rPr>
              <w:t>(11,785)</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395,520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(3,539)</w:t>
            </w:r>
          </w:p>
        </w:tc>
        <w:tc>
          <w:tcPr>
            <w:tcW w:w="1240" w:type="dxa"/>
            <w:vAlign w:val="bottom"/>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390,788</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2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20" w:type="dxa"/>
            <w:vAlign w:val="bottom"/>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 Equity: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4"/>
                <w:szCs w:val="24"/>
                <w:color w:val="auto"/>
              </w:rPr>
            </w:pPr>
          </w:p>
        </w:tc>
        <w:tc>
          <w:tcPr>
            <w:tcW w:w="360" w:type="dxa"/>
            <w:vAlign w:val="bottom"/>
            <w:gridSpan w:val="2"/>
          </w:tcPr>
          <w:p>
            <w:pPr>
              <w:jc w:val="right"/>
              <w:ind w:right="172"/>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4"/>
                <w:szCs w:val="24"/>
                <w:color w:val="auto"/>
              </w:rPr>
            </w:pPr>
          </w:p>
        </w:tc>
        <w:tc>
          <w:tcPr>
            <w:tcW w:w="1240" w:type="dxa"/>
            <w:vAlign w:val="bottom"/>
          </w:tcPr>
          <w:p>
            <w:pPr>
              <w:jc w:val="right"/>
              <w:ind w:right="1079"/>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right w:val="single" w:sz="8" w:color="CCEEFF"/>
            </w:tcBorders>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9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Contributed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412,572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(19,016)</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(5,742)</w:t>
            </w:r>
          </w:p>
        </w:tc>
        <w:tc>
          <w:tcPr>
            <w:tcW w:w="12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(26,054)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393,556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(5,724)</w:t>
            </w:r>
          </w:p>
        </w:tc>
        <w:tc>
          <w:tcPr>
            <w:tcW w:w="124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(614)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386,518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395,520</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(3,539)</w:t>
            </w:r>
          </w:p>
        </w:tc>
        <w:tc>
          <w:tcPr>
            <w:tcW w:w="1240" w:type="dxa"/>
            <w:vAlign w:val="bottom"/>
            <w:shd w:val="clear" w:color="auto" w:fill="CCEEFF"/>
          </w:tcPr>
          <w:p>
            <w:pPr>
              <w:jc w:val="right"/>
              <w:ind w:right="1079"/>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390,788</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F-22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gridSpan w:val="5"/>
          </w:tcPr>
          <w:p>
            <w:pPr>
              <w:spacing w:after="0"/>
              <w:rPr>
                <w:sz w:val="19"/>
                <w:szCs w:val="19"/>
                <w:color w:val="auto"/>
              </w:rPr>
            </w:pPr>
          </w:p>
        </w:tc>
        <w:tc>
          <w:tcPr>
            <w:tcW w:w="120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74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jc w:val="center"/>
              <w:ind w:left="5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12"/>
          </w:tcPr>
          <w:p>
            <w:pPr>
              <w:jc w:val="center"/>
              <w:ind w:right="519"/>
              <w:spacing w:after="0"/>
              <w:rPr>
                <w:sz w:val="20"/>
                <w:szCs w:val="20"/>
                <w:color w:val="auto"/>
              </w:rPr>
            </w:pPr>
            <w:r>
              <w:rPr>
                <w:rFonts w:ascii="Arial" w:cs="Arial" w:eastAsia="Arial" w:hAnsi="Arial"/>
                <w:sz w:val="18"/>
                <w:szCs w:val="18"/>
                <w:b w:val="1"/>
                <w:bCs w:val="1"/>
                <w:color w:val="auto"/>
                <w:w w:val="97"/>
              </w:rPr>
              <w:t>CONSOLIDATING BALANCE SHEETS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9"/>
          </w:tcPr>
          <w:p>
            <w:pPr>
              <w:jc w:val="center"/>
              <w:ind w:right="1099"/>
              <w:spacing w:after="0"/>
              <w:rPr>
                <w:sz w:val="20"/>
                <w:szCs w:val="20"/>
                <w:color w:val="auto"/>
              </w:rPr>
            </w:pPr>
            <w:r>
              <w:rPr>
                <w:rFonts w:ascii="Arial" w:cs="Arial" w:eastAsia="Arial" w:hAnsi="Arial"/>
                <w:sz w:val="18"/>
                <w:szCs w:val="18"/>
                <w:b w:val="1"/>
                <w:bCs w:val="1"/>
                <w:color w:val="auto"/>
                <w:w w:val="87"/>
              </w:rPr>
              <w:t>As of December 31, 2000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8"/>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88"/>
              </w:rPr>
              <w:t>Valvino Lamore,</w:t>
            </w:r>
          </w:p>
        </w:tc>
        <w:tc>
          <w:tcPr>
            <w:tcW w:w="220" w:type="dxa"/>
            <w:vAlign w:val="bottom"/>
          </w:tcPr>
          <w:p>
            <w:pPr>
              <w:spacing w:after="0"/>
              <w:rPr>
                <w:sz w:val="24"/>
                <w:szCs w:val="24"/>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LLC</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w w:val="95"/>
              </w:rPr>
              <w:t>All Other Non-Guarantors</w:t>
            </w:r>
          </w:p>
        </w:tc>
        <w:tc>
          <w:tcPr>
            <w:tcW w:w="220" w:type="dxa"/>
            <w:vAlign w:val="bottom"/>
          </w:tcPr>
          <w:p>
            <w:pPr>
              <w:spacing w:after="0"/>
              <w:rPr>
                <w:sz w:val="15"/>
                <w:szCs w:val="15"/>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Eliminating Entries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700" w:type="dxa"/>
            <w:vAlign w:val="bottom"/>
            <w:tcBorders>
              <w:right w:val="single" w:sz="8" w:color="CCEEFF"/>
            </w:tcBorders>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tcBorders>
              <w:right w:val="single" w:sz="8" w:color="CCEEFF"/>
            </w:tcBorders>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right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Due from Related Parties, Current</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-8948420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-8948420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-8948420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-8948420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-8948420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-8948420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-8948420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-8948420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-8948420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-8948420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-8948420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-8948420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-7559040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-7559040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-7559040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-7559040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-7559040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-7559040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-7559040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-7559040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-7559040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-7559040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-7559040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-7559040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-6426835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-6426835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-6426835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-6426835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-6426835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-6426835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-6426835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-6426835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-6426835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-6426835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-6426835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-6426835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-4968875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-4968875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-4968875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-4968875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-4968875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-4968875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-4968875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-4968875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-4968875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-4968875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-4968875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-4968875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-3700145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-3700145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-3700145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-3700145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-3700145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-3700145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-3700145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-3700145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-3700145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-3700145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-3700145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-3700145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-3408045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-3408045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-3408045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-3408045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-3408045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-3408045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-3408045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-3408045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-3408045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-3408045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-3408045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-3408045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-2465070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-2465070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-818515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-818515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-818515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-818515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-818515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-818515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-818515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-818515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-818515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-818515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66,556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27,516</w:t>
            </w: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7"/>
              </w:rPr>
              <w:t>Intercompany Balances, Net of Current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(27,912)</w:t>
            </w:r>
          </w:p>
        </w:tc>
        <w:tc>
          <w:tcPr>
            <w:tcW w:w="6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(2,845)</w:t>
            </w:r>
          </w:p>
        </w:tc>
        <w:tc>
          <w:tcPr>
            <w:tcW w:w="560" w:type="dxa"/>
            <w:vAlign w:val="bottom"/>
          </w:tcPr>
          <w:p>
            <w:pPr>
              <w:spacing w:after="0"/>
              <w:rPr>
                <w:sz w:val="19"/>
                <w:szCs w:val="19"/>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680" w:type="dxa"/>
            <w:vAlign w:val="bottom"/>
          </w:tcPr>
          <w:p>
            <w:pPr>
              <w:jc w:val="right"/>
              <w:ind w:right="5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Members' Equity Contributed Capital</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392,572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Deficit Accumulated from Inception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During the Development Stage</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3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6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384,010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6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Members'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7"/>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F-23</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-4610735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-4610735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-4610735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-4610735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-4610735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-4610735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-4610735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-4610735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-4610735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-4610735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-3719195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-3719195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-3719195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-3719195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-3719195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-3719195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-3719195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-3719195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-3719195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-3719195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-2381250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-2381250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-2381250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-2381250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-2381250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-2381250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-2381250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-2381250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-2381250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-2381250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-1249045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-1249045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-1249045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-1249045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-1249045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-1249045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-1249045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-1249045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-1249045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-1249045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-957580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-957580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-957580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-957580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-957580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-957580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-957580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-957580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-957580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-957580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left="232"/>
              <w:spacing w:after="0"/>
              <w:rPr>
                <w:sz w:val="20"/>
                <w:szCs w:val="20"/>
                <w:color w:val="auto"/>
              </w:rPr>
            </w:pPr>
            <w:r>
              <w:rPr>
                <w:rFonts w:ascii="Arial" w:cs="Arial" w:eastAsia="Arial" w:hAnsi="Arial"/>
                <w:sz w:val="14"/>
                <w:szCs w:val="14"/>
                <w:b w:val="1"/>
                <w:bCs w:val="1"/>
                <w:color w:val="auto"/>
                <w:w w:val="87"/>
              </w:rPr>
              <w:t>Wynn Las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6"/>
              </w:rPr>
              <w:t>Vegas, LLC</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6"/>
              </w:rPr>
              <w:t>and Wynn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4"/>
              </w:rPr>
              <w:t>Valvino</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3"/>
              </w:rPr>
              <w:t>Las Vegas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center"/>
              <w:ind w:left="312"/>
              <w:spacing w:after="0"/>
              <w:rPr>
                <w:sz w:val="20"/>
                <w:szCs w:val="20"/>
                <w:color w:val="auto"/>
              </w:rPr>
            </w:pPr>
            <w:r>
              <w:rPr>
                <w:rFonts w:ascii="Arial" w:cs="Arial" w:eastAsia="Arial" w:hAnsi="Arial"/>
                <w:sz w:val="14"/>
                <w:szCs w:val="14"/>
                <w:b w:val="1"/>
                <w:bCs w:val="1"/>
                <w:color w:val="auto"/>
                <w:w w:val="93"/>
              </w:rPr>
              <w:t>Lamore, LLC</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left="232"/>
              <w:spacing w:after="0"/>
              <w:rPr>
                <w:sz w:val="20"/>
                <w:szCs w:val="20"/>
                <w:color w:val="auto"/>
              </w:rPr>
            </w:pPr>
            <w:r>
              <w:rPr>
                <w:rFonts w:ascii="Arial" w:cs="Arial" w:eastAsia="Arial" w:hAnsi="Arial"/>
                <w:sz w:val="14"/>
                <w:szCs w:val="14"/>
                <w:b w:val="1"/>
                <w:bCs w:val="1"/>
                <w:color w:val="auto"/>
                <w:w w:val="89"/>
              </w:rPr>
              <w:t>Capital Corp.</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128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220"/>
              <w:spacing w:after="0"/>
              <w:rPr>
                <w:sz w:val="20"/>
                <w:szCs w:val="20"/>
                <w:color w:val="auto"/>
              </w:rPr>
            </w:pPr>
            <w:r>
              <w:rPr>
                <w:rFonts w:ascii="Arial" w:cs="Arial" w:eastAsia="Arial" w:hAnsi="Arial"/>
                <w:sz w:val="18"/>
                <w:szCs w:val="18"/>
                <w:color w:val="auto"/>
              </w:rPr>
              <w:t>—  $</w:t>
            </w:r>
          </w:p>
        </w:tc>
        <w:tc>
          <w:tcPr>
            <w:tcW w:w="62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Retail</w:t>
            </w: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gridSpan w:val="3"/>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gridSpan w:val="3"/>
          </w:tcPr>
          <w:p>
            <w:pPr>
              <w:jc w:val="right"/>
              <w:ind w:right="12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1,713</w:t>
            </w:r>
          </w:p>
        </w:tc>
        <w:tc>
          <w:tcPr>
            <w:tcW w:w="1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4,132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2,876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3,262</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1,535</w:t>
            </w:r>
          </w:p>
        </w:tc>
        <w:tc>
          <w:tcPr>
            <w:tcW w:w="116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gridSpan w:val="3"/>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gridSpan w:val="3"/>
          </w:tcPr>
          <w:p>
            <w:pPr>
              <w:jc w:val="right"/>
              <w:ind w:right="1212"/>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Loss / (Gain) from Incidental</w:t>
            </w: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11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-3204210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-3204210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-3204210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-3204210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-3204210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-3204210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-3204210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-3204210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-3204210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-3204210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-3204210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-2295525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-2295525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-2295525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-2295525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-2295525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-2295525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-2295525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-2295525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-2295525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-2295525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-2295525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-2295525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-14605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-14605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5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6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(2,534)</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(1,771)</w:t>
            </w: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(8,539)</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660" w:type="dxa"/>
            <w:vAlign w:val="bottom"/>
          </w:tcPr>
          <w:p>
            <w:pPr>
              <w:jc w:val="right"/>
              <w:ind w:right="5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3"/>
          </w:tcPr>
          <w:p>
            <w:pPr>
              <w:jc w:val="right"/>
              <w:ind w:right="303"/>
              <w:spacing w:after="0"/>
              <w:rPr>
                <w:sz w:val="20"/>
                <w:szCs w:val="20"/>
                <w:color w:val="auto"/>
              </w:rPr>
            </w:pPr>
            <w:r>
              <w:rPr>
                <w:rFonts w:ascii="Arial" w:cs="Arial" w:eastAsia="Arial" w:hAnsi="Arial"/>
                <w:sz w:val="18"/>
                <w:szCs w:val="18"/>
                <w:color w:val="auto"/>
              </w:rPr>
              <w:t>F-24</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-2569845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-2569845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-2569845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-2569845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-2569845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-2569845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-2569845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-2569845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-2569845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-2569845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-2569845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-1557655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-1557655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-1557655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-1557655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-1557655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-1557655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-1557655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-1557655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-1557655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-1557655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-1249045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-1249045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-1249045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-1249045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-1249045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-1249045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-1249045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-1249045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-1249045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2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(5,712)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-4627880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-4627880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-4627880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-4627880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-4627880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-4627880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-4627880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-4627880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-4627880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-4627880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-4627880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-4027805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-4027805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-4027805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-4027805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-4027805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-4027805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-4027805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-4027805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-4027805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-4027805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-2415540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-2415540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-2415540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-2415540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-2415540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-2415540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-1403350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-1403350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-1403350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-1403350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-1403350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-1403350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-1403350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-1403350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-1094740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-1094740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-1094740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-1094740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-1094740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-1094740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-1094740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-1094740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ectPr>
          <w:pgSz w:w="11900" w:h="16838" w:orient="portrait"/>
          <w:cols w:equalWidth="0" w:num="1">
            <w:col w:w="11420"/>
          </w:cols>
          <w:pgMar w:left="240" w:top="131" w:right="239" w:bottom="0" w:gutter="0" w:footer="0" w:header="0"/>
        </w:sectPr>
      </w:pPr>
    </w:p>
    <w:bookmarkStart w:id="158" w:name="page159"/>
    <w:bookmarkEnd w:id="158"/>
    <w:p>
      <w:pPr>
        <w:spacing w:after="0" w:line="3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(12,788)</w:t>
            </w: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 (Expense)</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Net Loss Accumulated During</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Development Stage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ind w:right="52"/>
              <w:spacing w:after="0"/>
              <w:rPr>
                <w:sz w:val="20"/>
                <w:szCs w:val="20"/>
                <w:color w:val="auto"/>
              </w:rPr>
            </w:pPr>
            <w:r>
              <w:rPr>
                <w:rFonts w:ascii="Arial" w:cs="Arial" w:eastAsia="Arial" w:hAnsi="Arial"/>
                <w:sz w:val="18"/>
                <w:szCs w:val="18"/>
                <w:color w:val="auto"/>
              </w:rPr>
              <w:t>F-26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-5777230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-5777230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-5777230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-5777230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-5777230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-5777230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-5777230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-5777230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-5777230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-5777230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-5777230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-5777230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-4867910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-4867910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-4867910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-4867910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-4867910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-4867910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-4867910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-4867910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-4867910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-4867910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-4867910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-4867910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-2844165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-2844165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-2844165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-2844165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-2844165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-2844165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-2844165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-2844165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-2844165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-2535555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-2535555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-2535555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-2535555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-2535555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-2535555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-2535555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-2535555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-1403350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-1403350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-1403350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Valvino</w:t>
            </w:r>
          </w:p>
        </w:tc>
        <w:tc>
          <w:tcPr>
            <w:tcW w:w="16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All Other</w:t>
            </w:r>
          </w:p>
        </w:tc>
        <w:tc>
          <w:tcPr>
            <w:tcW w:w="1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All Other</w:t>
            </w: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Eliminating</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Lamore, LLC</w:t>
            </w:r>
          </w:p>
        </w:tc>
        <w:tc>
          <w:tcPr>
            <w:tcW w:w="16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Guarantors</w:t>
            </w:r>
          </w:p>
        </w:tc>
        <w:tc>
          <w:tcPr>
            <w:tcW w:w="1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Non-Guarantors</w:t>
            </w: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Entries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82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62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9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1"/>
                <w:szCs w:val="21"/>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 (Gain) from Incidental Operations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4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(9,979)</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4"/>
                <w:szCs w:val="24"/>
                <w:color w:val="auto"/>
              </w:rPr>
            </w:pP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431"/>
        </w:trPr>
        <w:tc>
          <w:tcPr>
            <w:tcW w:w="344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Amounts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-2412365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-2412365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-2412365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-2412365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-2412365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-2412365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-2412365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-2412365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-2412365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-2412365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-1211580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-1211580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-1211580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-1211580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-1211580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-1211580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-1211580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-1211580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-1211580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-1211580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9" w:orient="portrait"/>
          <w:cols w:equalWidth="0" w:num="1">
            <w:col w:w="11520"/>
          </w:cols>
          <w:pgMar w:left="240" w:top="342" w:right="139" w:bottom="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43"/>
        </w:trPr>
        <w:tc>
          <w:tcPr>
            <w:tcW w:w="34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46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 the</w:t>
            </w: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460"/>
              <w:spacing w:after="0"/>
              <w:rPr>
                <w:sz w:val="20"/>
                <w:szCs w:val="20"/>
                <w:color w:val="auto"/>
              </w:rPr>
            </w:pPr>
            <w:r>
              <w:rPr>
                <w:rFonts w:ascii="Arial" w:cs="Arial" w:eastAsia="Arial" w:hAnsi="Arial"/>
                <w:sz w:val="18"/>
                <w:szCs w:val="18"/>
                <w:color w:val="auto"/>
              </w:rPr>
              <w:t>Development Stage</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(8,562)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7"/>
        </w:trPr>
        <w:tc>
          <w:tcPr>
            <w:tcW w:w="3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8"/>
                <w:szCs w:val="18"/>
                <w:color w:val="auto"/>
              </w:rPr>
              <w:t>F-27</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2333625</wp:posOffset>
            </wp:positionH>
            <wp:positionV relativeFrom="page">
              <wp:posOffset>88900</wp:posOffset>
            </wp:positionV>
            <wp:extent cx="5098415" cy="1905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098415" cy="1905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-957580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-957580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-957580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-957580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-957580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Loss/(Gain) on Affiliate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Transactions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Loss/(Gain) on Sale of Fixed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Loss/(Gain) from Incidental</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(29,535)</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(5,586)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8"/>
                <w:szCs w:val="18"/>
                <w:color w:val="auto"/>
              </w:rPr>
              <w:t>F-28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-5948680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-5948680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-5948680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-5948680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-5948680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-5948680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-5948680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-5948680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-5948680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-5948680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-5948680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-5948680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-5039995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-5039995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-5039995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-5039995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-5039995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-5039995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-5039995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-5039995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-5039995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-5039995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-5039995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-5039995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-2724150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-2724150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-2724150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-2724150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-2724150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-2724150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-1557655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-1557655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-1557655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-1557655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-1557655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-1557655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-1557655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Six Months Ended June 30, 2002</w:t>
      </w:r>
    </w:p>
    <w:p>
      <w:pPr>
        <w:sectPr>
          <w:pgSz w:w="11900" w:h="16838" w:orient="portrait"/>
          <w:cols w:equalWidth="0" w:num="1">
            <w:col w:w="11520"/>
          </w:cols>
          <w:pgMar w:left="240" w:top="356" w:right="139" w:bottom="0" w:gutter="0" w:footer="0" w:header="0"/>
        </w:sectPr>
      </w:pPr>
    </w:p>
    <w:bookmarkStart w:id="160" w:name="page161"/>
    <w:bookmarkEnd w:id="160"/>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87"/>
              </w:rPr>
              <w:t>Wynn Las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08"/>
              <w:spacing w:after="0" w:line="149" w:lineRule="exact"/>
              <w:rPr>
                <w:sz w:val="20"/>
                <w:szCs w:val="20"/>
                <w:color w:val="auto"/>
              </w:rPr>
            </w:pPr>
            <w:r>
              <w:rPr>
                <w:rFonts w:ascii="Arial" w:cs="Arial" w:eastAsia="Arial" w:hAnsi="Arial"/>
                <w:sz w:val="14"/>
                <w:szCs w:val="14"/>
                <w:b w:val="1"/>
                <w:bCs w:val="1"/>
                <w:color w:val="auto"/>
                <w:w w:val="86"/>
              </w:rPr>
              <w:t>Vegas, LLC</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89"/>
              </w:rPr>
              <w:t>and Wynn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left="308"/>
              <w:spacing w:after="0" w:line="149" w:lineRule="exact"/>
              <w:rPr>
                <w:sz w:val="20"/>
                <w:szCs w:val="20"/>
                <w:color w:val="auto"/>
              </w:rPr>
            </w:pPr>
            <w:r>
              <w:rPr>
                <w:rFonts w:ascii="Arial" w:cs="Arial" w:eastAsia="Arial" w:hAnsi="Arial"/>
                <w:sz w:val="14"/>
                <w:szCs w:val="14"/>
                <w:b w:val="1"/>
                <w:bCs w:val="1"/>
                <w:color w:val="auto"/>
                <w:w w:val="83"/>
              </w:rPr>
              <w:t>Las Vegas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392"/>
              <w:spacing w:after="0"/>
              <w:rPr>
                <w:sz w:val="20"/>
                <w:szCs w:val="20"/>
                <w:color w:val="auto"/>
              </w:rPr>
            </w:pPr>
            <w:r>
              <w:rPr>
                <w:rFonts w:ascii="Arial" w:cs="Arial" w:eastAsia="Arial" w:hAnsi="Arial"/>
                <w:sz w:val="14"/>
                <w:szCs w:val="14"/>
                <w:b w:val="1"/>
                <w:bCs w:val="1"/>
                <w:color w:val="auto"/>
              </w:rPr>
              <w:t>Lamore, LLC</w:t>
            </w: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Capital Corp.</w:t>
            </w:r>
          </w:p>
        </w:tc>
        <w:tc>
          <w:tcPr>
            <w:tcW w:w="13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13"/>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(8,539)</w:t>
            </w:r>
          </w:p>
        </w:tc>
        <w:tc>
          <w:tcPr>
            <w:tcW w:w="940" w:type="dxa"/>
            <w:vAlign w:val="bottom"/>
          </w:tcPr>
          <w:p>
            <w:pPr>
              <w:jc w:val="right"/>
              <w:ind w:right="78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(703)</w:t>
            </w:r>
          </w:p>
        </w:tc>
        <w:tc>
          <w:tcPr>
            <w:tcW w:w="780" w:type="dxa"/>
            <w:vAlign w:val="bottom"/>
          </w:tcPr>
          <w:p>
            <w:pPr>
              <w:jc w:val="right"/>
              <w:ind w:right="659"/>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9"/>
              </w:rPr>
              <w:t>(3,312)</w:t>
            </w:r>
          </w:p>
        </w:tc>
        <w:tc>
          <w:tcPr>
            <w:tcW w:w="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(4,954)</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2,815</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to Reconcile Net Loss Accumulated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During the Development Stage to Net Cash Provided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Loss/(Gain) on Affiliate Transactions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w w:val="99"/>
              </w:rPr>
              <w:t>(1,020)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(1,788)</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(260)</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00" w:type="dxa"/>
            <w:vAlign w:val="bottom"/>
            <w:gridSpan w:val="3"/>
          </w:tcPr>
          <w:p>
            <w:pPr>
              <w:jc w:val="right"/>
              <w:ind w:right="4"/>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80" w:type="dxa"/>
            <w:vAlign w:val="bottom"/>
            <w:gridSpan w:val="2"/>
          </w:tcPr>
          <w:p>
            <w:pPr>
              <w:spacing w:after="0"/>
              <w:rPr>
                <w:sz w:val="20"/>
                <w:szCs w:val="20"/>
                <w:color w:val="auto"/>
              </w:rPr>
            </w:pPr>
            <w:r>
              <w:rPr>
                <w:rFonts w:ascii="Arial" w:cs="Arial" w:eastAsia="Arial" w:hAnsi="Arial"/>
                <w:sz w:val="14"/>
                <w:szCs w:val="14"/>
                <w:color w:val="auto"/>
                <w:w w:val="89"/>
              </w:rPr>
              <w:t>Net Cash Provided by / (Used in) Operating Activities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(2,522)</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w w:val="99"/>
              </w:rPr>
              <w:t>(3,243)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3"/>
                <w:szCs w:val="23"/>
                <w:color w:val="auto"/>
              </w:rPr>
            </w:pPr>
          </w:p>
        </w:tc>
        <w:tc>
          <w:tcPr>
            <w:tcW w:w="1100" w:type="dxa"/>
            <w:vAlign w:val="bottom"/>
            <w:gridSpan w:val="3"/>
          </w:tcPr>
          <w:p>
            <w:pPr>
              <w:jc w:val="right"/>
              <w:ind w:right="4"/>
              <w:spacing w:after="0"/>
              <w:rPr>
                <w:sz w:val="20"/>
                <w:szCs w:val="20"/>
                <w:color w:val="auto"/>
              </w:rPr>
            </w:pPr>
            <w:r>
              <w:rPr>
                <w:rFonts w:ascii="Arial" w:cs="Arial" w:eastAsia="Arial" w:hAnsi="Arial"/>
                <w:sz w:val="14"/>
                <w:szCs w:val="14"/>
                <w:color w:val="auto"/>
              </w:rPr>
              <w:t>(2,093)</w:t>
            </w:r>
          </w:p>
        </w:tc>
        <w:tc>
          <w:tcPr>
            <w:tcW w:w="14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(19,222)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99"/>
              </w:rPr>
              <w:t>(9,591)</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w w:val="95"/>
              </w:rPr>
              <w:t>(27,518)</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(589)</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(562)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23,805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5"/>
              </w:rPr>
              <w:t>(27,051)</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31,648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(7,684)</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2,092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Investing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(54,561)</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2,571</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2,273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tcBorders>
              <w:right w:val="single" w:sz="8" w:color="CCEEFF"/>
            </w:tcBorders>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25,897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(23,438)</w:t>
            </w:r>
          </w:p>
        </w:tc>
        <w:tc>
          <w:tcPr>
            <w:tcW w:w="0" w:type="dxa"/>
            <w:vAlign w:val="bottom"/>
          </w:tcPr>
          <w:p>
            <w:pPr>
              <w:spacing w:after="0"/>
              <w:rPr>
                <w:sz w:val="1"/>
                <w:szCs w:val="1"/>
                <w:color w:val="auto"/>
              </w:rPr>
            </w:pPr>
          </w:p>
        </w:tc>
      </w:tr>
      <w:tr>
        <w:trPr>
          <w:trHeight w:val="118"/>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173,494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
              <w:spacing w:after="0"/>
              <w:rPr>
                <w:sz w:val="20"/>
                <w:szCs w:val="20"/>
                <w:color w:val="auto"/>
              </w:rPr>
            </w:pPr>
            <w:r>
              <w:rPr>
                <w:rFonts w:ascii="Arial" w:cs="Arial" w:eastAsia="Arial" w:hAnsi="Arial"/>
                <w:sz w:val="14"/>
                <w:szCs w:val="14"/>
                <w:color w:val="auto"/>
              </w:rPr>
              <w:t>(23,804)</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Macau</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960" w:type="dxa"/>
            <w:vAlign w:val="bottom"/>
          </w:tcPr>
          <w:p>
            <w:pPr>
              <w:ind w:left="440"/>
              <w:spacing w:after="0"/>
              <w:rPr>
                <w:sz w:val="20"/>
                <w:szCs w:val="20"/>
                <w:color w:val="auto"/>
              </w:rPr>
            </w:pPr>
            <w:r>
              <w:rPr>
                <w:rFonts w:ascii="Arial" w:cs="Arial" w:eastAsia="Arial" w:hAnsi="Arial"/>
                <w:sz w:val="14"/>
                <w:szCs w:val="14"/>
                <w:color w:val="auto"/>
                <w:w w:val="96"/>
              </w:rPr>
              <w:t>Net Cash Provided by Financing Activities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6"/>
              </w:rPr>
              <w:t>173,478</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Increase/(Decrease) in 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122,513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39,590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1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162,103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59"/>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(1,240)</w:t>
            </w: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Supplemental Cash Flow Disclosure: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98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 Net of Amounts Capitalized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1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88"/>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59"/>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8"/>
                <w:szCs w:val="18"/>
                <w:color w:val="auto"/>
              </w:rPr>
              <w:t>F-29</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48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420" w:type="dxa"/>
            <w:vAlign w:val="bottom"/>
            <w:tcBorders>
              <w:bottom w:val="single" w:sz="8" w:color="808080"/>
            </w:tcBorders>
            <w:gridSpan w:val="2"/>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15"/>
          </w:tcPr>
          <w:p>
            <w:pPr>
              <w:jc w:val="center"/>
              <w:ind w:left="593"/>
              <w:spacing w:after="0"/>
              <w:rPr>
                <w:sz w:val="20"/>
                <w:szCs w:val="20"/>
                <w:color w:val="auto"/>
              </w:rPr>
            </w:pPr>
            <w:r>
              <w:rPr>
                <w:rFonts w:ascii="Arial" w:cs="Arial" w:eastAsia="Arial" w:hAnsi="Arial"/>
                <w:sz w:val="18"/>
                <w:szCs w:val="18"/>
                <w:b w:val="1"/>
                <w:bCs w:val="1"/>
                <w:color w:val="auto"/>
                <w:w w:val="98"/>
              </w:rPr>
              <w:t>VALVINO LAMORE, LLC AND SUBSIDIARIES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7"/>
          </w:tcPr>
          <w:p>
            <w:pPr>
              <w:jc w:val="center"/>
              <w:ind w:left="393"/>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9"/>
          </w:tcPr>
          <w:p>
            <w:pPr>
              <w:jc w:val="center"/>
              <w:ind w:left="9"/>
              <w:spacing w:after="0"/>
              <w:rPr>
                <w:sz w:val="20"/>
                <w:szCs w:val="20"/>
                <w:color w:val="auto"/>
              </w:rPr>
            </w:pPr>
            <w:r>
              <w:rPr>
                <w:rFonts w:ascii="Arial" w:cs="Arial" w:eastAsia="Arial" w:hAnsi="Arial"/>
                <w:sz w:val="18"/>
                <w:szCs w:val="18"/>
                <w:b w:val="1"/>
                <w:bCs w:val="1"/>
                <w:color w:val="auto"/>
                <w:w w:val="88"/>
              </w:rPr>
              <w:t>Six Months Ended June 30, 2001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88"/>
              <w:spacing w:after="0"/>
              <w:rPr>
                <w:sz w:val="20"/>
                <w:szCs w:val="20"/>
                <w:color w:val="auto"/>
              </w:rPr>
            </w:pPr>
            <w:r>
              <w:rPr>
                <w:rFonts w:ascii="Arial" w:cs="Arial" w:eastAsia="Arial" w:hAnsi="Arial"/>
                <w:sz w:val="18"/>
                <w:szCs w:val="18"/>
                <w:b w:val="1"/>
                <w:bCs w:val="1"/>
                <w:color w:val="auto"/>
                <w:w w:val="88"/>
              </w:rPr>
              <w:t>(In thousands)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center"/>
              <w:ind w:left="288"/>
              <w:spacing w:after="0"/>
              <w:rPr>
                <w:sz w:val="20"/>
                <w:szCs w:val="20"/>
                <w:color w:val="auto"/>
              </w:rPr>
            </w:pPr>
            <w:r>
              <w:rPr>
                <w:rFonts w:ascii="Arial" w:cs="Arial" w:eastAsia="Arial" w:hAnsi="Arial"/>
                <w:sz w:val="18"/>
                <w:szCs w:val="18"/>
                <w:b w:val="1"/>
                <w:bCs w:val="1"/>
                <w:color w:val="auto"/>
                <w:w w:val="89"/>
              </w:rPr>
              <w:t>(Unaudited)</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0"/>
              </w:rPr>
              <w:t>Wynn Las</w:t>
            </w:r>
          </w:p>
        </w:tc>
        <w:tc>
          <w:tcPr>
            <w:tcW w:w="1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w w:val="91"/>
              </w:rPr>
              <w:t>All Other</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Eliminating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Lamore, LLC</w:t>
            </w:r>
          </w:p>
        </w:tc>
        <w:tc>
          <w:tcPr>
            <w:tcW w:w="40" w:type="dxa"/>
            <w:vAlign w:val="bottom"/>
          </w:tcPr>
          <w:p>
            <w:pPr>
              <w:spacing w:after="0"/>
              <w:rPr>
                <w:sz w:val="15"/>
                <w:szCs w:val="15"/>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Vegas, LLC</w:t>
            </w:r>
          </w:p>
        </w:tc>
        <w:tc>
          <w:tcPr>
            <w:tcW w:w="13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Non-Guarantors</w:t>
            </w:r>
          </w:p>
        </w:tc>
        <w:tc>
          <w:tcPr>
            <w:tcW w:w="12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w w:val="99"/>
              </w:rPr>
              <w:t>Net Loss Accumulated During the Development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8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1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(5,712)</w:t>
            </w:r>
          </w:p>
        </w:tc>
        <w:tc>
          <w:tcPr>
            <w:tcW w:w="460" w:type="dxa"/>
            <w:vAlign w:val="bottom"/>
            <w:gridSpan w:val="2"/>
          </w:tcPr>
          <w:p>
            <w:pPr>
              <w:jc w:val="right"/>
              <w:ind w:right="289"/>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 $</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(1,950)</w:t>
            </w:r>
          </w:p>
        </w:tc>
        <w:tc>
          <w:tcPr>
            <w:tcW w:w="42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(235)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to Reconcile Net Loss Accumulated</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 / (Used in) Operating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3,610</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 (Loss) on Sale of Fixed Assets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-9222740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-9222740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-9222740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-9222740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-9222740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-9222740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-9222740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-9222740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-9222740</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-9222740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-9222740</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-9222740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-6804025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-6804025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-6804025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-6804025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-6804025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-6804025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-6804025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-6804025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-6804025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-6804025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-6804025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-6804025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-6555740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-6555740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-6555740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-6555740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-6555740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-6555740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-6555740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-6555740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-6555740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-6555740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-6555740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-6555740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-5535295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-5535295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-5535295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-5535295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-5535295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-5535295</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-5535295</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-5535295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-5535295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-5535295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-5535295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-5535295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-5191760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-5191760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-5191760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-5191760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-5191760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-5191760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-5191760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-5191760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-5191760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-5191760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-5191760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-5191760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-4479925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-4479925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-4479925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-4479925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-4479925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-4479925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-4479925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-4479925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-4479925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-4479925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-4479925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-4479925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-4171315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-4171315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-4171315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-4171315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-4171315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-4171315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-4171315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-4171315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-4171315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-4171315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-4171315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-4171315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-3828415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-3828415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-3828415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-3828415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-3828415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-3828415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-3828415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-3828415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-3828415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-3828415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-3828415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-3828415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-2876550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-2876550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-955675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-955675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-955675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-955675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-955675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-955675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-955675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-955675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-955675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-955675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-955675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-955675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61" w:name="page162"/>
    <w:bookmarkEnd w:id="16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Increase (Decrease) in Cash from Changes in:</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6"/>
              </w:rPr>
              <w:t>Accounts Payable and Accrued Expenses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7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(281)</w:t>
            </w:r>
          </w:p>
        </w:tc>
        <w:tc>
          <w:tcPr>
            <w:tcW w:w="4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(7,434)</w:t>
            </w:r>
          </w:p>
        </w:tc>
        <w:tc>
          <w:tcPr>
            <w:tcW w:w="40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(7,573)</w:t>
            </w:r>
          </w:p>
        </w:tc>
        <w:tc>
          <w:tcPr>
            <w:tcW w:w="40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4"/>
              </w:rPr>
              <w:t>Net Cash Provided by / (Used in) Investing</w:t>
            </w: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14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(25,484)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(25,573)</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tcPr>
          <w:p>
            <w:pPr>
              <w:spacing w:after="0"/>
              <w:rPr>
                <w:sz w:val="20"/>
                <w:szCs w:val="20"/>
                <w:color w:val="auto"/>
              </w:rPr>
            </w:pPr>
            <w:r>
              <w:rPr>
                <w:rFonts w:ascii="Arial" w:cs="Arial" w:eastAsia="Arial" w:hAnsi="Arial"/>
                <w:sz w:val="14"/>
                <w:szCs w:val="14"/>
                <w:color w:val="auto"/>
                <w:w w:val="86"/>
              </w:rPr>
              <w:t>Increase/(Decrease) in Cash and Cash Equivalents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(4,743)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(245)</w:t>
            </w:r>
          </w:p>
        </w:tc>
        <w:tc>
          <w:tcPr>
            <w:tcW w:w="40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23"/>
                <w:szCs w:val="23"/>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(270)</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3"/>
                <w:szCs w:val="23"/>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4"/>
                <w:szCs w:val="14"/>
                <w:color w:val="auto"/>
              </w:rPr>
              <w:t>59,460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8"/>
                <w:szCs w:val="18"/>
                <w:color w:val="auto"/>
              </w:rPr>
              <w:t>F-30</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gridSpan w:val="3"/>
          </w:tcPr>
          <w:p>
            <w:pPr>
              <w:spacing w:after="0"/>
              <w:rPr>
                <w:sz w:val="19"/>
                <w:szCs w:val="19"/>
                <w:color w:val="auto"/>
              </w:rPr>
            </w:pPr>
          </w:p>
        </w:tc>
        <w:tc>
          <w:tcPr>
            <w:tcW w:w="140" w:type="dxa"/>
            <w:vAlign w:val="bottom"/>
            <w:tcBorders>
              <w:bottom w:val="single" w:sz="8" w:color="808080"/>
            </w:tcBorders>
            <w:gridSpan w:val="2"/>
          </w:tcPr>
          <w:p>
            <w:pPr>
              <w:spacing w:after="0"/>
              <w:rPr>
                <w:sz w:val="19"/>
                <w:szCs w:val="19"/>
                <w:color w:val="auto"/>
              </w:rPr>
            </w:pPr>
          </w:p>
        </w:tc>
        <w:tc>
          <w:tcPr>
            <w:tcW w:w="1480" w:type="dxa"/>
            <w:vAlign w:val="bottom"/>
            <w:tcBorders>
              <w:bottom w:val="single" w:sz="8" w:color="808080"/>
            </w:tcBorders>
            <w:gridSpan w:val="4"/>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20" w:type="dxa"/>
            <w:vAlign w:val="bottom"/>
            <w:gridSpan w:val="14"/>
          </w:tcPr>
          <w:p>
            <w:pPr>
              <w:jc w:val="center"/>
              <w:ind w:left="625"/>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6"/>
          </w:tcPr>
          <w:p>
            <w:pPr>
              <w:jc w:val="center"/>
              <w:ind w:right="760"/>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7"/>
              </w:rPr>
              <w:t>Year Ended December 31, 2001</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Valvino</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24"/>
                <w:szCs w:val="2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Eliminating</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3"/>
              </w:rPr>
              <w:t>Lamore, LLC</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40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Non-Guarantors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ind w:left="180"/>
              <w:spacing w:after="0"/>
              <w:rPr>
                <w:sz w:val="20"/>
                <w:szCs w:val="20"/>
                <w:color w:val="auto"/>
              </w:rPr>
            </w:pPr>
            <w:r>
              <w:rPr>
                <w:rFonts w:ascii="Arial" w:cs="Arial" w:eastAsia="Arial" w:hAnsi="Arial"/>
                <w:sz w:val="14"/>
                <w:szCs w:val="14"/>
                <w:b w:val="1"/>
                <w:bCs w:val="1"/>
                <w:color w:val="auto"/>
              </w:rPr>
              <w:t>Entries</w:t>
            </w: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tcBorders>
              <w:left w:val="single" w:sz="8" w:color="CCEEFF"/>
            </w:tcBorders>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66"/>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(10,454)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580" w:type="dxa"/>
            <w:vAlign w:val="bottom"/>
            <w:gridSpan w:val="4"/>
          </w:tcPr>
          <w:p>
            <w:pPr>
              <w:jc w:val="right"/>
              <w:ind w:right="100"/>
              <w:spacing w:after="0"/>
              <w:rPr>
                <w:sz w:val="20"/>
                <w:szCs w:val="20"/>
                <w:color w:val="auto"/>
              </w:rPr>
            </w:pPr>
            <w:r>
              <w:rPr>
                <w:rFonts w:ascii="Arial" w:cs="Arial" w:eastAsia="Arial" w:hAnsi="Arial"/>
                <w:sz w:val="18"/>
                <w:szCs w:val="18"/>
                <w:color w:val="auto"/>
              </w:rPr>
              <w:t>(682)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(5,206)</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1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left w:val="single" w:sz="8" w:color="CCEEFF"/>
            </w:tcBorders>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Borders>
              <w:left w:val="single" w:sz="8" w:color="CCEEFF"/>
            </w:tcBorders>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tcBorders>
              <w:left w:val="single" w:sz="8" w:color="CCEEFF"/>
            </w:tcBorders>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jc w:val="right"/>
              <w:ind w:right="9"/>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00" w:type="dxa"/>
            <w:vAlign w:val="bottom"/>
            <w:tcBorders>
              <w:left w:val="single" w:sz="8" w:color="CCEEFF"/>
            </w:tcBorders>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400" w:type="dxa"/>
            <w:vAlign w:val="bottom"/>
            <w:tcBorders>
              <w:left w:val="single" w:sz="8" w:color="CCEEFF"/>
            </w:tcBorders>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40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 of Airplane</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(9,489)</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-9575800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-9575800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-9575800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-9575800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-9575800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-9575800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-9575800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-9575800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-9232900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-9232900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-9232900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-9232900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-9232900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-9232900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-9232900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-9232900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-9232900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-9232900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-9232900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-9232900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-8212455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-8212455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-8212455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-8212455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-8212455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-8212455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-8212455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-8212455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-8212455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-8212455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-8212455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-8212455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-7869555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-7869555</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-7869555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-7869555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-7869555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-7869555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-7869555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-7869555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-7869555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-7869555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-7869555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-7869555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-7312025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-7312025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-7312025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-7312025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-7312025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-7312025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-7312025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-7312025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-7312025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-7312025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-7312025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-7312025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-7003415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-7003415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-7003415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-7003415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-7003415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-7003415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-7003415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-7003415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-7003415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-7003415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-7003415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-7003415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-6659880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-6659880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-6659880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-6659880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-6659880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-6659880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-6659880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-6659880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-6659880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-6659880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-6659880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-6659880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-5708015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-5708015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-4104640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-4104640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-4104640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-4104640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-4104640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-4104640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-4104640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-4104640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-4104640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-4104640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-4104640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-4104640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-1085850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-1085850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-1085850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-1085850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-1085850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-1085850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-1085850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-1085850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-1085850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-1085850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-1085850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-1085850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-657225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-657225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-657225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-657225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-657225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-657225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-657225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-657225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-657225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-657225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9" w:right="239" w:bottom="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7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(37,266)</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(44,994)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48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700" w:type="dxa"/>
            <w:vAlign w:val="bottom"/>
          </w:tcPr>
          <w:p>
            <w:pPr>
              <w:spacing w:after="0"/>
              <w:rPr>
                <w:sz w:val="24"/>
                <w:szCs w:val="24"/>
                <w:color w:val="auto"/>
              </w:rPr>
            </w:pPr>
          </w:p>
        </w:tc>
        <w:tc>
          <w:tcPr>
            <w:tcW w:w="160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  $</w:t>
            </w:r>
          </w:p>
        </w:tc>
        <w:tc>
          <w:tcPr>
            <w:tcW w:w="16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60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gridSpan w:val="3"/>
          </w:tcPr>
          <w:p>
            <w:pPr>
              <w:jc w:val="right"/>
              <w:ind w:right="332"/>
              <w:spacing w:after="0"/>
              <w:rPr>
                <w:sz w:val="20"/>
                <w:szCs w:val="20"/>
                <w:color w:val="auto"/>
              </w:rPr>
            </w:pPr>
            <w:r>
              <w:rPr>
                <w:rFonts w:ascii="Arial" w:cs="Arial" w:eastAsia="Arial" w:hAnsi="Arial"/>
                <w:sz w:val="18"/>
                <w:szCs w:val="18"/>
                <w:color w:val="auto"/>
              </w:rPr>
              <w:t>F-31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Valvino Lamore,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Eliminating</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rPr>
              <w:t>Entries</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9"/>
              </w:rPr>
              <w:t>Net Loss Accumulated During the 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Stage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(8,562)</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Accumulated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89"/>
              </w:rPr>
              <w:t>During the Development Stage to Net Cash Provided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by / (Used in) Operating Activities: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(9,196)</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0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by/(Used in) Operating</w:t>
            </w: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2"/>
              </w:rPr>
              <w:t>Acquisition of Desert Inn Resort and Casino, Net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Cash Acquired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Provided by/(Used in) Investing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(319,472)</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Equity Distributions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(110,482)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Proceeds from Issuance of Long-Term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-4801870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-4801870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-4801870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-4801870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-4801870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-4801870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-4801870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-4801870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-4801870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-4801870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-2606040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-2606040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-2606040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-2606040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-2606040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-2606040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-2606040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-2606040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-2606040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-2606040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-2177415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-2177415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-2177415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-2177415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-2177415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-2177415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-2177415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-2177415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-2177415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-2177415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-1062355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-1062355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-1062355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-1062355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-1062355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-1062355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-1062355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-1062355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-1062355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-1062355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-770890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-770890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-770890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-770890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-770890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-770890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-770890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-770890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-770890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-770890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63" w:name="page164"/>
    <w:bookmarkEnd w:id="16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Debt</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 of Long-Term Debt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(125,018)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Loan Origination Fees</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1"/>
              </w:rPr>
              <w:t>Proceeds from Issuance of Related Party Loan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Principal Payments of Related Party Loan</w:t>
            </w:r>
          </w:p>
        </w:tc>
        <w:tc>
          <w:tcPr>
            <w:tcW w:w="3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92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tcPr>
          <w:p>
            <w:pPr>
              <w:spacing w:after="0"/>
              <w:rPr>
                <w:sz w:val="20"/>
                <w:szCs w:val="20"/>
                <w:color w:val="auto"/>
              </w:rPr>
            </w:pPr>
            <w:r>
              <w:rPr>
                <w:rFonts w:ascii="Arial" w:cs="Arial" w:eastAsia="Arial" w:hAnsi="Arial"/>
                <w:sz w:val="18"/>
                <w:szCs w:val="18"/>
                <w:color w:val="auto"/>
                <w:w w:val="94"/>
              </w:rPr>
              <w:t>Increase/(Decrease) in Cash and Cash Equivalents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9"/>
              </w:rPr>
              <w:t>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Cash, End of Period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79"/>
              </w:rPr>
              <w:t>20</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Interest Paid, Net of Amounts Capitalized</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Wynn Las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Vegas, LLC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and Wynn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Las Vegas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Capital Corp.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Non-Guarantors</w:t>
            </w: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tcPr>
          <w:p>
            <w:pPr>
              <w:spacing w:after="0" w:line="138" w:lineRule="exact"/>
              <w:rPr>
                <w:sz w:val="20"/>
                <w:szCs w:val="20"/>
                <w:color w:val="auto"/>
              </w:rPr>
            </w:pPr>
            <w:r>
              <w:rPr>
                <w:rFonts w:ascii="Arial" w:cs="Arial" w:eastAsia="Arial" w:hAnsi="Arial"/>
                <w:sz w:val="14"/>
                <w:szCs w:val="14"/>
                <w:color w:val="auto"/>
                <w:w w:val="97"/>
              </w:rPr>
              <w:t>Net Loss Accumulated During the Development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2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(27,555)</w:t>
            </w:r>
          </w:p>
        </w:tc>
        <w:tc>
          <w:tcPr>
            <w:tcW w:w="2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(1,385)</w:t>
            </w:r>
          </w:p>
        </w:tc>
        <w:tc>
          <w:tcPr>
            <w:tcW w:w="2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(9,054)</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(5,568)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60" w:type="dxa"/>
            <w:vAlign w:val="bottom"/>
          </w:tcPr>
          <w:p>
            <w:pPr>
              <w:spacing w:after="0"/>
              <w:rPr>
                <w:sz w:val="13"/>
                <w:szCs w:val="13"/>
                <w:color w:val="auto"/>
              </w:rPr>
            </w:pPr>
          </w:p>
        </w:tc>
        <w:tc>
          <w:tcPr>
            <w:tcW w:w="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Adjustments to Reconcile Net Loss Accumulated</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418</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(2,534)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Loss/Gain on Affiliate Transactions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(2,092)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Loan Origination Fees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w w:val="99"/>
              </w:rPr>
              <w:t>Increase (Decrease) in Cash from Changes in: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(2,288)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(282)</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0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(8,100)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3,266</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Net Cash Provided by / (Used in) Operating</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(639)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(3,619)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(7,406)</w:t>
            </w: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(2,093)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Acquisition of Desert Inn Resort and Casino, Net of</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(55,459)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(39,885)</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(27,653)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23,823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(67,181)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57,856</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Net Cash Provided by/(Used in) Investing Activities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(419,452)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3,619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6,166</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(23,804)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Equity Distributions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Party Fee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(125,066)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Origination Fees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w w:val="99"/>
              </w:rPr>
              <w:t>Proceeds from Issuance of Related Party Loan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(70,000)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18"/>
        </w:trPr>
        <w:tc>
          <w:tcPr>
            <w:tcW w:w="29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92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582,194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(23,804)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585,250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Increase/(Decrease) in Cash and Cash Equivalents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187,860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-5798820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-5798820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-5798820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-5798820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-5798820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-5798820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-5798820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-5798820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-5798820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-5798820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-5798820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-5798820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-3131820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-3131820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-3131820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-3131820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-3131820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-3131820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-3131820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-3131820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-3131820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-3131820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-3131820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-3131820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-2788920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-2788920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-2788920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-2788920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-2788920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-2788920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-2788920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-2788920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-2788920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-2788920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-2788920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-2788920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-1879600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-1879600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-1879600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-1879600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-1879600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-1879600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-1879600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-1879600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-1879600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-1879600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-1631315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-1631315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-1631315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-1631315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-1631315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-1631315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-1631315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-1631315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-1631315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-1631315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-1631315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-1631315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-533400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-533400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-533400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-533400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-533400</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-533400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-533400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-533400</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-533400</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-533400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-533400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-533400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-284480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-284480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-284480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-284480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-284480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-284480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-284480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-284480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-284480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-284480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-284480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-284480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0" w:orient="portrait"/>
          <w:cols w:equalWidth="0" w:num="1">
            <w:col w:w="11420"/>
          </w:cols>
          <w:pgMar w:left="240" w:top="131" w:right="239" w:bottom="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Cash, End of Period</w:t>
            </w: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80" w:type="dxa"/>
            <w:vAlign w:val="bottom"/>
            <w:shd w:val="clear" w:color="auto" w:fill="CCEEFF"/>
          </w:tcPr>
          <w:p>
            <w:pPr>
              <w:ind w:left="660"/>
              <w:spacing w:after="0"/>
              <w:rPr>
                <w:sz w:val="20"/>
                <w:szCs w:val="20"/>
                <w:color w:val="auto"/>
              </w:rPr>
            </w:pPr>
            <w:r>
              <w:rPr>
                <w:rFonts w:ascii="Arial" w:cs="Arial" w:eastAsia="Arial" w:hAnsi="Arial"/>
                <w:sz w:val="14"/>
                <w:szCs w:val="14"/>
                <w:color w:val="auto"/>
                <w:w w:val="71"/>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(1,240)</w:t>
            </w: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26,997</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tcPr>
          <w:p>
            <w:pPr>
              <w:ind w:left="240"/>
              <w:spacing w:after="0"/>
              <w:rPr>
                <w:sz w:val="20"/>
                <w:szCs w:val="20"/>
                <w:color w:val="auto"/>
              </w:rPr>
            </w:pPr>
            <w:r>
              <w:rPr>
                <w:rFonts w:ascii="Arial" w:cs="Arial" w:eastAsia="Arial" w:hAnsi="Arial"/>
                <w:sz w:val="14"/>
                <w:szCs w:val="14"/>
                <w:color w:val="auto"/>
              </w:rPr>
              <w:t>Supplemental Cash Flow Disclosure:</w:t>
            </w: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vMerge w:val="continue"/>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9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Paid, Net of Amounts Capitalized</w:t>
            </w: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20" w:type="dxa"/>
            <w:vAlign w:val="bottom"/>
            <w:gridSpan w:val="2"/>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60"/>
              <w:spacing w:after="0"/>
              <w:rPr>
                <w:sz w:val="20"/>
                <w:szCs w:val="20"/>
                <w:color w:val="auto"/>
              </w:rPr>
            </w:pPr>
            <w:r>
              <w:rPr>
                <w:rFonts w:ascii="Arial" w:cs="Arial" w:eastAsia="Arial" w:hAnsi="Arial"/>
                <w:sz w:val="14"/>
                <w:szCs w:val="14"/>
                <w:color w:val="auto"/>
                <w:w w:val="71"/>
              </w:rPr>
              <w:t>—</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60"/>
              <w:spacing w:after="0"/>
              <w:rPr>
                <w:sz w:val="20"/>
                <w:szCs w:val="20"/>
                <w:color w:val="auto"/>
              </w:rPr>
            </w:pPr>
            <w:r>
              <w:rPr>
                <w:rFonts w:ascii="Arial" w:cs="Arial" w:eastAsia="Arial" w:hAnsi="Arial"/>
                <w:sz w:val="14"/>
                <w:szCs w:val="14"/>
                <w:color w:val="auto"/>
                <w:w w:val="85"/>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2050415</wp:posOffset>
            </wp:positionH>
            <wp:positionV relativeFrom="page">
              <wp:posOffset>88900</wp:posOffset>
            </wp:positionV>
            <wp:extent cx="5321300" cy="1905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5321300" cy="190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 permitted. The information contained in this prospectus is accurate only as of the date of this prospectus, regardless of the time of delivery of this prospectus or of any sale of our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 of Wynn Resorts</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the Second Mortgage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Intercreditor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Disbursement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Non-U.S.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-3648075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-3648075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LLC</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Capital Corp.</w:t>
      </w:r>
    </w:p>
    <w:p>
      <w:pPr>
        <w:spacing w:after="0" w:line="196" w:lineRule="exact"/>
        <w:rPr>
          <w:sz w:val="20"/>
          <w:szCs w:val="20"/>
          <w:color w:val="auto"/>
        </w:rPr>
      </w:pPr>
    </w:p>
    <w:p>
      <w:pPr>
        <w:ind w:right="8920" w:firstLine="373"/>
        <w:spacing w:after="0" w:line="356" w:lineRule="auto"/>
        <w:tabs>
          <w:tab w:leader="none" w:pos="669" w:val="left"/>
        </w:tabs>
        <w:numPr>
          <w:ilvl w:val="0"/>
          <w:numId w:val="331"/>
        </w:numPr>
        <w:rPr>
          <w:rFonts w:ascii="Arial" w:cs="Arial" w:eastAsia="Arial" w:hAnsi="Arial"/>
          <w:sz w:val="21"/>
          <w:szCs w:val="21"/>
          <w:b w:val="1"/>
          <w:bCs w:val="1"/>
          <w:color w:val="auto"/>
        </w:rPr>
      </w:pPr>
      <w:r>
        <w:rPr>
          <w:rFonts w:ascii="Arial" w:cs="Arial" w:eastAsia="Arial" w:hAnsi="Arial"/>
          <w:sz w:val="21"/>
          <w:szCs w:val="21"/>
          <w:b w:val="1"/>
          <w:bCs w:val="1"/>
          <w:color w:val="auto"/>
        </w:rPr>
        <w:t>Second Mortgage Notes due 2010</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Banc of America Securities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Fleet Securities,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Scotia Capital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276" w:right="239" w:bottom="0" w:gutter="0" w:footer="0" w:header="0"/>
        </w:sectPr>
      </w:pPr>
    </w:p>
    <w:bookmarkStart w:id="165" w:name="page166"/>
    <w:bookmarkEnd w:id="165"/>
    <w:p>
      <w:pPr>
        <w:spacing w:after="0" w:line="4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and the National Securities Dealers, Inc. filing fee.</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Miscellaneous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-1332865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-1332865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8" w:lineRule="exact"/>
        <w:rPr>
          <w:sz w:val="20"/>
          <w:szCs w:val="20"/>
          <w:color w:val="auto"/>
        </w:rPr>
      </w:pPr>
    </w:p>
    <w:p>
      <w:pPr>
        <w:ind w:left="540" w:hanging="532"/>
        <w:spacing w:after="0"/>
        <w:tabs>
          <w:tab w:leader="none" w:pos="540" w:val="left"/>
        </w:tabs>
        <w:numPr>
          <w:ilvl w:val="0"/>
          <w:numId w:val="332"/>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be made a party to an action (other than an action brought by or on behalf of the company as 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7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Wynn Las Vegas' articles of organization, attached as Exhibit hereto, and operating agreement, attached as Exhibit hereto, will provide that it shall indemnify its managers and members to the maximum extent permitted by Nevada law.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Registrants during the past three years involving sales of the Registrants' securities that were not registered under the Securities Act:</w:t>
      </w:r>
    </w:p>
    <w:p>
      <w:pPr>
        <w:sectPr>
          <w:pgSz w:w="11900" w:h="16879" w:orient="portrait"/>
          <w:cols w:equalWidth="0" w:num="1">
            <w:col w:w="11420"/>
          </w:cols>
          <w:pgMar w:left="240" w:top="341" w:right="239" w:bottom="0" w:gutter="0" w:footer="0" w:header="0"/>
        </w:sectPr>
      </w:pPr>
    </w:p>
    <w:bookmarkStart w:id="166" w:name="page167"/>
    <w:bookmarkEnd w:id="166"/>
    <w:p>
      <w:pPr>
        <w:ind w:left="540" w:right="200" w:firstLine="359"/>
        <w:spacing w:after="0" w:line="259" w:lineRule="auto"/>
        <w:tabs>
          <w:tab w:leader="none" w:pos="117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9" w:lineRule="auto"/>
        <w:tabs>
          <w:tab w:leader="none" w:pos="118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shares, representing a 50% interest in Valvino's profits and losses, to Mr. Wynn to evidence his ownership interest in the limited liability company.</w:t>
      </w:r>
    </w:p>
    <w:p>
      <w:pPr>
        <w:spacing w:after="0" w:line="248" w:lineRule="exact"/>
        <w:rPr>
          <w:sz w:val="20"/>
          <w:szCs w:val="20"/>
          <w:color w:val="auto"/>
        </w:rPr>
      </w:pPr>
    </w:p>
    <w:p>
      <w:pPr>
        <w:ind w:left="540" w:right="80" w:firstLine="359"/>
        <w:spacing w:after="0" w:line="332" w:lineRule="auto"/>
        <w:tabs>
          <w:tab w:leader="none" w:pos="117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314" w:lineRule="auto"/>
        <w:tabs>
          <w:tab w:leader="none" w:pos="1184" w:val="left"/>
        </w:tabs>
        <w:numPr>
          <w:ilvl w:val="0"/>
          <w:numId w:val="334"/>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400" w:firstLine="359"/>
        <w:spacing w:after="0" w:line="332" w:lineRule="auto"/>
        <w:tabs>
          <w:tab w:leader="none" w:pos="117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332" w:lineRule="auto"/>
        <w:tabs>
          <w:tab w:leader="none" w:pos="1242"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39" w:lineRule="exact"/>
        <w:rPr>
          <w:rFonts w:ascii="Arial" w:cs="Arial" w:eastAsia="Arial" w:hAnsi="Arial"/>
          <w:sz w:val="16"/>
          <w:szCs w:val="16"/>
          <w:color w:val="auto"/>
        </w:rPr>
      </w:pPr>
    </w:p>
    <w:p>
      <w:pPr>
        <w:ind w:left="540" w:right="360" w:firstLine="359"/>
        <w:spacing w:after="0" w:line="268" w:lineRule="auto"/>
        <w:tabs>
          <w:tab w:leader="none" w:pos="118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May 2002, Wynn Las Vegas Capital Corp., referred to as Wynn Capital, issued one share to Wynn Las Vegas, LLC in connection with the formation of Wynn Capital.</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Each of the other guarantor Registrants has engaged in various formation issuances of limited liability company membership interests.</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right"/>
              <w:ind w:right="2520"/>
              <w:spacing w:after="0"/>
              <w:rPr>
                <w:sz w:val="20"/>
                <w:szCs w:val="20"/>
                <w:color w:val="auto"/>
              </w:rPr>
            </w:pPr>
            <w:r>
              <w:rPr>
                <w:rFonts w:ascii="Arial" w:cs="Arial" w:eastAsia="Arial" w:hAnsi="Arial"/>
                <w:sz w:val="14"/>
                <w:szCs w:val="14"/>
                <w:b w:val="1"/>
                <w:bCs w:val="1"/>
                <w:color w:val="auto"/>
              </w:rPr>
              <w:t>Footnote</w:t>
            </w: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712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5"/>
                <w:szCs w:val="15"/>
                <w:color w:val="auto"/>
              </w:rPr>
            </w:pPr>
          </w:p>
        </w:tc>
        <w:tc>
          <w:tcPr>
            <w:tcW w:w="32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Bylaws of the Wynn Las Vegas Capital Corp.</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Desert Inn Water Company,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8"/>
              </w:rPr>
              <w:t>First Amendment to Amended and Restated Operating Agreement of Valvino Lamore, LLC</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20" w:type="dxa"/>
            <w:vAlign w:val="bottom"/>
          </w:tcPr>
          <w:p>
            <w:pPr>
              <w:ind w:left="4660"/>
              <w:spacing w:after="0"/>
              <w:rPr>
                <w:sz w:val="20"/>
                <w:szCs w:val="20"/>
                <w:color w:val="auto"/>
              </w:rPr>
            </w:pPr>
            <w:r>
              <w:rPr>
                <w:rFonts w:ascii="Arial" w:cs="Arial" w:eastAsia="Arial" w:hAnsi="Arial"/>
                <w:sz w:val="18"/>
                <w:szCs w:val="18"/>
                <w:color w:val="auto"/>
              </w:rPr>
              <w:t>II-3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2"/>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4"/>
              </w:rPr>
              <w:t>Second Amendment to Amended and Restated Operating Agreement of Valvino Lamore, LLC</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7"/>
              </w:rPr>
              <w:t>Third Amendment to 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6"/>
              </w:rPr>
              <w:t>Fourth Amendment to Amended and Restated Operating Agreement of Valvino Lamore,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Desert Inn Improvement Co.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Bylaws of Desert Inn Improvement Co.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Wynn Design &amp; Development,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Wynn Resorts Holdings,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or World Travel,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Opinion of Schreck Brignone Godfrey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Corporation, Valvino Lamore, LLC and Stephen A. Wynn.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-3870325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-3870325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-3870325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-3870325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-3870325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-3870325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-2549525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Inn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Third Amendment to Asset and Land Purchase Agreement, dated as of June 22, 2000, by and among</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Corporation, Valvino Lamore, LLC, Stephen A. Wynn, Rambas Marketing Co., LLC, and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Fourth Amendment to Asset and Land Purchase Agreement, dated as of October 27,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Fifth Amendment to Asset and Land Purchase Agreement, dated as of November 3,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dated January 25, 2001, by and between Wynn Resorts Holdings, LLC and Calitri</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Art Rental and Licensing Agreement, dated November 1, 2001, by and between Stephen A.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22"/>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294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00" w:type="dxa"/>
            <w:vAlign w:val="bottom"/>
          </w:tcPr>
          <w:p>
            <w:pPr>
              <w:ind w:left="2600"/>
              <w:spacing w:after="0"/>
              <w:rPr>
                <w:sz w:val="20"/>
                <w:szCs w:val="20"/>
                <w:color w:val="auto"/>
              </w:rPr>
            </w:pPr>
            <w:r>
              <w:rPr>
                <w:rFonts w:ascii="Arial" w:cs="Arial" w:eastAsia="Arial" w:hAnsi="Arial"/>
                <w:sz w:val="18"/>
                <w:szCs w:val="18"/>
                <w:color w:val="auto"/>
              </w:rPr>
              <w:t>II-4</w:t>
            </w:r>
          </w:p>
        </w:tc>
        <w:tc>
          <w:tcPr>
            <w:tcW w:w="294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gridSpan w:val="2"/>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Stockholders Agreement, dated as of April 11, 2002, by and among Stephen A. Wynn, Baron Asset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Fund and Aruze USA,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Agreement for Guaranteed Maximum Price Construction Services between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Form of Director and Officer Indemnification Agreement</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Contribution Agreement, dated as of June 11, 2002 by and among Stephen A. Wynn, Aruze USA,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Agreement, dated as of June 2002, by and between Stephen A. Wynn and Wynn Resorts, Limited.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50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Subsidiaries of Palo,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Desert Inn Improvement Co.</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World Travel, LLC</w:t>
            </w:r>
          </w:p>
        </w:tc>
        <w:tc>
          <w:tcPr>
            <w:tcW w:w="2940" w:type="dxa"/>
            <w:vAlign w:val="bottom"/>
          </w:tcPr>
          <w:p>
            <w:pPr>
              <w:spacing w:after="0"/>
              <w:rPr>
                <w:sz w:val="18"/>
                <w:szCs w:val="18"/>
                <w:color w:val="auto"/>
              </w:rPr>
            </w:pP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Subsidiaries of Las Vegas Jet, LLC</w:t>
            </w:r>
          </w:p>
        </w:tc>
        <w:tc>
          <w:tcPr>
            <w:tcW w:w="294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500" w:type="dxa"/>
            <w:vAlign w:val="bottom"/>
          </w:tcPr>
          <w:p>
            <w:pPr>
              <w:ind w:left="2600"/>
              <w:spacing w:after="0"/>
              <w:rPr>
                <w:sz w:val="20"/>
                <w:szCs w:val="20"/>
                <w:color w:val="auto"/>
              </w:rPr>
            </w:pPr>
            <w:r>
              <w:rPr>
                <w:rFonts w:ascii="Arial" w:cs="Arial" w:eastAsia="Arial" w:hAnsi="Arial"/>
                <w:sz w:val="18"/>
                <w:szCs w:val="18"/>
                <w:color w:val="auto"/>
              </w:rPr>
              <w:t>II-5</w:t>
            </w:r>
          </w:p>
        </w:tc>
        <w:tc>
          <w:tcPr>
            <w:tcW w:w="294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gridSpan w:val="2"/>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Consent of Schreck Brignone Godfrey (included in Exhibit 5.1).</w:t>
            </w:r>
          </w:p>
        </w:tc>
        <w:tc>
          <w:tcPr>
            <w:tcW w:w="2940" w:type="dxa"/>
            <w:vAlign w:val="bottom"/>
          </w:tcPr>
          <w:p>
            <w:pPr>
              <w:spacing w:after="0"/>
              <w:rPr>
                <w:sz w:val="24"/>
                <w:szCs w:val="24"/>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Consent of Deloitte &amp; Touche LLP.</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Consent of Dr. A. Correia da Silva</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Desert Inn Water Company,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-7300595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-7300595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-902970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-902970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58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Wynn Design &amp; Development,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Valvino Lamore, LLC re: of Wynn Las Vegas, LLC.</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and directors of Desert Inn Improvement Co.</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58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7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33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335"/>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35"/>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35"/>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35"/>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S-1</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question whether such indemnification by it is against public policy as expressed in the Securities Act, and will be governed by the final adjudication of such issue.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00" w:firstLine="359"/>
        <w:spacing w:after="0" w:line="306" w:lineRule="auto"/>
        <w:tabs>
          <w:tab w:leader="none" w:pos="1184"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259" w:lineRule="auto"/>
        <w:tabs>
          <w:tab w:leader="none" w:pos="118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ectPr>
          <w:pgSz w:w="11900" w:h="16838" w:orient="portrait"/>
          <w:cols w:equalWidth="0" w:num="1">
            <w:col w:w="11400"/>
          </w:cols>
          <w:pgMar w:left="240" w:top="131" w:right="259" w:bottom="0" w:gutter="0" w:footer="0" w:header="0"/>
        </w:sectPr>
      </w:pP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797550" cy="4763"/>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5797550" cy="4763"/>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169" w:name="page170"/>
    <w:bookmarkEnd w:id="169"/>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801360" cy="1079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5801360" cy="107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S-1</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S-2</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2020" w:type="dxa"/>
            <w:vAlign w:val="bottom"/>
          </w:tcPr>
          <w:p>
            <w:pPr>
              <w:ind w:left="860"/>
              <w:spacing w:after="0"/>
              <w:rPr>
                <w:sz w:val="20"/>
                <w:szCs w:val="20"/>
                <w:color w:val="auto"/>
              </w:rPr>
            </w:pPr>
            <w:r>
              <w:rPr>
                <w:rFonts w:ascii="Arial" w:cs="Arial" w:eastAsia="Arial" w:hAnsi="Arial"/>
                <w:sz w:val="18"/>
                <w:szCs w:val="18"/>
                <w:color w:val="auto"/>
                <w:w w:val="86"/>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ind w:left="1000"/>
              <w:spacing w:after="0"/>
              <w:rPr>
                <w:sz w:val="20"/>
                <w:szCs w:val="20"/>
                <w:color w:val="auto"/>
              </w:rPr>
            </w:pPr>
            <w:r>
              <w:rPr>
                <w:rFonts w:ascii="Arial" w:cs="Arial" w:eastAsia="Arial" w:hAnsi="Arial"/>
                <w:sz w:val="18"/>
                <w:szCs w:val="18"/>
                <w:color w:val="auto"/>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2020" w:type="dxa"/>
            <w:vAlign w:val="bottom"/>
          </w:tcPr>
          <w:p>
            <w:pPr>
              <w:ind w:left="860"/>
              <w:spacing w:after="0"/>
              <w:rPr>
                <w:sz w:val="20"/>
                <w:szCs w:val="20"/>
                <w:color w:val="auto"/>
              </w:rPr>
            </w:pPr>
            <w:r>
              <w:rPr>
                <w:rFonts w:ascii="Arial" w:cs="Arial" w:eastAsia="Arial" w:hAnsi="Arial"/>
                <w:sz w:val="18"/>
                <w:szCs w:val="18"/>
                <w:color w:val="auto"/>
                <w:w w:val="86"/>
              </w:rPr>
              <w:t>August 26,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-491490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20"/>
          </w:cols>
          <w:pgMar w:left="240" w:top="712" w:right="239" w:bottom="0" w:gutter="0" w:footer="0" w:header="0"/>
        </w:sectPr>
      </w:pPr>
    </w:p>
    <w:bookmarkStart w:id="170" w:name="page171"/>
    <w:bookmarkEnd w:id="170"/>
    <w:p>
      <w:pPr>
        <w:ind w:left="3420"/>
        <w:spacing w:after="0"/>
        <w:rPr>
          <w:sz w:val="20"/>
          <w:szCs w:val="20"/>
          <w:color w:val="auto"/>
        </w:rPr>
      </w:pPr>
      <w:r>
        <w:rPr>
          <w:rFonts w:ascii="Arial" w:cs="Arial" w:eastAsia="Arial" w:hAnsi="Arial"/>
          <w:sz w:val="18"/>
          <w:szCs w:val="18"/>
          <w:color w:val="auto"/>
        </w:rPr>
        <w:t>Chief Financial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2053590" cy="1905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2053590" cy="19050"/>
                    </a:xfrm>
                    <a:prstGeom prst="rect">
                      <a:avLst/>
                    </a:prstGeom>
                    <a:noFill/>
                  </pic:spPr>
                </pic:pic>
              </a:graphicData>
            </a:graphic>
          </wp:anchor>
        </w:drawing>
      </w:r>
    </w:p>
    <w:p>
      <w:pPr>
        <w:ind w:left="1140"/>
        <w:spacing w:after="0"/>
        <w:tabs>
          <w:tab w:leader="none" w:pos="3400" w:val="left"/>
        </w:tabs>
        <w:rPr>
          <w:sz w:val="20"/>
          <w:szCs w:val="20"/>
          <w:color w:val="auto"/>
        </w:rPr>
      </w:pPr>
      <w:r>
        <w:rPr>
          <w:rFonts w:ascii="Arial" w:cs="Arial" w:eastAsia="Arial" w:hAnsi="Arial"/>
          <w:sz w:val="34"/>
          <w:szCs w:val="34"/>
          <w:color w:val="auto"/>
          <w:vertAlign w:val="superscript"/>
        </w:rPr>
        <w:t>John Strzemp</w:t>
      </w:r>
      <w:r>
        <w:rPr>
          <w:sz w:val="20"/>
          <w:szCs w:val="20"/>
          <w:color w:val="auto"/>
        </w:rPr>
        <w:tab/>
      </w:r>
      <w:r>
        <w:rPr>
          <w:rFonts w:ascii="Arial" w:cs="Arial" w:eastAsia="Arial" w:hAnsi="Arial"/>
          <w:sz w:val="16"/>
          <w:szCs w:val="16"/>
          <w:color w:val="auto"/>
        </w:rPr>
        <w:t>Valvino Lamore, LLC</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S-4</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S-5</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 w:right="239" w:bottom="0" w:gutter="0" w:footer="0" w:header="0"/>
        </w:sectPr>
      </w:pPr>
    </w:p>
    <w:bookmarkStart w:id="171" w:name="page172"/>
    <w:bookmarkEnd w:id="17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IMPROVEMENT CO.</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19"/>
                <w:szCs w:val="19"/>
                <w:color w:val="auto"/>
              </w:rPr>
            </w:pPr>
          </w:p>
        </w:tc>
        <w:tc>
          <w:tcPr>
            <w:tcW w:w="3020" w:type="dxa"/>
            <w:vAlign w:val="bottom"/>
            <w:gridSpan w:val="2"/>
          </w:tcPr>
          <w:p>
            <w:pPr>
              <w:jc w:val="right"/>
              <w:ind w:right="1120"/>
              <w:spacing w:after="0"/>
              <w:rPr>
                <w:sz w:val="20"/>
                <w:szCs w:val="20"/>
                <w:color w:val="auto"/>
              </w:rPr>
            </w:pPr>
            <w:r>
              <w:rPr>
                <w:rFonts w:ascii="Arial" w:cs="Arial" w:eastAsia="Arial" w:hAnsi="Arial"/>
                <w:sz w:val="18"/>
                <w:szCs w:val="18"/>
                <w:color w:val="auto"/>
                <w:w w:val="98"/>
              </w:rPr>
              <w:t>/s/ STEPHEN A. WYNN</w:t>
            </w:r>
          </w:p>
        </w:tc>
        <w:tc>
          <w:tcPr>
            <w:tcW w:w="5380" w:type="dxa"/>
            <w:vAlign w:val="bottom"/>
          </w:tcPr>
          <w:p>
            <w:pPr>
              <w:ind w:left="220"/>
              <w:spacing w:after="0"/>
              <w:rPr>
                <w:sz w:val="20"/>
                <w:szCs w:val="20"/>
                <w:color w:val="auto"/>
              </w:rPr>
            </w:pPr>
            <w:r>
              <w:rPr>
                <w:rFonts w:ascii="Arial" w:cs="Arial" w:eastAsia="Arial" w:hAnsi="Arial"/>
                <w:sz w:val="18"/>
                <w:szCs w:val="18"/>
                <w:color w:val="auto"/>
              </w:rPr>
              <w:t>Director and President (Principal Executive Officer)</w:t>
            </w:r>
          </w:p>
        </w:tc>
        <w:tc>
          <w:tcPr>
            <w:tcW w:w="2220" w:type="dxa"/>
            <w:vAlign w:val="bottom"/>
          </w:tcPr>
          <w:p>
            <w:pPr>
              <w:ind w:left="420"/>
              <w:spacing w:after="0"/>
              <w:rPr>
                <w:sz w:val="20"/>
                <w:szCs w:val="20"/>
                <w:color w:val="auto"/>
              </w:rPr>
            </w:pPr>
            <w:r>
              <w:rPr>
                <w:rFonts w:ascii="Arial" w:cs="Arial" w:eastAsia="Arial" w:hAnsi="Arial"/>
                <w:sz w:val="18"/>
                <w:szCs w:val="18"/>
                <w:color w:val="auto"/>
              </w:rPr>
              <w:t>August 26, 2002</w:t>
            </w:r>
          </w:p>
        </w:tc>
      </w:tr>
      <w:tr>
        <w:trPr>
          <w:trHeight w:val="120"/>
        </w:trPr>
        <w:tc>
          <w:tcPr>
            <w:tcW w:w="8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8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3020" w:type="dxa"/>
            <w:vAlign w:val="bottom"/>
            <w:gridSpan w:val="2"/>
          </w:tcPr>
          <w:p>
            <w:pPr>
              <w:jc w:val="center"/>
              <w:ind w:right="780"/>
              <w:spacing w:after="0"/>
              <w:rPr>
                <w:sz w:val="20"/>
                <w:szCs w:val="20"/>
                <w:color w:val="auto"/>
              </w:rPr>
            </w:pPr>
            <w:r>
              <w:rPr>
                <w:rFonts w:ascii="Arial" w:cs="Arial" w:eastAsia="Arial" w:hAnsi="Arial"/>
                <w:sz w:val="18"/>
                <w:szCs w:val="18"/>
                <w:color w:val="auto"/>
                <w:w w:val="88"/>
              </w:rPr>
              <w:t>Stephen A. Wynn</w:t>
            </w:r>
          </w:p>
        </w:tc>
        <w:tc>
          <w:tcPr>
            <w:tcW w:w="5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2520" w:type="dxa"/>
            <w:vAlign w:val="bottom"/>
          </w:tcPr>
          <w:p>
            <w:pPr>
              <w:jc w:val="center"/>
              <w:ind w:right="2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8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8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302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Marc Rubinstein</w:t>
            </w:r>
          </w:p>
        </w:tc>
        <w:tc>
          <w:tcPr>
            <w:tcW w:w="53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420"/>
              <w:spacing w:after="0"/>
              <w:rPr>
                <w:sz w:val="20"/>
                <w:szCs w:val="20"/>
                <w:color w:val="auto"/>
              </w:rPr>
            </w:pPr>
            <w:r>
              <w:rPr>
                <w:rFonts w:ascii="Arial" w:cs="Arial" w:eastAsia="Arial" w:hAnsi="Arial"/>
                <w:sz w:val="18"/>
                <w:szCs w:val="18"/>
                <w:color w:val="auto"/>
              </w:rPr>
              <w:t>August 26, 2002</w:t>
            </w:r>
          </w:p>
        </w:tc>
      </w:tr>
      <w:tr>
        <w:trPr>
          <w:trHeight w:val="648"/>
        </w:trPr>
        <w:tc>
          <w:tcPr>
            <w:tcW w:w="800" w:type="dxa"/>
            <w:vAlign w:val="bottom"/>
          </w:tcPr>
          <w:p>
            <w:pPr>
              <w:spacing w:after="0"/>
              <w:rPr>
                <w:sz w:val="24"/>
                <w:szCs w:val="24"/>
                <w:color w:val="auto"/>
              </w:rPr>
            </w:pPr>
          </w:p>
        </w:tc>
        <w:tc>
          <w:tcPr>
            <w:tcW w:w="3020" w:type="dxa"/>
            <w:vAlign w:val="bottom"/>
            <w:gridSpan w:val="2"/>
          </w:tcPr>
          <w:p>
            <w:pPr>
              <w:ind w:left="220"/>
              <w:spacing w:after="0"/>
              <w:rPr>
                <w:sz w:val="20"/>
                <w:szCs w:val="20"/>
                <w:color w:val="auto"/>
              </w:rPr>
            </w:pPr>
            <w:r>
              <w:rPr>
                <w:rFonts w:ascii="Arial" w:cs="Arial" w:eastAsia="Arial" w:hAnsi="Arial"/>
                <w:sz w:val="18"/>
                <w:szCs w:val="18"/>
                <w:color w:val="auto"/>
              </w:rPr>
              <w:t>/s/ JOHN STRZEMP</w:t>
            </w:r>
          </w:p>
        </w:tc>
        <w:tc>
          <w:tcPr>
            <w:tcW w:w="5380" w:type="dxa"/>
            <w:vAlign w:val="bottom"/>
          </w:tcPr>
          <w:p>
            <w:pPr>
              <w:ind w:left="220"/>
              <w:spacing w:after="0"/>
              <w:rPr>
                <w:sz w:val="20"/>
                <w:szCs w:val="20"/>
                <w:color w:val="auto"/>
              </w:rPr>
            </w:pPr>
            <w:r>
              <w:rPr>
                <w:rFonts w:ascii="Arial" w:cs="Arial" w:eastAsia="Arial" w:hAnsi="Arial"/>
                <w:sz w:val="18"/>
                <w:szCs w:val="18"/>
                <w:color w:val="auto"/>
                <w:w w:val="97"/>
              </w:rPr>
              <w:t>Director, Vice President and Treasurer (Principal Financial Officer)</w:t>
            </w:r>
          </w:p>
        </w:tc>
        <w:tc>
          <w:tcPr>
            <w:tcW w:w="2220" w:type="dxa"/>
            <w:vAlign w:val="bottom"/>
          </w:tcPr>
          <w:p>
            <w:pPr>
              <w:ind w:left="420"/>
              <w:spacing w:after="0"/>
              <w:rPr>
                <w:sz w:val="20"/>
                <w:szCs w:val="20"/>
                <w:color w:val="auto"/>
              </w:rPr>
            </w:pPr>
            <w:r>
              <w:rPr>
                <w:rFonts w:ascii="Arial" w:cs="Arial" w:eastAsia="Arial" w:hAnsi="Arial"/>
                <w:sz w:val="18"/>
                <w:szCs w:val="18"/>
                <w:color w:val="auto"/>
              </w:rPr>
              <w:t>August 26, 2002</w:t>
            </w:r>
          </w:p>
        </w:tc>
      </w:tr>
      <w:tr>
        <w:trPr>
          <w:trHeight w:val="120"/>
        </w:trPr>
        <w:tc>
          <w:tcPr>
            <w:tcW w:w="8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8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9"/>
        </w:trPr>
        <w:tc>
          <w:tcPr>
            <w:tcW w:w="800" w:type="dxa"/>
            <w:vAlign w:val="bottom"/>
          </w:tcPr>
          <w:p>
            <w:pPr>
              <w:spacing w:after="0"/>
              <w:rPr>
                <w:sz w:val="24"/>
                <w:szCs w:val="24"/>
                <w:color w:val="auto"/>
              </w:rPr>
            </w:pPr>
          </w:p>
        </w:tc>
        <w:tc>
          <w:tcPr>
            <w:tcW w:w="3020" w:type="dxa"/>
            <w:vAlign w:val="bottom"/>
            <w:gridSpan w:val="2"/>
          </w:tcPr>
          <w:p>
            <w:pPr>
              <w:jc w:val="center"/>
              <w:ind w:right="780"/>
              <w:spacing w:after="0"/>
              <w:rPr>
                <w:sz w:val="20"/>
                <w:szCs w:val="20"/>
                <w:color w:val="auto"/>
              </w:rPr>
            </w:pPr>
            <w:r>
              <w:rPr>
                <w:rFonts w:ascii="Arial" w:cs="Arial" w:eastAsia="Arial" w:hAnsi="Arial"/>
                <w:sz w:val="18"/>
                <w:szCs w:val="18"/>
                <w:color w:val="auto"/>
                <w:w w:val="86"/>
              </w:rPr>
              <w:t>John Strzemp</w:t>
            </w:r>
          </w:p>
        </w:tc>
        <w:tc>
          <w:tcPr>
            <w:tcW w:w="5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 By</w:t>
            </w:r>
          </w:p>
        </w:tc>
        <w:tc>
          <w:tcPr>
            <w:tcW w:w="3020" w:type="dxa"/>
            <w:vAlign w:val="bottom"/>
            <w:gridSpan w:val="2"/>
          </w:tcPr>
          <w:p>
            <w:pPr>
              <w:jc w:val="center"/>
              <w:ind w:right="760"/>
              <w:spacing w:after="0"/>
              <w:rPr>
                <w:sz w:val="20"/>
                <w:szCs w:val="20"/>
                <w:color w:val="auto"/>
              </w:rPr>
            </w:pPr>
            <w:r>
              <w:rPr>
                <w:rFonts w:ascii="Arial" w:cs="Arial" w:eastAsia="Arial" w:hAnsi="Arial"/>
                <w:sz w:val="18"/>
                <w:szCs w:val="18"/>
                <w:color w:val="auto"/>
                <w:w w:val="93"/>
              </w:rPr>
              <w:t>/s/ JOHN STRZEMP</w:t>
            </w:r>
          </w:p>
        </w:tc>
        <w:tc>
          <w:tcPr>
            <w:tcW w:w="5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20"/>
        </w:trPr>
        <w:tc>
          <w:tcPr>
            <w:tcW w:w="800" w:type="dxa"/>
            <w:vAlign w:val="bottom"/>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313"/>
        </w:trPr>
        <w:tc>
          <w:tcPr>
            <w:tcW w:w="800" w:type="dxa"/>
            <w:vAlign w:val="bottom"/>
          </w:tcPr>
          <w:p>
            <w:pPr>
              <w:spacing w:after="0"/>
              <w:rPr>
                <w:sz w:val="24"/>
                <w:szCs w:val="24"/>
                <w:color w:val="auto"/>
              </w:rPr>
            </w:pPr>
          </w:p>
        </w:tc>
        <w:tc>
          <w:tcPr>
            <w:tcW w:w="3020" w:type="dxa"/>
            <w:vAlign w:val="bottom"/>
            <w:gridSpan w:val="2"/>
          </w:tcPr>
          <w:p>
            <w:pPr>
              <w:ind w:left="780"/>
              <w:spacing w:after="0"/>
              <w:rPr>
                <w:sz w:val="20"/>
                <w:szCs w:val="20"/>
                <w:color w:val="auto"/>
              </w:rPr>
            </w:pPr>
            <w:r>
              <w:rPr>
                <w:rFonts w:ascii="Arial" w:cs="Arial" w:eastAsia="Arial" w:hAnsi="Arial"/>
                <w:sz w:val="18"/>
                <w:szCs w:val="18"/>
                <w:color w:val="auto"/>
              </w:rPr>
              <w:t>John Strzemp</w:t>
            </w:r>
          </w:p>
        </w:tc>
        <w:tc>
          <w:tcPr>
            <w:tcW w:w="53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3020" w:type="dxa"/>
            <w:vAlign w:val="bottom"/>
            <w:gridSpan w:val="2"/>
          </w:tcPr>
          <w:p>
            <w:pPr>
              <w:jc w:val="right"/>
              <w:ind w:right="1140"/>
              <w:spacing w:after="0"/>
              <w:rPr>
                <w:sz w:val="20"/>
                <w:szCs w:val="20"/>
                <w:color w:val="auto"/>
              </w:rPr>
            </w:pPr>
            <w:r>
              <w:rPr>
                <w:rFonts w:ascii="Arial" w:cs="Arial" w:eastAsia="Arial" w:hAnsi="Arial"/>
                <w:sz w:val="18"/>
                <w:szCs w:val="18"/>
                <w:color w:val="auto"/>
              </w:rPr>
              <w:t>(Attorney-in-fact)</w:t>
            </w:r>
          </w:p>
        </w:tc>
        <w:tc>
          <w:tcPr>
            <w:tcW w:w="53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2"/>
        </w:trPr>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80" w:type="dxa"/>
            <w:vAlign w:val="bottom"/>
          </w:tcPr>
          <w:p>
            <w:pPr>
              <w:ind w:left="1780"/>
              <w:spacing w:after="0"/>
              <w:rPr>
                <w:sz w:val="20"/>
                <w:szCs w:val="20"/>
                <w:color w:val="auto"/>
              </w:rPr>
            </w:pPr>
            <w:r>
              <w:rPr>
                <w:rFonts w:ascii="Arial" w:cs="Arial" w:eastAsia="Arial" w:hAnsi="Arial"/>
                <w:sz w:val="18"/>
                <w:szCs w:val="18"/>
                <w:color w:val="auto"/>
              </w:rPr>
              <w:t>S-6</w:t>
            </w:r>
          </w:p>
        </w:tc>
        <w:tc>
          <w:tcPr>
            <w:tcW w:w="2220" w:type="dxa"/>
            <w:vAlign w:val="bottom"/>
          </w:tcPr>
          <w:p>
            <w:pPr>
              <w:spacing w:after="0"/>
              <w:rPr>
                <w:sz w:val="24"/>
                <w:szCs w:val="24"/>
                <w:color w:val="auto"/>
              </w:rPr>
            </w:pPr>
          </w:p>
        </w:tc>
      </w:tr>
      <w:tr>
        <w:trPr>
          <w:trHeight w:val="228"/>
        </w:trPr>
        <w:tc>
          <w:tcPr>
            <w:tcW w:w="80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-2621280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-2055495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-1351915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-786130</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-786130</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S-7</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72" w:name="page173"/>
    <w:bookmarkEnd w:id="17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S-8</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Stephen A. Wynn</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40"/>
        <w:spacing w:after="0"/>
        <w:tabs>
          <w:tab w:leader="none" w:pos="506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5"/>
              </w:rPr>
              <w:t>/s/ 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Chief Executive Officer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President of Valvino Lamore, LLC</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4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40" w:type="dxa"/>
            <w:vAlign w:val="bottom"/>
          </w:tcPr>
          <w:p>
            <w:pPr>
              <w:jc w:val="center"/>
              <w:ind w:right="172"/>
              <w:spacing w:after="0"/>
              <w:rPr>
                <w:sz w:val="20"/>
                <w:szCs w:val="20"/>
                <w:color w:val="auto"/>
              </w:rPr>
            </w:pPr>
            <w:r>
              <w:rPr>
                <w:rFonts w:ascii="Arial" w:cs="Arial" w:eastAsia="Arial" w:hAnsi="Arial"/>
                <w:sz w:val="18"/>
                <w:szCs w:val="18"/>
                <w:color w:val="auto"/>
                <w:w w:val="93"/>
              </w:rPr>
              <w:t>/s/ 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4700" w:type="dxa"/>
            <w:vAlign w:val="bottom"/>
          </w:tcPr>
          <w:p>
            <w:pPr>
              <w:ind w:left="86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240" w:type="dxa"/>
            <w:vAlign w:val="bottom"/>
            <w:tcBorders>
              <w:bottom w:val="single" w:sz="8" w:color="808080"/>
            </w:tcBorders>
          </w:tcPr>
          <w:p>
            <w:pPr>
              <w:spacing w:after="0"/>
              <w:rPr>
                <w:sz w:val="11"/>
                <w:szCs w:val="11"/>
                <w:color w:val="auto"/>
              </w:rPr>
            </w:pPr>
          </w:p>
        </w:tc>
        <w:tc>
          <w:tcPr>
            <w:tcW w:w="348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of</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4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480" w:type="dxa"/>
            <w:vAlign w:val="bottom"/>
          </w:tcPr>
          <w:p>
            <w:pPr>
              <w:ind w:left="180"/>
              <w:spacing w:after="0"/>
              <w:rPr>
                <w:sz w:val="20"/>
                <w:szCs w:val="20"/>
                <w:color w:val="auto"/>
              </w:rPr>
            </w:pPr>
            <w:r>
              <w:rPr>
                <w:rFonts w:ascii="Arial" w:cs="Arial" w:eastAsia="Arial" w:hAnsi="Arial"/>
                <w:sz w:val="18"/>
                <w:szCs w:val="18"/>
                <w:color w:val="auto"/>
              </w:rPr>
              <w:t>Valvino Lamore, LLC</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3480" w:type="dxa"/>
            <w:vAlign w:val="bottom"/>
          </w:tcPr>
          <w:p>
            <w:pPr>
              <w:ind w:left="2360"/>
              <w:spacing w:after="0"/>
              <w:rPr>
                <w:sz w:val="20"/>
                <w:szCs w:val="20"/>
                <w:color w:val="auto"/>
              </w:rPr>
            </w:pPr>
            <w:r>
              <w:rPr>
                <w:rFonts w:ascii="Arial" w:cs="Arial" w:eastAsia="Arial" w:hAnsi="Arial"/>
                <w:sz w:val="18"/>
                <w:szCs w:val="18"/>
                <w:color w:val="auto"/>
              </w:rPr>
              <w:t>S-9</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-1334770</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-1334770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-768985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55"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20"/>
          </w:cols>
          <w:pgMar w:left="240" w:top="342" w:right="239" w:bottom="55" w:gutter="0" w:footer="0" w:header="0"/>
          <w:type w:val="continuous"/>
        </w:sectPr>
      </w:pPr>
    </w:p>
    <w:bookmarkStart w:id="173" w:name="page174"/>
    <w:bookmarkEnd w:id="173"/>
    <w:p>
      <w:pPr>
        <w:spacing w:after="0" w:line="2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Las Vegas, Nevada, on the 26th day of August, 2002.</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380"/>
              <w:spacing w:after="0"/>
              <w:rPr>
                <w:sz w:val="20"/>
                <w:szCs w:val="20"/>
                <w:color w:val="auto"/>
              </w:rPr>
            </w:pPr>
            <w:r>
              <w:rPr>
                <w:rFonts w:ascii="Arial" w:cs="Arial" w:eastAsia="Arial" w:hAnsi="Arial"/>
                <w:sz w:val="18"/>
                <w:szCs w:val="18"/>
                <w:color w:val="auto"/>
              </w:rPr>
              <w:t>/s/ STEPHEN A. WYNN</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rPr>
              <w:t>President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-353695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-353695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820" w:type="dxa"/>
            <w:vAlign w:val="bottom"/>
            <w:tcBorders>
              <w:bottom w:val="single" w:sz="8" w:color="808080"/>
            </w:tcBorders>
          </w:tcPr>
          <w:p>
            <w:pPr>
              <w:spacing w:after="0"/>
              <w:rPr>
                <w:sz w:val="10"/>
                <w:szCs w:val="10"/>
                <w:color w:val="auto"/>
              </w:rPr>
            </w:pPr>
          </w:p>
        </w:tc>
        <w:tc>
          <w:tcPr>
            <w:tcW w:w="52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260" w:type="dxa"/>
            <w:vAlign w:val="bottom"/>
          </w:tcPr>
          <w:p>
            <w:pPr>
              <w:ind w:left="220"/>
              <w:spacing w:after="0"/>
              <w:rPr>
                <w:sz w:val="20"/>
                <w:szCs w:val="20"/>
                <w:color w:val="auto"/>
              </w:rPr>
            </w:pPr>
            <w:r>
              <w:rPr>
                <w:rFonts w:ascii="Arial" w:cs="Arial" w:eastAsia="Arial" w:hAnsi="Arial"/>
                <w:sz w:val="18"/>
                <w:szCs w:val="18"/>
                <w:color w:val="auto"/>
              </w:rPr>
              <w:t>Director and President</w:t>
            </w:r>
          </w:p>
        </w:tc>
        <w:tc>
          <w:tcPr>
            <w:tcW w:w="2340" w:type="dxa"/>
            <w:vAlign w:val="bottom"/>
          </w:tcPr>
          <w:p>
            <w:pPr>
              <w:ind w:left="54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426"/>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260" w:type="dxa"/>
            <w:vAlign w:val="bottom"/>
          </w:tcPr>
          <w:p>
            <w:pPr>
              <w:ind w:left="220"/>
              <w:spacing w:after="0"/>
              <w:rPr>
                <w:sz w:val="20"/>
                <w:szCs w:val="20"/>
                <w:color w:val="auto"/>
              </w:rPr>
            </w:pPr>
            <w:r>
              <w:rPr>
                <w:rFonts w:ascii="Arial" w:cs="Arial" w:eastAsia="Arial" w:hAnsi="Arial"/>
                <w:sz w:val="18"/>
                <w:szCs w:val="18"/>
                <w:color w:val="auto"/>
              </w:rPr>
              <w:t>Treasurer (Principal Financial Officer and Principal Accounting</w:t>
            </w:r>
          </w:p>
        </w:tc>
        <w:tc>
          <w:tcPr>
            <w:tcW w:w="2340" w:type="dxa"/>
            <w:vAlign w:val="bottom"/>
          </w:tcPr>
          <w:p>
            <w:pPr>
              <w:ind w:left="540"/>
              <w:spacing w:after="0"/>
              <w:rPr>
                <w:sz w:val="20"/>
                <w:szCs w:val="20"/>
                <w:color w:val="auto"/>
              </w:rPr>
            </w:pPr>
            <w:r>
              <w:rPr>
                <w:rFonts w:ascii="Arial" w:cs="Arial" w:eastAsia="Arial" w:hAnsi="Arial"/>
                <w:sz w:val="18"/>
                <w:szCs w:val="18"/>
                <w:color w:val="auto"/>
              </w:rPr>
              <w:t>August 26, 2002</w:t>
            </w:r>
          </w:p>
        </w:tc>
        <w:tc>
          <w:tcPr>
            <w:tcW w:w="0" w:type="dxa"/>
            <w:vAlign w:val="bottom"/>
          </w:tcPr>
          <w:p>
            <w:pPr>
              <w:spacing w:after="0"/>
              <w:rPr>
                <w:sz w:val="1"/>
                <w:szCs w:val="1"/>
                <w:color w:val="auto"/>
              </w:rPr>
            </w:pPr>
          </w:p>
        </w:tc>
      </w:tr>
      <w:tr>
        <w:trPr>
          <w:trHeight w:val="127"/>
        </w:trPr>
        <w:tc>
          <w:tcPr>
            <w:tcW w:w="3820" w:type="dxa"/>
            <w:vAlign w:val="bottom"/>
            <w:tcBorders>
              <w:bottom w:val="single" w:sz="8" w:color="808080"/>
            </w:tcBorders>
          </w:tcPr>
          <w:p>
            <w:pPr>
              <w:spacing w:after="0"/>
              <w:rPr>
                <w:sz w:val="11"/>
                <w:szCs w:val="11"/>
                <w:color w:val="auto"/>
              </w:rPr>
            </w:pPr>
          </w:p>
        </w:tc>
        <w:tc>
          <w:tcPr>
            <w:tcW w:w="526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26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52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5260" w:type="dxa"/>
            <w:vAlign w:val="bottom"/>
          </w:tcPr>
          <w:p>
            <w:pPr>
              <w:ind w:left="1720"/>
              <w:spacing w:after="0"/>
              <w:rPr>
                <w:sz w:val="20"/>
                <w:szCs w:val="20"/>
                <w:color w:val="auto"/>
              </w:rPr>
            </w:pPr>
            <w:r>
              <w:rPr>
                <w:rFonts w:ascii="Arial" w:cs="Arial" w:eastAsia="Arial" w:hAnsi="Arial"/>
                <w:sz w:val="18"/>
                <w:szCs w:val="18"/>
                <w:color w:val="auto"/>
              </w:rPr>
              <w:t>S-10</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-1214755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-648970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Las Vegas, LLC and Wynn Capital Corp.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Balance at</w:t>
            </w:r>
          </w:p>
        </w:tc>
        <w:tc>
          <w:tcPr>
            <w:tcW w:w="200" w:type="dxa"/>
            <w:vAlign w:val="bottom"/>
          </w:tcPr>
          <w:p>
            <w:pPr>
              <w:spacing w:after="0"/>
              <w:rPr>
                <w:sz w:val="14"/>
                <w:szCs w:val="14"/>
                <w:color w:val="auto"/>
              </w:rPr>
            </w:pPr>
          </w:p>
        </w:tc>
        <w:tc>
          <w:tcPr>
            <w:tcW w:w="1000" w:type="dxa"/>
            <w:vAlign w:val="bottom"/>
          </w:tcPr>
          <w:p>
            <w:pPr>
              <w:jc w:val="right"/>
              <w:ind w:right="224"/>
              <w:spacing w:after="0"/>
              <w:rPr>
                <w:sz w:val="20"/>
                <w:szCs w:val="20"/>
                <w:color w:val="auto"/>
              </w:rPr>
            </w:pPr>
            <w:r>
              <w:rPr>
                <w:rFonts w:ascii="Arial" w:cs="Arial" w:eastAsia="Arial" w:hAnsi="Arial"/>
                <w:sz w:val="14"/>
                <w:szCs w:val="14"/>
                <w:b w:val="1"/>
                <w:bCs w:val="1"/>
                <w:color w:val="auto"/>
                <w:w w:val="97"/>
              </w:rPr>
              <w:t>Balance at</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200" w:type="dxa"/>
            <w:vAlign w:val="bottom"/>
          </w:tcPr>
          <w:p>
            <w:pPr>
              <w:spacing w:after="0"/>
              <w:rPr>
                <w:sz w:val="12"/>
                <w:szCs w:val="12"/>
                <w:color w:val="auto"/>
              </w:rPr>
            </w:pPr>
          </w:p>
        </w:tc>
        <w:tc>
          <w:tcPr>
            <w:tcW w:w="1000" w:type="dxa"/>
            <w:vAlign w:val="bottom"/>
          </w:tcPr>
          <w:p>
            <w:pPr>
              <w:jc w:val="right"/>
              <w:ind w:right="324"/>
              <w:spacing w:after="0" w:line="149" w:lineRule="exact"/>
              <w:rPr>
                <w:sz w:val="20"/>
                <w:szCs w:val="20"/>
                <w:color w:val="auto"/>
              </w:rPr>
            </w:pPr>
            <w:r>
              <w:rPr>
                <w:rFonts w:ascii="Arial" w:cs="Arial" w:eastAsia="Arial" w:hAnsi="Arial"/>
                <w:sz w:val="14"/>
                <w:szCs w:val="14"/>
                <w:b w:val="1"/>
                <w:bCs w:val="1"/>
                <w:color w:val="auto"/>
              </w:rPr>
              <w:t>End of</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20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3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1,295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0" w:type="dxa"/>
            <w:vAlign w:val="bottom"/>
            <w:gridSpan w:val="3"/>
          </w:tcPr>
          <w:p>
            <w:pPr>
              <w:jc w:val="right"/>
              <w:ind w:right="1240"/>
              <w:spacing w:after="0"/>
              <w:rPr>
                <w:sz w:val="20"/>
                <w:szCs w:val="20"/>
                <w:color w:val="auto"/>
              </w:rPr>
            </w:pPr>
            <w:r>
              <w:rPr>
                <w:rFonts w:ascii="Arial" w:cs="Arial" w:eastAsia="Arial" w:hAnsi="Arial"/>
                <w:sz w:val="18"/>
                <w:szCs w:val="18"/>
                <w:color w:val="auto"/>
              </w:rPr>
              <w:t>S-12</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gridSpan w:val="3"/>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-1331595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-1331595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-1331595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-1331595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-1331595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-1331595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-422275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20"/>
          </w:cols>
          <w:pgMar w:left="240" w:top="131" w:right="239" w:bottom="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14"/>
                <w:szCs w:val="14"/>
                <w:color w:val="auto"/>
              </w:rPr>
            </w:pPr>
          </w:p>
        </w:tc>
        <w:tc>
          <w:tcPr>
            <w:tcW w:w="712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Footnote</w:t>
            </w:r>
          </w:p>
        </w:tc>
      </w:tr>
      <w:tr>
        <w:trPr>
          <w:trHeight w:val="131"/>
        </w:trPr>
        <w:tc>
          <w:tcPr>
            <w:tcW w:w="7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No.</w:t>
            </w:r>
          </w:p>
        </w:tc>
        <w:tc>
          <w:tcPr>
            <w:tcW w:w="180" w:type="dxa"/>
            <w:vAlign w:val="bottom"/>
          </w:tcPr>
          <w:p>
            <w:pPr>
              <w:spacing w:after="0"/>
              <w:rPr>
                <w:sz w:val="11"/>
                <w:szCs w:val="11"/>
                <w:color w:val="auto"/>
              </w:rPr>
            </w:pPr>
          </w:p>
        </w:tc>
        <w:tc>
          <w:tcPr>
            <w:tcW w:w="71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No.</w:t>
            </w:r>
          </w:p>
        </w:tc>
      </w:tr>
      <w:tr>
        <w:trPr>
          <w:trHeight w:val="129"/>
        </w:trPr>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-14605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-108585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-108585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20"/>
          </w:cols>
          <w:pgMar w:left="240" w:top="131" w:right="239" w:bottom="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Form of Underwriting Agreement.</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the Wynn Las Vegas Capital Corp.</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Bylaws of the Wynn Las Vegas Capital Corp.</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Operating Agreement Desert Inn Water Company,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Articles of Incorporation of Desert Inn Improvement Co.</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Bylaws of Desert Inn Improvement Co.</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Wynn Design &amp; Development,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Operating Agreement or World Travel,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Operating Agreement of Las Vegas Jet,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Opinion of Schreck Brignone Godfrey</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Asset and Land Purchase Agreement, dated as of April 28, 2000, by and among Starwood Hotels &amp;</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Resorts Worldwide, Inc., Sheraton Gaming Corporation, Sheraton Desert Inn Corporation, Valvino</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Lamore, LLC and Stephen A. Wynn.</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First Amendment to Asset and Land Purchase Agreement, dated as of May 26, 2000, by and among</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Corporation, Valvino Lamore, LLC and Stephen A. Wynn.</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Second Amendment to Asset and Land Purchase Agreement, dated as of June 16,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among Starwood Hotels &amp; Resorts Worldwide, Inc., Sheraton Gaming Corporation, Sheraton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Inn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Third Amendment to Asset and Land Purchase Agreement, dated as of June 22, 2000, by and among</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Starwood Hotels &amp; Resorts Worldwide, Inc., Sheraton Gaming Corporation, Sheraton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Corporation, Valvino Lamore, LLC, Stephen A. Wynn, Rambas Marketing Co., LLC, and Desert Inn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Fourth Amendment to Asset and Land Purchase Agreement, dated as of October 27,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Fifth Amendment to Asset and Land Purchase Agreement, dated as of November 3, 2000, by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among Starwood Hotels &amp; Resorts Worldwide, Inc., Sheraton Gaming Corporation, Sheraton SGC</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Sub Corporation, Valvino Lamore, LLC, Stephen A. Wynn, Rambas Marketing Co., LLC, and Desert</w:t>
            </w:r>
          </w:p>
        </w:tc>
        <w:tc>
          <w:tcPr>
            <w:tcW w:w="2940" w:type="dxa"/>
            <w:vAlign w:val="bottom"/>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Inn Water Company, LLC.</w:t>
            </w:r>
          </w:p>
        </w:tc>
        <w:tc>
          <w:tcPr>
            <w:tcW w:w="55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60" w:type="dxa"/>
            <w:vAlign w:val="bottom"/>
            <w:tcBorders>
              <w:bottom w:val="single" w:sz="8" w:color="808080"/>
            </w:tcBorders>
            <w:gridSpan w:val="2"/>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Agreement, dated January 25, 2001, by and between Wynn Resorts Holdings, LLC and Calitri</w:t>
            </w:r>
          </w:p>
        </w:tc>
        <w:tc>
          <w:tcPr>
            <w:tcW w:w="294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Art Rental and Licensing Agreement, dated November 1, 2001, by and between Stephen A. Wynn</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Stockholders Agreement, dated as of April 11, 2002, by and among Stephen A. Wynn, Baron Asset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Fund and Aruze USA,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Agreement for Guaranteed Maximum Price Construction Services between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Form of Director and Officer Indemnification Agreement</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Contribution Agreement, dated as of June 11, 2002 by and among Stephen A. Wynn, Aruze USA,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Agreement, dated as of June 2002, by and between Stephen A. Wynn and Wynn Resorts, Limited.</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50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5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4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spacing w:after="0"/>
              <w:rPr>
                <w:sz w:val="19"/>
                <w:szCs w:val="19"/>
                <w:color w:val="auto"/>
              </w:rPr>
            </w:pPr>
          </w:p>
        </w:tc>
        <w:tc>
          <w:tcPr>
            <w:tcW w:w="766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-5019040</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-5019040</wp:posOffset>
            </wp:positionV>
            <wp:extent cx="1270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85" w:right="239" w:bottom="0" w:gutter="0" w:footer="0" w:header="0"/>
        </w:sectPr>
      </w:pPr>
    </w:p>
    <w:bookmarkStart w:id="175" w:name="page176"/>
    <w:bookmarkEnd w:id="175"/>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w w:val="99"/>
              </w:rPr>
              <w:t>Securities LLC, Bear Stearns Corporate Lending, Inc., Bear Stearns &amp; Co. Inc., Wynn Resorts</w:t>
            </w:r>
          </w:p>
        </w:tc>
        <w:tc>
          <w:tcPr>
            <w:tcW w:w="30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rPr>
              <w:t>Holdings, LLC and Wynn Las Vegas,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7580" w:type="dxa"/>
            <w:vAlign w:val="bottom"/>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80" w:type="dxa"/>
            <w:vAlign w:val="bottom"/>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Desert Inn Improvement Co.</w:t>
            </w:r>
          </w:p>
        </w:tc>
        <w:tc>
          <w:tcPr>
            <w:tcW w:w="302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30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58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3020" w:type="dxa"/>
            <w:vAlign w:val="bottom"/>
          </w:tcPr>
          <w:p>
            <w:pPr>
              <w:spacing w:after="0"/>
              <w:rPr>
                <w:sz w:val="24"/>
                <w:szCs w:val="24"/>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58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580" w:type="dxa"/>
            <w:vAlign w:val="bottom"/>
          </w:tcPr>
          <w:p>
            <w:pPr>
              <w:ind w:left="100"/>
              <w:spacing w:after="0"/>
              <w:rPr>
                <w:sz w:val="20"/>
                <w:szCs w:val="20"/>
                <w:color w:val="auto"/>
              </w:rPr>
            </w:pPr>
            <w:r>
              <w:rPr>
                <w:rFonts w:ascii="Arial" w:cs="Arial" w:eastAsia="Arial" w:hAnsi="Arial"/>
                <w:sz w:val="18"/>
                <w:szCs w:val="18"/>
                <w:color w:val="auto"/>
              </w:rPr>
              <w:t>Consent of Schreck Brignone Godfrey (included in Exhibit 5.1).</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58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580" w:type="dxa"/>
            <w:vAlign w:val="bottom"/>
          </w:tcPr>
          <w:p>
            <w:pPr>
              <w:ind w:left="100"/>
              <w:spacing w:after="0"/>
              <w:rPr>
                <w:sz w:val="20"/>
                <w:szCs w:val="20"/>
                <w:color w:val="auto"/>
              </w:rPr>
            </w:pPr>
            <w:r>
              <w:rPr>
                <w:rFonts w:ascii="Arial" w:cs="Arial" w:eastAsia="Arial" w:hAnsi="Arial"/>
                <w:sz w:val="18"/>
                <w:szCs w:val="18"/>
                <w:color w:val="auto"/>
              </w:rPr>
              <w:t>Consent of Dr. A. Correia da Silva</w:t>
            </w:r>
          </w:p>
        </w:tc>
        <w:tc>
          <w:tcPr>
            <w:tcW w:w="302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Desert Inn Water Company,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58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Wynn Design &amp; Development,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Las Vegas, LLC.</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7580" w:type="dxa"/>
            <w:vAlign w:val="bottom"/>
          </w:tcPr>
          <w:p>
            <w:pPr>
              <w:ind w:left="100"/>
              <w:spacing w:after="0"/>
              <w:rPr>
                <w:sz w:val="20"/>
                <w:szCs w:val="20"/>
                <w:color w:val="auto"/>
              </w:rPr>
            </w:pPr>
            <w:r>
              <w:rPr>
                <w:rFonts w:ascii="Arial" w:cs="Arial" w:eastAsia="Arial" w:hAnsi="Arial"/>
                <w:sz w:val="18"/>
                <w:szCs w:val="18"/>
                <w:color w:val="auto"/>
              </w:rPr>
              <w:t>Powers of Attorney of officers and directors of Desert Inn Improvement Co.</w:t>
            </w:r>
          </w:p>
        </w:tc>
        <w:tc>
          <w:tcPr>
            <w:tcW w:w="302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58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30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3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33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337"/>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3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37"/>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337"/>
        </w:numPr>
        <w:rPr>
          <w:rFonts w:ascii="Arial" w:cs="Arial" w:eastAsia="Arial" w:hAnsi="Arial"/>
          <w:sz w:val="21"/>
          <w:szCs w:val="21"/>
          <w:color w:val="auto"/>
          <w:vertAlign w:val="subscript"/>
        </w:rPr>
      </w:pPr>
      <w:r>
        <w:rPr>
          <w:rFonts w:ascii="Arial" w:cs="Arial" w:eastAsia="Arial" w:hAnsi="Arial"/>
          <w:sz w:val="11"/>
          <w:szCs w:val="1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Other Registrants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Our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Information on Issuers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Risks Associated with Our Affiliate's Macau Opportunity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Risks Related to the Offering and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PRINCIPAL STOCKHOLDERS OF WYNN RESORTS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Equity Contributions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OUR AFFILIATE'S OPPORTUNITY IN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PARTY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DESCRIPTION OF OTHER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INTERCREDITOR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DISBURSEMENT AGREEMENT</w:t>
        </w:r>
      </w:hyperlink>
    </w:p>
    <w:p>
      <w:pPr>
        <w:sectPr>
          <w:pgSz w:w="11900" w:h="16886" w:orient="portrait"/>
          <w:cols w:equalWidth="0" w:num="1">
            <w:col w:w="11420"/>
          </w:cols>
          <w:pgMar w:left="240" w:top="131" w:right="239" w:bottom="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U.S. FEDERAL INCOME TAX CONSIDERATIONS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14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145">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ind w:right="220"/>
        <w:spacing w:after="0" w:line="250" w:lineRule="auto"/>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46">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60"/>
        <w:spacing w:after="0" w:line="281" w:lineRule="auto"/>
        <w:rPr>
          <w:rFonts w:ascii="Arial" w:cs="Arial" w:eastAsia="Arial" w:hAnsi="Arial"/>
          <w:sz w:val="16"/>
          <w:szCs w:val="16"/>
          <w:u w:val="single" w:color="auto"/>
          <w:color w:val="0000EE"/>
        </w:rPr>
      </w:pPr>
      <w:hyperlink w:anchor="page147">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55">
        <w:r>
          <w:rPr>
            <w:rFonts w:ascii="Arial" w:cs="Arial" w:eastAsia="Arial" w:hAnsi="Arial"/>
            <w:sz w:val="16"/>
            <w:szCs w:val="16"/>
            <w:u w:val="single" w:color="auto"/>
            <w:color w:val="0000EE"/>
          </w:rPr>
          <w:t>VALVINO LAMORE, LLC AND SUBSIDIARIES CONSOLIDATING BALANCE SHEETS As of June 30, 2002 (In thousands) (Unaudited)</w:t>
        </w:r>
      </w:hyperlink>
      <w:r>
        <w:rPr>
          <w:rFonts w:ascii="Arial" w:cs="Arial" w:eastAsia="Arial" w:hAnsi="Arial"/>
          <w:sz w:val="16"/>
          <w:szCs w:val="16"/>
          <w:u w:val="single" w:color="auto"/>
          <w:color w:val="0000EE"/>
        </w:rPr>
        <w:t xml:space="preserve"> </w:t>
      </w:r>
      <w:hyperlink w:anchor="page156">
        <w:r>
          <w:rPr>
            <w:rFonts w:ascii="Arial" w:cs="Arial" w:eastAsia="Arial" w:hAnsi="Arial"/>
            <w:sz w:val="16"/>
            <w:szCs w:val="16"/>
            <w:u w:val="single" w:color="auto"/>
            <w:color w:val="0000EE"/>
          </w:rPr>
          <w:t>VALVINO LAMORE, LLC AND SUBSIDIARIES CONSOLIDATING BALANCE SHEETS As of December 31, 2001 (In thousands)</w:t>
        </w:r>
      </w:hyperlink>
    </w:p>
    <w:p>
      <w:pPr>
        <w:spacing w:after="0" w:line="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VALVINO LAMORE, LLC AND SUBSIDIARIES CONSOLIDATING BALANCE SHEETS As of December 31, 2000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7">
        <w:r>
          <w:rPr>
            <w:rFonts w:ascii="Arial" w:cs="Arial" w:eastAsia="Arial" w:hAnsi="Arial"/>
            <w:sz w:val="16"/>
            <w:szCs w:val="16"/>
            <w:u w:val="single" w:color="auto"/>
            <w:color w:val="0000EE"/>
          </w:rPr>
          <w:t>VALVINO LAMORE, LLC AND SUBSIDIARIES CONSOLIDATING STATEMENTS OF OPERATIONS Six Months Ended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CONSOLIDATING STATEMENTS OF OPERATIONS Six Months Ended June 30,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CONSOLIDATING STATEMENTS OF OPERATIONS Year Ended December 31,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VALVINO LAMORE, LLC AND SUBSIDIARIES CONSOLIDATING STATEMENTS OF OPERATIONS From Inception to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VALVINO LAMORE, LLC AND SUBSIDIARIES CONSOLIDATING STATEMENTS OF CASH FLOWS Six Months Ended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VALVINO LAMORE, LLC AND SUBSIDIARIES CONSOLIDATING STATEMENTS OF CASH FLOWS Six Months Ended June 30,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2">
        <w:r>
          <w:rPr>
            <w:rFonts w:ascii="Arial" w:cs="Arial" w:eastAsia="Arial" w:hAnsi="Arial"/>
            <w:sz w:val="16"/>
            <w:szCs w:val="16"/>
            <w:u w:val="single" w:color="auto"/>
            <w:color w:val="0000EE"/>
          </w:rPr>
          <w:t>VALVINO LAMORE, LLC AND SUBSIDIARIES CONSOLIDATING STATEMENTS OF CASH FLOWS Year Ended December 31, 2001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VALVINO LAMORE, LLC AND SUBSIDIARIES CONSOLIDATING STATEMENTS OF CASH FLOWS Inception to December 31, 2000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64">
        <w:r>
          <w:rPr>
            <w:rFonts w:ascii="Arial" w:cs="Arial" w:eastAsia="Arial" w:hAnsi="Arial"/>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PART II INFORMATION NOT REQUIRED IN PROSPECTUS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13. Other Expenses of Issuance and Distribution</w:t>
        </w:r>
      </w:hyperlink>
    </w:p>
    <w:p>
      <w:pPr>
        <w:spacing w:after="0" w:line="15"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14. Indemnification of Directors and Officers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15. Recent Sales of Unregistered Securities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 Exhibits and Financial Statement Schedules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Item 17. Undertakings</w:t>
        </w:r>
      </w:hyperlink>
    </w:p>
    <w:p>
      <w:pPr>
        <w:spacing w:after="0" w:line="21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SIGNATURES</w:t>
        </w:r>
      </w:hyperlink>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INDEPENDENT AUDITORS' REPORT</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22"/>
          <w:szCs w:val="22"/>
          <w:color w:val="0000EE"/>
        </w:rPr>
      </w:pPr>
      <w:hyperlink w:anchor="page1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consent to the use in this Amendment No. 1 to Registration Statement of Wynn Las Vegas, LLC and Wynn Las Vegas Capital Corp.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54945E"/>
    <w:multiLevelType w:val="hybridMultilevel"/>
    <w:lvl w:ilvl="0">
      <w:lvlJc w:val="left"/>
      <w:lvlText w:val="•"/>
      <w:numFmt w:val="bullet"/>
      <w:start w:val="1"/>
    </w:lvl>
    <w:lvl w:ilvl="1">
      <w:lvlJc w:val="left"/>
      <w:lvlText w:val="•"/>
      <w:numFmt w:val="bullet"/>
      <w:start w:val="1"/>
    </w:lvl>
  </w:abstractNum>
  <w:abstractNum w:abstractNumId="1">
    <w:nsid w:val="4DEFDFA0"/>
    <w:multiLevelType w:val="hybridMultilevel"/>
    <w:lvl w:ilvl="0">
      <w:lvlJc w:val="left"/>
      <w:lvlText w:val="•"/>
      <w:numFmt w:val="bullet"/>
      <w:start w:val="1"/>
    </w:lvl>
    <w:lvl w:ilvl="1">
      <w:lvlJc w:val="left"/>
      <w:lvlText w:val="•"/>
      <w:numFmt w:val="bullet"/>
      <w:start w:val="1"/>
    </w:lvl>
  </w:abstractNum>
  <w:abstractNum w:abstractNumId="2">
    <w:nsid w:val="2123D5F2"/>
    <w:multiLevelType w:val="hybridMultilevel"/>
    <w:lvl w:ilvl="0">
      <w:lvlJc w:val="left"/>
      <w:lvlText w:val="•"/>
      <w:numFmt w:val="bullet"/>
      <w:start w:val="1"/>
    </w:lvl>
    <w:lvl w:ilvl="1">
      <w:lvlJc w:val="left"/>
      <w:lvlText w:val="•"/>
      <w:numFmt w:val="bullet"/>
      <w:start w:val="1"/>
    </w:lvl>
  </w:abstractNum>
  <w:abstractNum w:abstractNumId="3">
    <w:nsid w:val="135B8110"/>
    <w:multiLevelType w:val="hybridMultilevel"/>
    <w:lvl w:ilvl="0">
      <w:lvlJc w:val="left"/>
      <w:lvlText w:val="•"/>
      <w:numFmt w:val="bullet"/>
      <w:start w:val="1"/>
    </w:lvl>
  </w:abstractNum>
  <w:abstractNum w:abstractNumId="4">
    <w:nsid w:val="94927A8"/>
    <w:multiLevelType w:val="hybridMultilevel"/>
    <w:lvl w:ilvl="0">
      <w:lvlJc w:val="left"/>
      <w:lvlText w:val="(%1)"/>
      <w:numFmt w:val="decimal"/>
      <w:start w:val="1"/>
    </w:lvl>
  </w:abstractNum>
  <w:abstractNum w:abstractNumId="5">
    <w:nsid w:val="DCDF8F6"/>
    <w:multiLevelType w:val="hybridMultilevel"/>
    <w:lvl w:ilvl="0">
      <w:lvlJc w:val="left"/>
      <w:lvlText w:val="(%1)"/>
      <w:numFmt w:val="decimal"/>
      <w:start w:val="2"/>
    </w:lvl>
  </w:abstractNum>
  <w:abstractNum w:abstractNumId="6">
    <w:nsid w:val="52D7B105"/>
    <w:multiLevelType w:val="hybridMultilevel"/>
    <w:lvl w:ilvl="0">
      <w:lvlJc w:val="left"/>
      <w:lvlText w:val="(%1)"/>
      <w:numFmt w:val="decimal"/>
      <w:start w:val="4"/>
    </w:lvl>
  </w:abstractNum>
  <w:abstractNum w:abstractNumId="7">
    <w:nsid w:val="2E8A6394"/>
    <w:multiLevelType w:val="hybridMultilevel"/>
    <w:lvl w:ilvl="0">
      <w:lvlJc w:val="left"/>
      <w:lvlText w:val="•"/>
      <w:numFmt w:val="bullet"/>
      <w:start w:val="1"/>
    </w:lvl>
  </w:abstractNum>
  <w:abstractNum w:abstractNumId="8">
    <w:nsid w:val="24E60401"/>
    <w:multiLevelType w:val="hybridMultilevel"/>
    <w:lvl w:ilvl="0">
      <w:lvlJc w:val="left"/>
      <w:lvlText w:val="•"/>
      <w:numFmt w:val="bullet"/>
      <w:start w:val="1"/>
    </w:lvl>
  </w:abstractNum>
  <w:abstractNum w:abstractNumId="9">
    <w:nsid w:val="2A6AD9BE"/>
    <w:multiLevelType w:val="hybridMultilevel"/>
    <w:lvl w:ilvl="0">
      <w:lvlJc w:val="left"/>
      <w:lvlText w:val="•"/>
      <w:numFmt w:val="bullet"/>
      <w:start w:val="1"/>
    </w:lvl>
  </w:abstractNum>
  <w:abstractNum w:abstractNumId="10">
    <w:nsid w:val="BAAC1B4"/>
    <w:multiLevelType w:val="hybridMultilevel"/>
    <w:lvl w:ilvl="0">
      <w:lvlJc w:val="left"/>
      <w:lvlText w:val="•"/>
      <w:numFmt w:val="bullet"/>
      <w:start w:val="1"/>
    </w:lvl>
  </w:abstractNum>
  <w:abstractNum w:abstractNumId="11">
    <w:nsid w:val="36B2ACBC"/>
    <w:multiLevelType w:val="hybridMultilevel"/>
    <w:lvl w:ilvl="0">
      <w:lvlJc w:val="left"/>
      <w:lvlText w:val="•"/>
      <w:numFmt w:val="bullet"/>
      <w:start w:val="1"/>
    </w:lvl>
  </w:abstractNum>
  <w:abstractNum w:abstractNumId="12">
    <w:nsid w:val="779D8544"/>
    <w:multiLevelType w:val="hybridMultilevel"/>
    <w:lvl w:ilvl="0">
      <w:lvlJc w:val="left"/>
      <w:lvlText w:val="•"/>
      <w:numFmt w:val="bullet"/>
      <w:start w:val="1"/>
    </w:lvl>
  </w:abstractNum>
  <w:abstractNum w:abstractNumId="13">
    <w:nsid w:val="4AB26E78"/>
    <w:multiLevelType w:val="hybridMultilevel"/>
    <w:lvl w:ilvl="0">
      <w:lvlJc w:val="left"/>
      <w:lvlText w:val="•"/>
      <w:numFmt w:val="bullet"/>
      <w:start w:val="1"/>
    </w:lvl>
  </w:abstractNum>
  <w:abstractNum w:abstractNumId="14">
    <w:nsid w:val="21FAA2FA"/>
    <w:multiLevelType w:val="hybridMultilevel"/>
    <w:lvl w:ilvl="0">
      <w:lvlJc w:val="left"/>
      <w:lvlText w:val="•"/>
      <w:numFmt w:val="bullet"/>
      <w:start w:val="1"/>
    </w:lvl>
  </w:abstractNum>
  <w:abstractNum w:abstractNumId="15">
    <w:nsid w:val="5451CF49"/>
    <w:multiLevelType w:val="hybridMultilevel"/>
    <w:lvl w:ilvl="0">
      <w:lvlJc w:val="left"/>
      <w:lvlText w:val="•"/>
      <w:numFmt w:val="bullet"/>
      <w:start w:val="1"/>
    </w:lvl>
  </w:abstractNum>
  <w:abstractNum w:abstractNumId="16">
    <w:nsid w:val="6181EF69"/>
    <w:multiLevelType w:val="hybridMultilevel"/>
    <w:lvl w:ilvl="0">
      <w:lvlJc w:val="left"/>
      <w:lvlText w:val="•"/>
      <w:numFmt w:val="bullet"/>
      <w:start w:val="1"/>
    </w:lvl>
  </w:abstractNum>
  <w:abstractNum w:abstractNumId="17">
    <w:nsid w:val="3E6400E6"/>
    <w:multiLevelType w:val="hybridMultilevel"/>
    <w:lvl w:ilvl="0">
      <w:lvlJc w:val="left"/>
      <w:lvlText w:val="•"/>
      <w:numFmt w:val="bullet"/>
      <w:start w:val="1"/>
    </w:lvl>
  </w:abstractNum>
  <w:abstractNum w:abstractNumId="18">
    <w:nsid w:val="14217E23"/>
    <w:multiLevelType w:val="hybridMultilevel"/>
    <w:lvl w:ilvl="0">
      <w:lvlJc w:val="left"/>
      <w:lvlText w:val="•"/>
      <w:numFmt w:val="bullet"/>
      <w:start w:val="1"/>
    </w:lvl>
  </w:abstractNum>
  <w:abstractNum w:abstractNumId="19">
    <w:nsid w:val="710757D0"/>
    <w:multiLevelType w:val="hybridMultilevel"/>
    <w:lvl w:ilvl="0">
      <w:lvlJc w:val="left"/>
      <w:lvlText w:val="•"/>
      <w:numFmt w:val="bullet"/>
      <w:start w:val="1"/>
    </w:lvl>
  </w:abstractNum>
  <w:abstractNum w:abstractNumId="20">
    <w:nsid w:val="5015CD1A"/>
    <w:multiLevelType w:val="hybridMultilevel"/>
    <w:lvl w:ilvl="0">
      <w:lvlJc w:val="left"/>
      <w:lvlText w:val="•"/>
      <w:numFmt w:val="bullet"/>
      <w:start w:val="1"/>
    </w:lvl>
  </w:abstractNum>
  <w:abstractNum w:abstractNumId="21">
    <w:nsid w:val="424479DA"/>
    <w:multiLevelType w:val="hybridMultilevel"/>
    <w:lvl w:ilvl="0">
      <w:lvlJc w:val="left"/>
      <w:lvlText w:val="•"/>
      <w:numFmt w:val="bullet"/>
      <w:start w:val="1"/>
    </w:lvl>
    <w:lvl w:ilvl="1">
      <w:lvlJc w:val="left"/>
      <w:lvlText w:val="•"/>
      <w:numFmt w:val="bullet"/>
      <w:start w:val="1"/>
    </w:lvl>
  </w:abstractNum>
  <w:abstractNum w:abstractNumId="22">
    <w:nsid w:val="1A9A9E69"/>
    <w:multiLevelType w:val="hybridMultilevel"/>
    <w:lvl w:ilvl="0">
      <w:lvlJc w:val="left"/>
      <w:lvlText w:val="•"/>
      <w:numFmt w:val="bullet"/>
      <w:start w:val="1"/>
    </w:lvl>
  </w:abstractNum>
  <w:abstractNum w:abstractNumId="23">
    <w:nsid w:val="475E256A"/>
    <w:multiLevelType w:val="hybridMultilevel"/>
    <w:lvl w:ilvl="0">
      <w:lvlJc w:val="left"/>
      <w:lvlText w:val="•"/>
      <w:numFmt w:val="bullet"/>
      <w:start w:val="1"/>
    </w:lvl>
  </w:abstractNum>
  <w:abstractNum w:abstractNumId="24">
    <w:nsid w:val="368DB37E"/>
    <w:multiLevelType w:val="hybridMultilevel"/>
    <w:lvl w:ilvl="0">
      <w:lvlJc w:val="left"/>
      <w:lvlText w:val="•"/>
      <w:numFmt w:val="bullet"/>
      <w:start w:val="1"/>
    </w:lvl>
  </w:abstractNum>
  <w:abstractNum w:abstractNumId="25">
    <w:nsid w:val="6A3B714C"/>
    <w:multiLevelType w:val="hybridMultilevel"/>
    <w:lvl w:ilvl="0">
      <w:lvlJc w:val="left"/>
      <w:lvlText w:val="•"/>
      <w:numFmt w:val="bullet"/>
      <w:start w:val="1"/>
    </w:lvl>
  </w:abstractNum>
  <w:abstractNum w:abstractNumId="26">
    <w:nsid w:val="327B517E"/>
    <w:multiLevelType w:val="hybridMultilevel"/>
    <w:lvl w:ilvl="0">
      <w:lvlJc w:val="left"/>
      <w:lvlText w:val="•"/>
      <w:numFmt w:val="bullet"/>
      <w:start w:val="1"/>
    </w:lvl>
  </w:abstractNum>
  <w:abstractNum w:abstractNumId="27">
    <w:nsid w:val="1F461B51"/>
    <w:multiLevelType w:val="hybridMultilevel"/>
    <w:lvl w:ilvl="0">
      <w:lvlJc w:val="left"/>
      <w:lvlText w:val="•"/>
      <w:numFmt w:val="bullet"/>
      <w:start w:val="1"/>
    </w:lvl>
  </w:abstractNum>
  <w:abstractNum w:abstractNumId="28">
    <w:nsid w:val="29BACF25"/>
    <w:multiLevelType w:val="hybridMultilevel"/>
    <w:lvl w:ilvl="0">
      <w:lvlJc w:val="left"/>
      <w:lvlText w:val="•"/>
      <w:numFmt w:val="bullet"/>
      <w:start w:val="1"/>
    </w:lvl>
  </w:abstractNum>
  <w:abstractNum w:abstractNumId="29">
    <w:nsid w:val="5D5BABB3"/>
    <w:multiLevelType w:val="hybridMultilevel"/>
    <w:lvl w:ilvl="0">
      <w:lvlJc w:val="left"/>
      <w:lvlText w:val="•"/>
      <w:numFmt w:val="bullet"/>
      <w:start w:val="1"/>
    </w:lvl>
  </w:abstractNum>
  <w:abstractNum w:abstractNumId="30">
    <w:nsid w:val="51BF6B48"/>
    <w:multiLevelType w:val="hybridMultilevel"/>
    <w:lvl w:ilvl="0">
      <w:lvlJc w:val="left"/>
      <w:lvlText w:val="•"/>
      <w:numFmt w:val="bullet"/>
      <w:start w:val="1"/>
    </w:lvl>
  </w:abstractNum>
  <w:abstractNum w:abstractNumId="31">
    <w:nsid w:val="7E0F6384"/>
    <w:multiLevelType w:val="hybridMultilevel"/>
    <w:lvl w:ilvl="0">
      <w:lvlJc w:val="left"/>
      <w:lvlText w:val="•"/>
      <w:numFmt w:val="bullet"/>
      <w:start w:val="1"/>
    </w:lvl>
  </w:abstractNum>
  <w:abstractNum w:abstractNumId="32">
    <w:nsid w:val="2B4B8B53"/>
    <w:multiLevelType w:val="hybridMultilevel"/>
    <w:lvl w:ilvl="0">
      <w:lvlJc w:val="left"/>
      <w:lvlText w:val="•"/>
      <w:numFmt w:val="bullet"/>
      <w:start w:val="1"/>
    </w:lvl>
  </w:abstractNum>
  <w:abstractNum w:abstractNumId="33">
    <w:nsid w:val="72E3413A"/>
    <w:multiLevelType w:val="hybridMultilevel"/>
    <w:lvl w:ilvl="0">
      <w:lvlJc w:val="left"/>
      <w:lvlText w:val="•"/>
      <w:numFmt w:val="bullet"/>
      <w:start w:val="1"/>
    </w:lvl>
  </w:abstractNum>
  <w:abstractNum w:abstractNumId="34">
    <w:nsid w:val="116AE494"/>
    <w:multiLevelType w:val="hybridMultilevel"/>
    <w:lvl w:ilvl="0">
      <w:lvlJc w:val="left"/>
      <w:lvlText w:val="•"/>
      <w:numFmt w:val="bullet"/>
      <w:start w:val="1"/>
    </w:lvl>
  </w:abstractNum>
  <w:abstractNum w:abstractNumId="35">
    <w:nsid w:val="3494B2FB"/>
    <w:multiLevelType w:val="hybridMultilevel"/>
    <w:lvl w:ilvl="0">
      <w:lvlJc w:val="left"/>
      <w:lvlText w:val="•"/>
      <w:numFmt w:val="bullet"/>
      <w:start w:val="1"/>
    </w:lvl>
    <w:lvl w:ilvl="1">
      <w:lvlJc w:val="left"/>
      <w:lvlText w:val="•"/>
      <w:numFmt w:val="bullet"/>
      <w:start w:val="1"/>
    </w:lvl>
  </w:abstractNum>
  <w:abstractNum w:abstractNumId="36">
    <w:nsid w:val="B13A31"/>
    <w:multiLevelType w:val="hybridMultilevel"/>
    <w:lvl w:ilvl="0">
      <w:lvlJc w:val="left"/>
      <w:lvlText w:val="•"/>
      <w:numFmt w:val="bullet"/>
      <w:start w:val="1"/>
    </w:lvl>
  </w:abstractNum>
  <w:abstractNum w:abstractNumId="37">
    <w:nsid w:val="64429599"/>
    <w:multiLevelType w:val="hybridMultilevel"/>
    <w:lvl w:ilvl="0">
      <w:lvlJc w:val="left"/>
      <w:lvlText w:val="•"/>
      <w:numFmt w:val="bullet"/>
      <w:start w:val="1"/>
    </w:lvl>
  </w:abstractNum>
  <w:abstractNum w:abstractNumId="38">
    <w:nsid w:val="631F1690"/>
    <w:multiLevelType w:val="hybridMultilevel"/>
    <w:lvl w:ilvl="0">
      <w:lvlJc w:val="left"/>
      <w:lvlText w:val="•"/>
      <w:numFmt w:val="bullet"/>
      <w:start w:val="1"/>
    </w:lvl>
  </w:abstractNum>
  <w:abstractNum w:abstractNumId="39">
    <w:nsid w:val="25973E32"/>
    <w:multiLevelType w:val="hybridMultilevel"/>
    <w:lvl w:ilvl="0">
      <w:lvlJc w:val="left"/>
      <w:lvlText w:val="•"/>
      <w:numFmt w:val="bullet"/>
      <w:start w:val="1"/>
    </w:lvl>
  </w:abstractNum>
  <w:abstractNum w:abstractNumId="40">
    <w:nsid w:val="EAD6F57"/>
    <w:multiLevelType w:val="hybridMultilevel"/>
    <w:lvl w:ilvl="0">
      <w:lvlJc w:val="left"/>
      <w:lvlText w:val="•"/>
      <w:numFmt w:val="bullet"/>
      <w:start w:val="1"/>
    </w:lvl>
  </w:abstractNum>
  <w:abstractNum w:abstractNumId="41">
    <w:nsid w:val="6EC9D844"/>
    <w:multiLevelType w:val="hybridMultilevel"/>
    <w:lvl w:ilvl="0">
      <w:lvlJc w:val="left"/>
      <w:lvlText w:val="•"/>
      <w:numFmt w:val="bullet"/>
      <w:start w:val="1"/>
    </w:lvl>
  </w:abstractNum>
  <w:abstractNum w:abstractNumId="42">
    <w:nsid w:val="5C49EAEE"/>
    <w:multiLevelType w:val="hybridMultilevel"/>
    <w:lvl w:ilvl="0">
      <w:lvlJc w:val="left"/>
      <w:lvlText w:val="•"/>
      <w:numFmt w:val="bullet"/>
      <w:start w:val="1"/>
    </w:lvl>
  </w:abstractNum>
  <w:abstractNum w:abstractNumId="43">
    <w:nsid w:val="64AF49B"/>
    <w:multiLevelType w:val="hybridMultilevel"/>
    <w:lvl w:ilvl="0">
      <w:lvlJc w:val="left"/>
      <w:lvlText w:val="(%1)"/>
      <w:numFmt w:val="decimal"/>
      <w:start w:val="1"/>
    </w:lvl>
  </w:abstractNum>
  <w:abstractNum w:abstractNumId="44">
    <w:nsid w:val="397C46BC"/>
    <w:multiLevelType w:val="hybridMultilevel"/>
    <w:lvl w:ilvl="0">
      <w:lvlJc w:val="left"/>
      <w:lvlText w:val="(%1)"/>
      <w:numFmt w:val="decimal"/>
      <w:start w:val="1"/>
    </w:lvl>
  </w:abstractNum>
  <w:abstractNum w:abstractNumId="45">
    <w:nsid w:val="7E448DE9"/>
    <w:multiLevelType w:val="hybridMultilevel"/>
    <w:lvl w:ilvl="0">
      <w:lvlJc w:val="left"/>
      <w:lvlText w:val="(%1)"/>
      <w:numFmt w:val="decimal"/>
      <w:start w:val="3"/>
    </w:lvl>
  </w:abstractNum>
  <w:abstractNum w:abstractNumId="46">
    <w:nsid w:val="5A9CC3E5"/>
    <w:multiLevelType w:val="hybridMultilevel"/>
    <w:lvl w:ilvl="0">
      <w:lvlJc w:val="left"/>
      <w:lvlText w:val="(%1)"/>
      <w:numFmt w:val="decimal"/>
      <w:start w:val="15"/>
    </w:lvl>
  </w:abstractNum>
  <w:abstractNum w:abstractNumId="47">
    <w:nsid w:val="1AFE3625"/>
    <w:multiLevelType w:val="hybridMultilevel"/>
    <w:lvl w:ilvl="0">
      <w:lvlJc w:val="left"/>
      <w:lvlText w:val="•"/>
      <w:numFmt w:val="bullet"/>
      <w:start w:val="1"/>
    </w:lvl>
  </w:abstractNum>
  <w:abstractNum w:abstractNumId="48">
    <w:nsid w:val="3CA88ECF"/>
    <w:multiLevelType w:val="hybridMultilevel"/>
    <w:lvl w:ilvl="0">
      <w:lvlJc w:val="left"/>
      <w:lvlText w:val="(%1)"/>
      <w:numFmt w:val="decimal"/>
      <w:start w:val="1"/>
    </w:lvl>
  </w:abstractNum>
  <w:abstractNum w:abstractNumId="49">
    <w:nsid w:val="6EBE4208"/>
    <w:multiLevelType w:val="hybridMultilevel"/>
    <w:lvl w:ilvl="0">
      <w:lvlJc w:val="left"/>
      <w:lvlText w:val="(%1)"/>
      <w:numFmt w:val="decimal"/>
      <w:start w:val="2"/>
    </w:lvl>
  </w:abstractNum>
  <w:abstractNum w:abstractNumId="50">
    <w:nsid w:val="C058DF5"/>
    <w:multiLevelType w:val="hybridMultilevel"/>
    <w:lvl w:ilvl="0">
      <w:lvlJc w:val="left"/>
      <w:lvlText w:val="•"/>
      <w:numFmt w:val="bullet"/>
      <w:start w:val="1"/>
    </w:lvl>
  </w:abstractNum>
  <w:abstractNum w:abstractNumId="51">
    <w:nsid w:val="CBE5BE9"/>
    <w:multiLevelType w:val="hybridMultilevel"/>
    <w:lvl w:ilvl="0">
      <w:lvlJc w:val="left"/>
      <w:lvlText w:val="(%1)"/>
      <w:numFmt w:val="decimal"/>
      <w:start w:val="1"/>
    </w:lvl>
  </w:abstractNum>
  <w:abstractNum w:abstractNumId="52">
    <w:nsid w:val="3102BBE2"/>
    <w:multiLevelType w:val="hybridMultilevel"/>
    <w:lvl w:ilvl="0">
      <w:lvlJc w:val="left"/>
      <w:lvlText w:val="•"/>
      <w:numFmt w:val="bullet"/>
      <w:start w:val="1"/>
    </w:lvl>
  </w:abstractNum>
  <w:abstractNum w:abstractNumId="53">
    <w:nsid w:val="26A02C5E"/>
    <w:multiLevelType w:val="hybridMultilevel"/>
    <w:lvl w:ilvl="0">
      <w:lvlJc w:val="left"/>
      <w:lvlText w:val="(%1)"/>
      <w:numFmt w:val="decimal"/>
      <w:start w:val="1"/>
    </w:lvl>
  </w:abstractNum>
  <w:abstractNum w:abstractNumId="54">
    <w:nsid w:val="541C8153"/>
    <w:multiLevelType w:val="hybridMultilevel"/>
    <w:lvl w:ilvl="0">
      <w:lvlJc w:val="left"/>
      <w:lvlText w:val="•"/>
      <w:numFmt w:val="bullet"/>
      <w:start w:val="1"/>
    </w:lvl>
  </w:abstractNum>
  <w:abstractNum w:abstractNumId="55">
    <w:nsid w:val="67906F60"/>
    <w:multiLevelType w:val="hybridMultilevel"/>
    <w:lvl w:ilvl="0">
      <w:lvlJc w:val="left"/>
      <w:lvlText w:val="•"/>
      <w:numFmt w:val="bullet"/>
      <w:start w:val="1"/>
    </w:lvl>
  </w:abstractNum>
  <w:abstractNum w:abstractNumId="56">
    <w:nsid w:val="10DB9DAA"/>
    <w:multiLevelType w:val="hybridMultilevel"/>
    <w:lvl w:ilvl="0">
      <w:lvlJc w:val="left"/>
      <w:lvlText w:val="(%1)"/>
      <w:numFmt w:val="decimal"/>
      <w:start w:val="1"/>
    </w:lvl>
  </w:abstractNum>
  <w:abstractNum w:abstractNumId="57">
    <w:nsid w:val="697D2D2"/>
    <w:multiLevelType w:val="hybridMultilevel"/>
    <w:lvl w:ilvl="0">
      <w:lvlJc w:val="left"/>
      <w:lvlText w:val="(%1)"/>
      <w:numFmt w:val="decimal"/>
      <w:start w:val="9"/>
    </w:lvl>
  </w:abstractNum>
  <w:abstractNum w:abstractNumId="58">
    <w:nsid w:val="6D68AB2"/>
    <w:multiLevelType w:val="hybridMultilevel"/>
    <w:lvl w:ilvl="0">
      <w:lvlJc w:val="left"/>
      <w:lvlText w:val="•"/>
      <w:numFmt w:val="bullet"/>
      <w:start w:val="1"/>
    </w:lvl>
  </w:abstractNum>
  <w:abstractNum w:abstractNumId="59">
    <w:nsid w:val="3A966CD0"/>
    <w:multiLevelType w:val="hybridMultilevel"/>
    <w:lvl w:ilvl="0">
      <w:lvlJc w:val="left"/>
      <w:lvlText w:val="•"/>
      <w:numFmt w:val="bullet"/>
      <w:start w:val="1"/>
    </w:lvl>
  </w:abstractNum>
  <w:abstractNum w:abstractNumId="60">
    <w:nsid w:val="63F37E85"/>
    <w:multiLevelType w:val="hybridMultilevel"/>
    <w:lvl w:ilvl="0">
      <w:lvlJc w:val="left"/>
      <w:lvlText w:val="•"/>
      <w:numFmt w:val="bullet"/>
      <w:start w:val="1"/>
    </w:lvl>
  </w:abstractNum>
  <w:abstractNum w:abstractNumId="61">
    <w:nsid w:val="5895F5FA"/>
    <w:multiLevelType w:val="hybridMultilevel"/>
    <w:lvl w:ilvl="0">
      <w:lvlJc w:val="left"/>
      <w:lvlText w:val="•"/>
      <w:numFmt w:val="bullet"/>
      <w:start w:val="1"/>
    </w:lvl>
  </w:abstractNum>
  <w:abstractNum w:abstractNumId="62">
    <w:nsid w:val="38A5D054"/>
    <w:multiLevelType w:val="hybridMultilevel"/>
    <w:lvl w:ilvl="0">
      <w:lvlJc w:val="left"/>
      <w:lvlText w:val="•"/>
      <w:numFmt w:val="bullet"/>
      <w:start w:val="1"/>
    </w:lvl>
  </w:abstractNum>
  <w:abstractNum w:abstractNumId="63">
    <w:nsid w:val="F3F09D8"/>
    <w:multiLevelType w:val="hybridMultilevel"/>
    <w:lvl w:ilvl="0">
      <w:lvlJc w:val="left"/>
      <w:lvlText w:val="•"/>
      <w:numFmt w:val="bullet"/>
      <w:start w:val="1"/>
    </w:lvl>
  </w:abstractNum>
  <w:abstractNum w:abstractNumId="64">
    <w:nsid w:val="4B793735"/>
    <w:multiLevelType w:val="hybridMultilevel"/>
    <w:lvl w:ilvl="0">
      <w:lvlJc w:val="left"/>
      <w:lvlText w:val="•"/>
      <w:numFmt w:val="bullet"/>
      <w:start w:val="1"/>
    </w:lvl>
  </w:abstractNum>
  <w:abstractNum w:abstractNumId="65">
    <w:nsid w:val="4A10B4E8"/>
    <w:multiLevelType w:val="hybridMultilevel"/>
    <w:lvl w:ilvl="0">
      <w:lvlJc w:val="left"/>
      <w:lvlText w:val="•"/>
      <w:numFmt w:val="bullet"/>
      <w:start w:val="1"/>
    </w:lvl>
  </w:abstractNum>
  <w:abstractNum w:abstractNumId="66">
    <w:nsid w:val="43D3BCD4"/>
    <w:multiLevelType w:val="hybridMultilevel"/>
    <w:lvl w:ilvl="0">
      <w:lvlJc w:val="left"/>
      <w:lvlText w:val="•"/>
      <w:numFmt w:val="bullet"/>
      <w:start w:val="1"/>
    </w:lvl>
  </w:abstractNum>
  <w:abstractNum w:abstractNumId="67">
    <w:nsid w:val="4C2A7166"/>
    <w:multiLevelType w:val="hybridMultilevel"/>
    <w:lvl w:ilvl="0">
      <w:lvlJc w:val="left"/>
      <w:lvlText w:val="(%1)"/>
      <w:numFmt w:val="decimal"/>
      <w:start w:val="1"/>
    </w:lvl>
  </w:abstractNum>
  <w:abstractNum w:abstractNumId="68">
    <w:nsid w:val="2E534A82"/>
    <w:multiLevelType w:val="hybridMultilevel"/>
    <w:lvl w:ilvl="0">
      <w:lvlJc w:val="left"/>
      <w:lvlText w:val="•"/>
      <w:numFmt w:val="bullet"/>
      <w:start w:val="1"/>
    </w:lvl>
  </w:abstractNum>
  <w:abstractNum w:abstractNumId="69">
    <w:nsid w:val="26F2D364"/>
    <w:multiLevelType w:val="hybridMultilevel"/>
    <w:lvl w:ilvl="0">
      <w:lvlJc w:val="left"/>
      <w:lvlText w:val="•"/>
      <w:numFmt w:val="bullet"/>
      <w:start w:val="1"/>
    </w:lvl>
  </w:abstractNum>
  <w:abstractNum w:abstractNumId="70">
    <w:nsid w:val="71C1AF98"/>
    <w:multiLevelType w:val="hybridMultilevel"/>
    <w:lvl w:ilvl="0">
      <w:lvlJc w:val="left"/>
      <w:lvlText w:val="•"/>
      <w:numFmt w:val="bullet"/>
      <w:start w:val="1"/>
    </w:lvl>
  </w:abstractNum>
  <w:abstractNum w:abstractNumId="71">
    <w:nsid w:val="3D00B9D9"/>
    <w:multiLevelType w:val="hybridMultilevel"/>
    <w:lvl w:ilvl="0">
      <w:lvlJc w:val="left"/>
      <w:lvlText w:val="•"/>
      <w:numFmt w:val="bullet"/>
      <w:start w:val="1"/>
    </w:lvl>
  </w:abstractNum>
  <w:abstractNum w:abstractNumId="72">
    <w:nsid w:val="15BCABA8"/>
    <w:multiLevelType w:val="hybridMultilevel"/>
    <w:lvl w:ilvl="0">
      <w:lvlJc w:val="left"/>
      <w:lvlText w:val="•"/>
      <w:numFmt w:val="bullet"/>
      <w:start w:val="1"/>
    </w:lvl>
  </w:abstractNum>
  <w:abstractNum w:abstractNumId="73">
    <w:nsid w:val="4E0B9A87"/>
    <w:multiLevelType w:val="hybridMultilevel"/>
    <w:lvl w:ilvl="0">
      <w:lvlJc w:val="left"/>
      <w:lvlText w:val="•"/>
      <w:numFmt w:val="bullet"/>
      <w:start w:val="1"/>
    </w:lvl>
  </w:abstractNum>
  <w:abstractNum w:abstractNumId="74">
    <w:nsid w:val="434BAE75"/>
    <w:multiLevelType w:val="hybridMultilevel"/>
    <w:lvl w:ilvl="0">
      <w:lvlJc w:val="left"/>
      <w:lvlText w:val="•"/>
      <w:numFmt w:val="bullet"/>
      <w:start w:val="1"/>
    </w:lvl>
  </w:abstractNum>
  <w:abstractNum w:abstractNumId="75">
    <w:nsid w:val="4F38F265"/>
    <w:multiLevelType w:val="hybridMultilevel"/>
    <w:lvl w:ilvl="0">
      <w:lvlJc w:val="left"/>
      <w:lvlText w:val="•"/>
      <w:numFmt w:val="bullet"/>
      <w:start w:val="1"/>
    </w:lvl>
  </w:abstractNum>
  <w:abstractNum w:abstractNumId="76">
    <w:nsid w:val="4C502870"/>
    <w:multiLevelType w:val="hybridMultilevel"/>
    <w:lvl w:ilvl="0">
      <w:lvlJc w:val="left"/>
      <w:lvlText w:val="•"/>
      <w:numFmt w:val="bullet"/>
      <w:start w:val="1"/>
    </w:lvl>
  </w:abstractNum>
  <w:abstractNum w:abstractNumId="77">
    <w:nsid w:val="1DE8725A"/>
    <w:multiLevelType w:val="hybridMultilevel"/>
    <w:lvl w:ilvl="0">
      <w:lvlJc w:val="left"/>
      <w:lvlText w:val="•"/>
      <w:numFmt w:val="bullet"/>
      <w:start w:val="1"/>
    </w:lvl>
  </w:abstractNum>
  <w:abstractNum w:abstractNumId="78">
    <w:nsid w:val="6A37288A"/>
    <w:multiLevelType w:val="hybridMultilevel"/>
    <w:lvl w:ilvl="0">
      <w:lvlJc w:val="left"/>
      <w:lvlText w:val="•"/>
      <w:numFmt w:val="bullet"/>
      <w:start w:val="1"/>
    </w:lvl>
  </w:abstractNum>
  <w:abstractNum w:abstractNumId="79">
    <w:nsid w:val="8F8B73F"/>
    <w:multiLevelType w:val="hybridMultilevel"/>
    <w:lvl w:ilvl="0">
      <w:lvlJc w:val="left"/>
      <w:lvlText w:val="•"/>
      <w:numFmt w:val="bullet"/>
      <w:start w:val="1"/>
    </w:lvl>
  </w:abstractNum>
  <w:abstractNum w:abstractNumId="80">
    <w:nsid w:val="CA6B462"/>
    <w:multiLevelType w:val="hybridMultilevel"/>
    <w:lvl w:ilvl="0">
      <w:lvlJc w:val="left"/>
      <w:lvlText w:val="•"/>
      <w:numFmt w:val="bullet"/>
      <w:start w:val="1"/>
    </w:lvl>
  </w:abstractNum>
  <w:abstractNum w:abstractNumId="81">
    <w:nsid w:val="763CB680"/>
    <w:multiLevelType w:val="hybridMultilevel"/>
    <w:lvl w:ilvl="0">
      <w:lvlJc w:val="left"/>
      <w:lvlText w:val="•"/>
      <w:numFmt w:val="bullet"/>
      <w:start w:val="1"/>
    </w:lvl>
  </w:abstractNum>
  <w:abstractNum w:abstractNumId="82">
    <w:nsid w:val="15B71329"/>
    <w:multiLevelType w:val="hybridMultilevel"/>
    <w:lvl w:ilvl="0">
      <w:lvlJc w:val="left"/>
      <w:lvlText w:val="•"/>
      <w:numFmt w:val="bullet"/>
      <w:start w:val="1"/>
    </w:lvl>
  </w:abstractNum>
  <w:abstractNum w:abstractNumId="83">
    <w:nsid w:val="3DA97044"/>
    <w:multiLevelType w:val="hybridMultilevel"/>
    <w:lvl w:ilvl="0">
      <w:lvlJc w:val="left"/>
      <w:lvlText w:val="•"/>
      <w:numFmt w:val="bullet"/>
      <w:start w:val="1"/>
    </w:lvl>
  </w:abstractNum>
  <w:abstractNum w:abstractNumId="84">
    <w:nsid w:val="1CDCE2DE"/>
    <w:multiLevelType w:val="hybridMultilevel"/>
    <w:lvl w:ilvl="0">
      <w:lvlJc w:val="left"/>
      <w:lvlText w:val="•"/>
      <w:numFmt w:val="bullet"/>
      <w:start w:val="1"/>
    </w:lvl>
  </w:abstractNum>
  <w:abstractNum w:abstractNumId="85">
    <w:nsid w:val="69D3947C"/>
    <w:multiLevelType w:val="hybridMultilevel"/>
    <w:lvl w:ilvl="0">
      <w:lvlJc w:val="left"/>
      <w:lvlText w:val="•"/>
      <w:numFmt w:val="bullet"/>
      <w:start w:val="1"/>
    </w:lvl>
  </w:abstractNum>
  <w:abstractNum w:abstractNumId="86">
    <w:nsid w:val="2539DFA5"/>
    <w:multiLevelType w:val="hybridMultilevel"/>
    <w:lvl w:ilvl="0">
      <w:lvlJc w:val="left"/>
      <w:lvlText w:val="•"/>
      <w:numFmt w:val="bullet"/>
      <w:start w:val="1"/>
    </w:lvl>
  </w:abstractNum>
  <w:abstractNum w:abstractNumId="87">
    <w:nsid w:val="2DB88089"/>
    <w:multiLevelType w:val="hybridMultilevel"/>
    <w:lvl w:ilvl="0">
      <w:lvlJc w:val="left"/>
      <w:lvlText w:val="•"/>
      <w:numFmt w:val="bullet"/>
      <w:start w:val="1"/>
    </w:lvl>
  </w:abstractNum>
  <w:abstractNum w:abstractNumId="88">
    <w:nsid w:val="706B674E"/>
    <w:multiLevelType w:val="hybridMultilevel"/>
    <w:lvl w:ilvl="0">
      <w:lvlJc w:val="left"/>
      <w:lvlText w:val="•"/>
      <w:numFmt w:val="bullet"/>
      <w:start w:val="1"/>
    </w:lvl>
  </w:abstractNum>
  <w:abstractNum w:abstractNumId="89">
    <w:nsid w:val="2C106A57"/>
    <w:multiLevelType w:val="hybridMultilevel"/>
    <w:lvl w:ilvl="0">
      <w:lvlJc w:val="left"/>
      <w:lvlText w:val="•"/>
      <w:numFmt w:val="bullet"/>
      <w:start w:val="1"/>
    </w:lvl>
  </w:abstractNum>
  <w:abstractNum w:abstractNumId="90">
    <w:nsid w:val="684EED59"/>
    <w:multiLevelType w:val="hybridMultilevel"/>
    <w:lvl w:ilvl="0">
      <w:lvlJc w:val="left"/>
      <w:lvlText w:val="(%1)"/>
      <w:numFmt w:val="decimal"/>
      <w:start w:val="1"/>
    </w:lvl>
  </w:abstractNum>
  <w:abstractNum w:abstractNumId="91">
    <w:nsid w:val="545EE5D3"/>
    <w:multiLevelType w:val="hybridMultilevel"/>
    <w:lvl w:ilvl="0">
      <w:lvlJc w:val="left"/>
      <w:lvlText w:val="•"/>
      <w:numFmt w:val="bullet"/>
      <w:start w:val="1"/>
    </w:lvl>
  </w:abstractNum>
  <w:abstractNum w:abstractNumId="92">
    <w:nsid w:val="4A66051"/>
    <w:multiLevelType w:val="hybridMultilevel"/>
    <w:lvl w:ilvl="0">
      <w:lvlJc w:val="left"/>
      <w:lvlText w:val="•"/>
      <w:numFmt w:val="bullet"/>
      <w:start w:val="1"/>
    </w:lvl>
  </w:abstractNum>
  <w:abstractNum w:abstractNumId="93">
    <w:nsid w:val="20F4BDAD"/>
    <w:multiLevelType w:val="hybridMultilevel"/>
    <w:lvl w:ilvl="0">
      <w:lvlJc w:val="left"/>
      <w:lvlText w:val="•"/>
      <w:numFmt w:val="bullet"/>
      <w:start w:val="1"/>
    </w:lvl>
  </w:abstractNum>
  <w:abstractNum w:abstractNumId="94">
    <w:nsid w:val="639DEFAC"/>
    <w:multiLevelType w:val="hybridMultilevel"/>
    <w:lvl w:ilvl="0">
      <w:lvlJc w:val="left"/>
      <w:lvlText w:val="(%1)"/>
      <w:numFmt w:val="decimal"/>
      <w:start w:val="1"/>
    </w:lvl>
  </w:abstractNum>
  <w:abstractNum w:abstractNumId="95">
    <w:nsid w:val="501F9786"/>
    <w:multiLevelType w:val="hybridMultilevel"/>
    <w:lvl w:ilvl="0">
      <w:lvlJc w:val="left"/>
      <w:lvlText w:val="(%1)"/>
      <w:numFmt w:val="decimal"/>
      <w:start w:val="2"/>
    </w:lvl>
  </w:abstractNum>
  <w:abstractNum w:abstractNumId="96">
    <w:nsid w:val="6B057295"/>
    <w:multiLevelType w:val="hybridMultilevel"/>
    <w:lvl w:ilvl="0">
      <w:lvlJc w:val="left"/>
      <w:lvlText w:val="•"/>
      <w:numFmt w:val="bullet"/>
      <w:start w:val="1"/>
    </w:lvl>
  </w:abstractNum>
  <w:abstractNum w:abstractNumId="97">
    <w:nsid w:val="2771AC80"/>
    <w:multiLevelType w:val="hybridMultilevel"/>
    <w:lvl w:ilvl="0">
      <w:lvlJc w:val="left"/>
      <w:lvlText w:val="•"/>
      <w:numFmt w:val="bullet"/>
      <w:start w:val="1"/>
    </w:lvl>
  </w:abstractNum>
  <w:abstractNum w:abstractNumId="98">
    <w:nsid w:val="1C4A08EC"/>
    <w:multiLevelType w:val="hybridMultilevel"/>
    <w:lvl w:ilvl="0">
      <w:lvlJc w:val="left"/>
      <w:lvlText w:val="•"/>
      <w:numFmt w:val="bullet"/>
      <w:start w:val="1"/>
    </w:lvl>
  </w:abstractNum>
  <w:abstractNum w:abstractNumId="99">
    <w:nsid w:val="1958BD17"/>
    <w:multiLevelType w:val="hybridMultilevel"/>
    <w:lvl w:ilvl="0">
      <w:lvlJc w:val="left"/>
      <w:lvlText w:val="(%1)"/>
      <w:numFmt w:val="decimal"/>
      <w:start w:val="1"/>
    </w:lvl>
  </w:abstractNum>
  <w:abstractNum w:abstractNumId="100">
    <w:nsid w:val="4E647FE4"/>
    <w:multiLevelType w:val="hybridMultilevel"/>
    <w:lvl w:ilvl="0">
      <w:lvlJc w:val="left"/>
      <w:lvlText w:val="(%1)"/>
      <w:numFmt w:val="decimal"/>
      <w:start w:val="1"/>
    </w:lvl>
    <w:lvl w:ilvl="1">
      <w:lvlJc w:val="left"/>
      <w:lvlText w:val="(%2)"/>
      <w:numFmt w:val="lowerLetter"/>
      <w:start w:val="1"/>
    </w:lvl>
  </w:abstractNum>
  <w:abstractNum w:abstractNumId="101">
    <w:nsid w:val="E0BB88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2">
    <w:nsid w:val="565976F1"/>
    <w:multiLevelType w:val="hybridMultilevel"/>
    <w:lvl w:ilvl="0">
      <w:lvlJc w:val="left"/>
      <w:lvlText w:val="(%1)"/>
      <w:numFmt w:val="decimal"/>
      <w:start w:val="1"/>
    </w:lvl>
  </w:abstractNum>
  <w:abstractNum w:abstractNumId="103">
    <w:nsid w:val="64212B8C"/>
    <w:multiLevelType w:val="hybridMultilevel"/>
    <w:lvl w:ilvl="0">
      <w:lvlJc w:val="left"/>
      <w:lvlText w:val="•"/>
      <w:numFmt w:val="bullet"/>
      <w:start w:val="1"/>
    </w:lvl>
  </w:abstractNum>
  <w:abstractNum w:abstractNumId="104">
    <w:nsid w:val="5C17530C"/>
    <w:multiLevelType w:val="hybridMultilevel"/>
    <w:lvl w:ilvl="0">
      <w:lvlJc w:val="left"/>
      <w:lvlText w:val="(%1)"/>
      <w:numFmt w:val="decimal"/>
      <w:start w:val="1"/>
    </w:lvl>
  </w:abstractNum>
  <w:abstractNum w:abstractNumId="105">
    <w:nsid w:val="19A52566"/>
    <w:multiLevelType w:val="hybridMultilevel"/>
    <w:lvl w:ilvl="0">
      <w:lvlJc w:val="left"/>
      <w:lvlText w:val="•"/>
      <w:numFmt w:val="bullet"/>
      <w:start w:val="1"/>
    </w:lvl>
  </w:abstractNum>
  <w:abstractNum w:abstractNumId="106">
    <w:nsid w:val="335A1DF1"/>
    <w:multiLevelType w:val="hybridMultilevel"/>
    <w:lvl w:ilvl="0">
      <w:lvlJc w:val="left"/>
      <w:lvlText w:val="•"/>
      <w:numFmt w:val="bullet"/>
      <w:start w:val="1"/>
    </w:lvl>
    <w:lvl w:ilvl="1">
      <w:lvlJc w:val="left"/>
      <w:lvlText w:val="•"/>
      <w:numFmt w:val="bullet"/>
      <w:start w:val="1"/>
    </w:lvl>
  </w:abstractNum>
  <w:abstractNum w:abstractNumId="107">
    <w:nsid w:val="28677B7C"/>
    <w:multiLevelType w:val="hybridMultilevel"/>
    <w:lvl w:ilvl="0">
      <w:lvlJc w:val="left"/>
      <w:lvlText w:val="•"/>
      <w:numFmt w:val="bullet"/>
      <w:start w:val="1"/>
    </w:lvl>
    <w:lvl w:ilvl="1">
      <w:lvlJc w:val="left"/>
      <w:lvlText w:val="•"/>
      <w:numFmt w:val="bullet"/>
      <w:start w:val="1"/>
    </w:lvl>
  </w:abstractNum>
  <w:abstractNum w:abstractNumId="108">
    <w:nsid w:val="378D97C0"/>
    <w:multiLevelType w:val="hybridMultilevel"/>
    <w:lvl w:ilvl="0">
      <w:lvlJc w:val="left"/>
      <w:lvlText w:val="(%1)"/>
      <w:numFmt w:val="lowerLetter"/>
      <w:start w:val="1"/>
    </w:lvl>
  </w:abstractNum>
  <w:abstractNum w:abstractNumId="109">
    <w:nsid w:val="1D91467C"/>
    <w:multiLevelType w:val="hybridMultilevel"/>
    <w:lvl w:ilvl="0">
      <w:lvlJc w:val="left"/>
      <w:lvlText w:val="%1"/>
      <w:numFmt w:val="lowerLetter"/>
      <w:start w:val="1"/>
    </w:lvl>
    <w:lvl w:ilvl="1">
      <w:lvlJc w:val="left"/>
      <w:lvlText w:val="(%2)"/>
      <w:numFmt w:val="lowerRoman"/>
      <w:start w:val="1"/>
    </w:lvl>
  </w:abstractNum>
  <w:abstractNum w:abstractNumId="110">
    <w:nsid w:val="316032BB"/>
    <w:multiLevelType w:val="hybridMultilevel"/>
    <w:lvl w:ilvl="0">
      <w:lvlJc w:val="left"/>
      <w:lvlText w:val="(%1)"/>
      <w:numFmt w:val="lowerLetter"/>
      <w:start w:val="2"/>
    </w:lvl>
    <w:lvl w:ilvl="1">
      <w:lvlJc w:val="left"/>
      <w:lvlText w:val="%2"/>
      <w:numFmt w:val="lowerRoman"/>
      <w:start w:val="1"/>
    </w:lvl>
  </w:abstractNum>
  <w:abstractNum w:abstractNumId="111">
    <w:nsid w:val="44344C22"/>
    <w:multiLevelType w:val="hybridMultilevel"/>
    <w:lvl w:ilvl="0">
      <w:lvlJc w:val="left"/>
      <w:lvlText w:val="(%1)"/>
      <w:numFmt w:val="lowerLetter"/>
      <w:start w:val="5"/>
    </w:lvl>
  </w:abstractNum>
  <w:abstractNum w:abstractNumId="112">
    <w:nsid w:val="13CDFCFC"/>
    <w:multiLevelType w:val="hybridMultilevel"/>
    <w:lvl w:ilvl="0">
      <w:lvlJc w:val="left"/>
      <w:lvlText w:val="(%1)"/>
      <w:numFmt w:val="lowerLetter"/>
      <w:start w:val="1"/>
    </w:lvl>
  </w:abstractNum>
  <w:abstractNum w:abstractNumId="113">
    <w:nsid w:val="471745E4"/>
    <w:multiLevelType w:val="hybridMultilevel"/>
    <w:lvl w:ilvl="0">
      <w:lvlJc w:val="left"/>
      <w:lvlText w:val="(%1)"/>
      <w:numFmt w:val="decimal"/>
      <w:start w:val="1"/>
    </w:lvl>
  </w:abstractNum>
  <w:abstractNum w:abstractNumId="114">
    <w:nsid w:val="1DDBC66"/>
    <w:multiLevelType w:val="hybridMultilevel"/>
    <w:lvl w:ilvl="0">
      <w:lvlJc w:val="left"/>
      <w:lvlText w:val="(%1)"/>
      <w:numFmt w:val="decimal"/>
      <w:start w:val="2"/>
    </w:lvl>
  </w:abstractNum>
  <w:abstractNum w:abstractNumId="115">
    <w:nsid w:val="30AADFDA"/>
    <w:multiLevelType w:val="hybridMultilevel"/>
    <w:lvl w:ilvl="0">
      <w:lvlJc w:val="left"/>
      <w:lvlText w:val="(%1)"/>
      <w:numFmt w:val="decimal"/>
      <w:start w:val="3"/>
    </w:lvl>
  </w:abstractNum>
  <w:abstractNum w:abstractNumId="116">
    <w:nsid w:val="30EADA61"/>
    <w:multiLevelType w:val="hybridMultilevel"/>
    <w:lvl w:ilvl="0">
      <w:lvlJc w:val="left"/>
      <w:lvlText w:val="(%1)"/>
      <w:numFmt w:val="decimal"/>
      <w:start w:val="2"/>
    </w:lvl>
  </w:abstractNum>
  <w:abstractNum w:abstractNumId="117">
    <w:nsid w:val="27179C0B"/>
    <w:multiLevelType w:val="hybridMultilevel"/>
    <w:lvl w:ilvl="0">
      <w:lvlJc w:val="left"/>
      <w:lvlText w:val="(%1)"/>
      <w:numFmt w:val="decimal"/>
      <w:start w:val="1"/>
    </w:lvl>
  </w:abstractNum>
  <w:abstractNum w:abstractNumId="118">
    <w:nsid w:val="5E636063"/>
    <w:multiLevelType w:val="hybridMultilevel"/>
    <w:lvl w:ilvl="0">
      <w:lvlJc w:val="left"/>
      <w:lvlText w:val="(%1)"/>
      <w:numFmt w:val="decimal"/>
      <w:start w:val="1"/>
    </w:lvl>
  </w:abstractNum>
  <w:abstractNum w:abstractNumId="119">
    <w:nsid w:val="215641AF"/>
    <w:multiLevelType w:val="hybridMultilevel"/>
    <w:lvl w:ilvl="0">
      <w:lvlJc w:val="left"/>
      <w:lvlText w:val="(%1)"/>
      <w:numFmt w:val="lowerLetter"/>
      <w:start w:val="1"/>
    </w:lvl>
  </w:abstractNum>
  <w:abstractNum w:abstractNumId="120">
    <w:nsid w:val="53280662"/>
    <w:multiLevelType w:val="hybridMultilevel"/>
    <w:lvl w:ilvl="0">
      <w:lvlJc w:val="left"/>
      <w:lvlText w:val="(%1)"/>
      <w:numFmt w:val="lowerLetter"/>
      <w:start w:val="1"/>
    </w:lvl>
  </w:abstractNum>
  <w:abstractNum w:abstractNumId="121">
    <w:nsid w:val="46B24DBC"/>
    <w:multiLevelType w:val="hybridMultilevel"/>
    <w:lvl w:ilvl="0">
      <w:lvlJc w:val="left"/>
      <w:lvlText w:val="(%1)"/>
      <w:numFmt w:val="decimal"/>
      <w:start w:val="1"/>
    </w:lvl>
  </w:abstractNum>
  <w:abstractNum w:abstractNumId="122">
    <w:nsid w:val="75B52783"/>
    <w:multiLevelType w:val="hybridMultilevel"/>
    <w:lvl w:ilvl="0">
      <w:lvlJc w:val="left"/>
      <w:lvlText w:val="(%1)"/>
      <w:numFmt w:val="decimal"/>
      <w:start w:val="2"/>
    </w:lvl>
  </w:abstractNum>
  <w:abstractNum w:abstractNumId="123">
    <w:nsid w:val="57CE66B4"/>
    <w:multiLevelType w:val="hybridMultilevel"/>
    <w:lvl w:ilvl="0">
      <w:lvlJc w:val="left"/>
      <w:lvlText w:val="(%1)"/>
      <w:numFmt w:val="decimal"/>
      <w:start w:val="1"/>
    </w:lvl>
  </w:abstractNum>
  <w:abstractNum w:abstractNumId="124">
    <w:nsid w:val="67A70B69"/>
    <w:multiLevelType w:val="hybridMultilevel"/>
    <w:lvl w:ilvl="0">
      <w:lvlJc w:val="left"/>
      <w:lvlText w:val="(%1)"/>
      <w:numFmt w:val="decimal"/>
      <w:start w:val="1"/>
    </w:lvl>
  </w:abstractNum>
  <w:abstractNum w:abstractNumId="125">
    <w:nsid w:val="5953172F"/>
    <w:multiLevelType w:val="hybridMultilevel"/>
    <w:lvl w:ilvl="0">
      <w:lvlJc w:val="left"/>
      <w:lvlText w:val="(%1)"/>
      <w:numFmt w:val="decimal"/>
      <w:start w:val="2"/>
    </w:lvl>
  </w:abstractNum>
  <w:abstractNum w:abstractNumId="126">
    <w:nsid w:val="27EDFE3A"/>
    <w:multiLevelType w:val="hybridMultilevel"/>
    <w:lvl w:ilvl="0">
      <w:lvlJc w:val="left"/>
      <w:lvlText w:val="(%1)"/>
      <w:numFmt w:val="decimal"/>
      <w:start w:val="2"/>
    </w:lvl>
  </w:abstractNum>
  <w:abstractNum w:abstractNumId="127">
    <w:nsid w:val="52AC7DFF"/>
    <w:multiLevelType w:val="hybridMultilevel"/>
    <w:lvl w:ilvl="0">
      <w:lvlJc w:val="left"/>
      <w:lvlText w:val="(%1)"/>
      <w:numFmt w:val="decimal"/>
      <w:start w:val="1"/>
    </w:lvl>
  </w:abstractNum>
  <w:abstractNum w:abstractNumId="128">
    <w:nsid w:val="C4C3AF"/>
    <w:multiLevelType w:val="hybridMultilevel"/>
    <w:lvl w:ilvl="0">
      <w:lvlJc w:val="left"/>
      <w:lvlText w:val="(%1)"/>
      <w:numFmt w:val="decimal"/>
      <w:start w:val="4"/>
    </w:lvl>
    <w:lvl w:ilvl="1">
      <w:lvlJc w:val="left"/>
      <w:lvlText w:val="(%2)"/>
      <w:numFmt w:val="lowerLetter"/>
      <w:start w:val="1"/>
    </w:lvl>
  </w:abstractNum>
  <w:abstractNum w:abstractNumId="129">
    <w:nsid w:val="44380727"/>
    <w:multiLevelType w:val="hybridMultilevel"/>
    <w:lvl w:ilvl="0">
      <w:lvlJc w:val="left"/>
      <w:lvlText w:val="(%1)"/>
      <w:numFmt w:val="decimal"/>
      <w:start w:val="2"/>
    </w:lvl>
  </w:abstractNum>
  <w:abstractNum w:abstractNumId="130">
    <w:nsid w:val="6C053B16"/>
    <w:multiLevelType w:val="hybridMultilevel"/>
    <w:lvl w:ilvl="0">
      <w:lvlJc w:val="left"/>
      <w:lvlText w:val="(%1)"/>
      <w:numFmt w:val="decimal"/>
      <w:start w:val="7"/>
    </w:lvl>
  </w:abstractNum>
  <w:abstractNum w:abstractNumId="131">
    <w:nsid w:val="4F294393"/>
    <w:multiLevelType w:val="hybridMultilevel"/>
    <w:lvl w:ilvl="0">
      <w:lvlJc w:val="left"/>
      <w:lvlText w:val="(%1)"/>
      <w:numFmt w:val="decimal"/>
      <w:start w:val="1"/>
    </w:lvl>
    <w:lvl w:ilvl="1">
      <w:lvlJc w:val="left"/>
      <w:lvlText w:val="(%2)"/>
      <w:numFmt w:val="lowerLetter"/>
      <w:start w:val="1"/>
    </w:lvl>
  </w:abstractNum>
  <w:abstractNum w:abstractNumId="132">
    <w:nsid w:val="5243BFAC"/>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133">
    <w:nsid w:val="425EB207"/>
    <w:multiLevelType w:val="hybridMultilevel"/>
    <w:lvl w:ilvl="0">
      <w:lvlJc w:val="left"/>
      <w:lvlText w:val="(%1)"/>
      <w:numFmt w:val="decimal"/>
      <w:start w:val="9"/>
    </w:lvl>
  </w:abstractNum>
  <w:abstractNum w:abstractNumId="134">
    <w:nsid w:val="334A6F1F"/>
    <w:multiLevelType w:val="hybridMultilevel"/>
    <w:lvl w:ilvl="0">
      <w:lvlJc w:val="left"/>
      <w:lvlText w:val="(%1)"/>
      <w:numFmt w:val="decimal"/>
      <w:start w:val="11"/>
    </w:lvl>
  </w:abstractNum>
  <w:abstractNum w:abstractNumId="135">
    <w:nsid w:val="2E5B12B8"/>
    <w:multiLevelType w:val="hybridMultilevel"/>
    <w:lvl w:ilvl="0">
      <w:lvlJc w:val="left"/>
      <w:lvlText w:val="(%1)"/>
      <w:numFmt w:val="decimal"/>
      <w:start w:val="1"/>
    </w:lvl>
  </w:abstractNum>
  <w:abstractNum w:abstractNumId="136">
    <w:nsid w:val="5C03D76D"/>
    <w:multiLevelType w:val="hybridMultilevel"/>
    <w:lvl w:ilvl="0">
      <w:lvlJc w:val="left"/>
      <w:lvlText w:val="(%1)"/>
      <w:numFmt w:val="decimal"/>
      <w:start w:val="1"/>
    </w:lvl>
  </w:abstractNum>
  <w:abstractNum w:abstractNumId="137">
    <w:nsid w:val="66A48D11"/>
    <w:multiLevelType w:val="hybridMultilevel"/>
    <w:lvl w:ilvl="0">
      <w:lvlJc w:val="left"/>
      <w:lvlText w:val="(%1)"/>
      <w:numFmt w:val="decimal"/>
      <w:start w:val="4"/>
    </w:lvl>
  </w:abstractNum>
  <w:abstractNum w:abstractNumId="138">
    <w:nsid w:val="56C28E34"/>
    <w:multiLevelType w:val="hybridMultilevel"/>
    <w:lvl w:ilvl="0">
      <w:lvlJc w:val="left"/>
      <w:lvlText w:val="(%1)"/>
      <w:numFmt w:val="decimal"/>
      <w:start w:val="8"/>
    </w:lvl>
  </w:abstractNum>
  <w:abstractNum w:abstractNumId="139">
    <w:nsid w:val="13916F2D"/>
    <w:multiLevelType w:val="hybridMultilevel"/>
    <w:lvl w:ilvl="0">
      <w:lvlJc w:val="left"/>
      <w:lvlText w:val="(%1)"/>
      <w:numFmt w:val="decimal"/>
      <w:start w:val="1"/>
    </w:lvl>
    <w:lvl w:ilvl="1">
      <w:lvlJc w:val="left"/>
      <w:lvlText w:val="(%2)"/>
      <w:numFmt w:val="lowerLetter"/>
      <w:start w:val="1"/>
    </w:lvl>
  </w:abstractNum>
  <w:abstractNum w:abstractNumId="140">
    <w:nsid w:val="435D38D"/>
    <w:multiLevelType w:val="hybridMultilevel"/>
    <w:lvl w:ilvl="0">
      <w:lvlJc w:val="left"/>
      <w:lvlText w:val="(%1)"/>
      <w:numFmt w:val="decimal"/>
      <w:start w:val="6"/>
    </w:lvl>
  </w:abstractNum>
  <w:abstractNum w:abstractNumId="141">
    <w:nsid w:val="822C0EF"/>
    <w:multiLevelType w:val="hybridMultilevel"/>
    <w:lvl w:ilvl="0">
      <w:lvlJc w:val="left"/>
      <w:lvlText w:val="(%1)"/>
      <w:numFmt w:val="decimal"/>
      <w:start w:val="1"/>
    </w:lvl>
  </w:abstractNum>
  <w:abstractNum w:abstractNumId="142">
    <w:nsid w:val="57C5BB4F"/>
    <w:multiLevelType w:val="hybridMultilevel"/>
    <w:lvl w:ilvl="0">
      <w:lvlJc w:val="left"/>
      <w:lvlText w:val="(%1)"/>
      <w:numFmt w:val="lowerLetter"/>
      <w:start w:val="1"/>
    </w:lvl>
  </w:abstractNum>
  <w:abstractNum w:abstractNumId="143">
    <w:nsid w:val="1803D089"/>
    <w:multiLevelType w:val="hybridMultilevel"/>
    <w:lvl w:ilvl="0">
      <w:lvlJc w:val="left"/>
      <w:lvlText w:val="(%1)"/>
      <w:numFmt w:val="lowerLetter"/>
      <w:start w:val="2"/>
    </w:lvl>
  </w:abstractNum>
  <w:abstractNum w:abstractNumId="144">
    <w:nsid w:val="4F3A06D4"/>
    <w:multiLevelType w:val="hybridMultilevel"/>
    <w:lvl w:ilvl="0">
      <w:lvlJc w:val="left"/>
      <w:lvlText w:val="(%1)"/>
      <w:numFmt w:val="decimal"/>
      <w:start w:val="1"/>
    </w:lvl>
  </w:abstractNum>
  <w:abstractNum w:abstractNumId="145">
    <w:nsid w:val="59A377B6"/>
    <w:multiLevelType w:val="hybridMultilevel"/>
    <w:lvl w:ilvl="0">
      <w:lvlJc w:val="left"/>
      <w:lvlText w:val="(%1)"/>
      <w:numFmt w:val="decimal"/>
      <w:start w:val="1"/>
    </w:lvl>
  </w:abstractNum>
  <w:abstractNum w:abstractNumId="146">
    <w:nsid w:val="48AEB063"/>
    <w:multiLevelType w:val="hybridMultilevel"/>
    <w:lvl w:ilvl="0">
      <w:lvlJc w:val="left"/>
      <w:lvlText w:val="(%1)"/>
      <w:numFmt w:val="decimal"/>
      <w:start w:val="1"/>
    </w:lvl>
  </w:abstractNum>
  <w:abstractNum w:abstractNumId="147">
    <w:nsid w:val="24E135"/>
    <w:multiLevelType w:val="hybridMultilevel"/>
    <w:lvl w:ilvl="0">
      <w:lvlJc w:val="left"/>
      <w:lvlText w:val="(%1)"/>
      <w:numFmt w:val="decimal"/>
      <w:start w:val="1"/>
    </w:lvl>
  </w:abstractNum>
  <w:abstractNum w:abstractNumId="148">
    <w:nsid w:val="BB13C1"/>
    <w:multiLevelType w:val="hybridMultilevel"/>
    <w:lvl w:ilvl="0">
      <w:lvlJc w:val="left"/>
      <w:lvlText w:val="(%1)"/>
      <w:numFmt w:val="decimal"/>
      <w:start w:val="1"/>
    </w:lvl>
    <w:lvl w:ilvl="1">
      <w:lvlJc w:val="left"/>
      <w:lvlText w:val="(%2)"/>
      <w:numFmt w:val="lowerLetter"/>
      <w:start w:val="1"/>
    </w:lvl>
  </w:abstractNum>
  <w:abstractNum w:abstractNumId="149">
    <w:nsid w:val="271210C7"/>
    <w:multiLevelType w:val="hybridMultilevel"/>
    <w:lvl w:ilvl="0">
      <w:lvlJc w:val="left"/>
      <w:lvlText w:val="(%1)"/>
      <w:numFmt w:val="decimal"/>
      <w:start w:val="1"/>
    </w:lvl>
  </w:abstractNum>
  <w:abstractNum w:abstractNumId="150">
    <w:nsid w:val="217B22E4"/>
    <w:multiLevelType w:val="hybridMultilevel"/>
    <w:lvl w:ilvl="0">
      <w:lvlJc w:val="left"/>
      <w:lvlText w:val="(%1)"/>
      <w:numFmt w:val="decimal"/>
      <w:start w:val="1"/>
    </w:lvl>
  </w:abstractNum>
  <w:abstractNum w:abstractNumId="151">
    <w:nsid w:val="53E31A24"/>
    <w:multiLevelType w:val="hybridMultilevel"/>
    <w:lvl w:ilvl="0">
      <w:lvlJc w:val="left"/>
      <w:lvlText w:val="(%1)"/>
      <w:numFmt w:val="decimal"/>
      <w:start w:val="1"/>
    </w:lvl>
  </w:abstractNum>
  <w:abstractNum w:abstractNumId="152">
    <w:nsid w:val="6DC45E83"/>
    <w:multiLevelType w:val="hybridMultilevel"/>
    <w:lvl w:ilvl="0">
      <w:lvlJc w:val="left"/>
      <w:lvlText w:val="(%1)"/>
      <w:numFmt w:val="decimal"/>
      <w:start w:val="1"/>
    </w:lvl>
  </w:abstractNum>
  <w:abstractNum w:abstractNumId="153">
    <w:nsid w:val="17304A67"/>
    <w:multiLevelType w:val="hybridMultilevel"/>
    <w:lvl w:ilvl="0">
      <w:lvlJc w:val="left"/>
      <w:lvlText w:val="(%1)"/>
      <w:numFmt w:val="decimal"/>
      <w:start w:val="1"/>
    </w:lvl>
    <w:lvl w:ilvl="1">
      <w:lvlJc w:val="left"/>
      <w:lvlText w:val="(%2)"/>
      <w:numFmt w:val="lowerLetter"/>
      <w:start w:val="2"/>
    </w:lvl>
  </w:abstractNum>
  <w:abstractNum w:abstractNumId="154">
    <w:nsid w:val="2BB180D8"/>
    <w:multiLevelType w:val="hybridMultilevel"/>
    <w:lvl w:ilvl="0">
      <w:lvlJc w:val="left"/>
      <w:lvlText w:val="(%1)"/>
      <w:numFmt w:val="lowerLetter"/>
      <w:start w:val="1"/>
    </w:lvl>
  </w:abstractNum>
  <w:abstractNum w:abstractNumId="155">
    <w:nsid w:val="556B69ED"/>
    <w:multiLevelType w:val="hybridMultilevel"/>
    <w:lvl w:ilvl="0">
      <w:lvlJc w:val="left"/>
      <w:lvlText w:val="%1"/>
      <w:numFmt w:val="decimal"/>
      <w:start w:val="1"/>
    </w:lvl>
    <w:lvl w:ilvl="1">
      <w:lvlJc w:val="left"/>
      <w:lvlText w:val="(%2)"/>
      <w:numFmt w:val="lowerLetter"/>
      <w:start w:val="2"/>
    </w:lvl>
  </w:abstractNum>
  <w:abstractNum w:abstractNumId="156">
    <w:nsid w:val="70836196"/>
    <w:multiLevelType w:val="hybridMultilevel"/>
    <w:lvl w:ilvl="0">
      <w:lvlJc w:val="left"/>
      <w:lvlText w:val="(%1)"/>
      <w:numFmt w:val="decimal"/>
      <w:start w:val="4"/>
    </w:lvl>
    <w:lvl w:ilvl="1">
      <w:lvlJc w:val="left"/>
      <w:lvlText w:val="%2"/>
      <w:numFmt w:val="lowerLetter"/>
      <w:start w:val="1"/>
    </w:lvl>
  </w:abstractNum>
  <w:abstractNum w:abstractNumId="157">
    <w:nsid w:val="539F7F12"/>
    <w:multiLevelType w:val="hybridMultilevel"/>
    <w:lvl w:ilvl="0">
      <w:lvlJc w:val="left"/>
      <w:lvlText w:val="(%1)"/>
      <w:numFmt w:val="decimal"/>
      <w:start w:val="1"/>
    </w:lvl>
  </w:abstractNum>
  <w:abstractNum w:abstractNumId="158">
    <w:nsid w:val="2817E7EC"/>
    <w:multiLevelType w:val="hybridMultilevel"/>
    <w:lvl w:ilvl="0">
      <w:lvlJc w:val="left"/>
      <w:lvlText w:val="(%1)"/>
      <w:numFmt w:val="lowerLetter"/>
      <w:start w:val="1"/>
    </w:lvl>
  </w:abstractNum>
  <w:abstractNum w:abstractNumId="159">
    <w:nsid w:val="71482545"/>
    <w:multiLevelType w:val="hybridMultilevel"/>
    <w:lvl w:ilvl="0">
      <w:lvlJc w:val="left"/>
      <w:lvlText w:val="%1"/>
      <w:numFmt w:val="decimal"/>
      <w:start w:val="1"/>
    </w:lvl>
    <w:lvl w:ilvl="1">
      <w:lvlJc w:val="left"/>
      <w:lvlText w:val="(%2)"/>
      <w:numFmt w:val="lowerLetter"/>
      <w:start w:val="2"/>
    </w:lvl>
  </w:abstractNum>
  <w:abstractNum w:abstractNumId="160">
    <w:nsid w:val="17D78639"/>
    <w:multiLevelType w:val="hybridMultilevel"/>
    <w:lvl w:ilvl="0">
      <w:lvlJc w:val="left"/>
      <w:lvlText w:val="(%1)"/>
      <w:numFmt w:val="decimal"/>
      <w:start w:val="3"/>
    </w:lvl>
    <w:lvl w:ilvl="1">
      <w:lvlJc w:val="left"/>
      <w:lvlText w:val="%2"/>
      <w:numFmt w:val="lowerLetter"/>
      <w:start w:val="1"/>
    </w:lvl>
  </w:abstractNum>
  <w:abstractNum w:abstractNumId="161">
    <w:nsid w:val="141D2302"/>
    <w:multiLevelType w:val="hybridMultilevel"/>
    <w:lvl w:ilvl="0">
      <w:lvlJc w:val="left"/>
      <w:lvlText w:val="(%1)"/>
      <w:numFmt w:val="decimal"/>
      <w:start w:val="1"/>
    </w:lvl>
  </w:abstractNum>
  <w:abstractNum w:abstractNumId="162">
    <w:nsid w:val="407168D8"/>
    <w:multiLevelType w:val="hybridMultilevel"/>
    <w:lvl w:ilvl="0">
      <w:lvlJc w:val="left"/>
      <w:lvlText w:val="(%1)"/>
      <w:numFmt w:val="decimal"/>
      <w:start w:val="1"/>
    </w:lvl>
    <w:lvl w:ilvl="1">
      <w:lvlJc w:val="left"/>
      <w:lvlText w:val="(%2)"/>
      <w:numFmt w:val="lowerLetter"/>
      <w:start w:val="1"/>
    </w:lvl>
  </w:abstractNum>
  <w:abstractNum w:abstractNumId="163">
    <w:nsid w:val="6A1B45E5"/>
    <w:multiLevelType w:val="hybridMultilevel"/>
    <w:lvl w:ilvl="0">
      <w:lvlJc w:val="left"/>
      <w:lvlText w:val="%1"/>
      <w:numFmt w:val="decimal"/>
      <w:start w:val="1"/>
    </w:lvl>
    <w:lvl w:ilvl="1">
      <w:lvlJc w:val="left"/>
      <w:lvlText w:val="(%2)"/>
      <w:numFmt w:val="lowerLetter"/>
      <w:start w:val="2"/>
    </w:lvl>
  </w:abstractNum>
  <w:abstractNum w:abstractNumId="164">
    <w:nsid w:val="567BD50A"/>
    <w:multiLevelType w:val="hybridMultilevel"/>
    <w:lvl w:ilvl="0">
      <w:lvlJc w:val="left"/>
      <w:lvlText w:val="(%1)"/>
      <w:numFmt w:val="decimal"/>
      <w:start w:val="2"/>
    </w:lvl>
    <w:lvl w:ilvl="1">
      <w:lvlJc w:val="left"/>
      <w:lvlText w:val="(%2)"/>
      <w:numFmt w:val="lowerLetter"/>
      <w:start w:val="1"/>
    </w:lvl>
  </w:abstractNum>
  <w:abstractNum w:abstractNumId="165">
    <w:nsid w:val="73BBD7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6">
    <w:nsid w:val="1876589D"/>
    <w:multiLevelType w:val="hybridMultilevel"/>
    <w:lvl w:ilvl="0">
      <w:lvlJc w:val="left"/>
      <w:lvlText w:val="(%1)"/>
      <w:numFmt w:val="lowerLetter"/>
      <w:start w:val="2"/>
    </w:lvl>
  </w:abstractNum>
  <w:abstractNum w:abstractNumId="167">
    <w:nsid w:val="327FAC77"/>
    <w:multiLevelType w:val="hybridMultilevel"/>
    <w:lvl w:ilvl="0">
      <w:lvlJc w:val="left"/>
      <w:lvlText w:val="(%1)"/>
      <w:numFmt w:val="lowerLetter"/>
      <w:start w:val="3"/>
    </w:lvl>
  </w:abstractNum>
  <w:abstractNum w:abstractNumId="168">
    <w:nsid w:val="5A606509"/>
    <w:multiLevelType w:val="hybridMultilevel"/>
    <w:lvl w:ilvl="0">
      <w:lvlJc w:val="left"/>
      <w:lvlText w:val="(%1)"/>
      <w:numFmt w:val="decimal"/>
      <w:start w:val="1"/>
    </w:lvl>
  </w:abstractNum>
  <w:abstractNum w:abstractNumId="169">
    <w:nsid w:val="6F38E6D1"/>
    <w:multiLevelType w:val="hybridMultilevel"/>
    <w:lvl w:ilvl="0">
      <w:lvlJc w:val="left"/>
      <w:lvlText w:val="(%1)"/>
      <w:numFmt w:val="decimal"/>
      <w:start w:val="1"/>
    </w:lvl>
    <w:lvl w:ilvl="1">
      <w:lvlJc w:val="left"/>
      <w:lvlText w:val="(%2)"/>
      <w:numFmt w:val="lowerLetter"/>
      <w:start w:val="1"/>
    </w:lvl>
  </w:abstractNum>
  <w:abstractNum w:abstractNumId="170">
    <w:nsid w:val="46111BA5"/>
    <w:multiLevelType w:val="hybridMultilevel"/>
    <w:lvl w:ilvl="0">
      <w:lvlJc w:val="left"/>
      <w:lvlText w:val="(%1)"/>
      <w:numFmt w:val="lowerLetter"/>
      <w:start w:val="1"/>
    </w:lvl>
  </w:abstractNum>
  <w:abstractNum w:abstractNumId="171">
    <w:nsid w:val="5E963896"/>
    <w:multiLevelType w:val="hybridMultilevel"/>
    <w:lvl w:ilvl="0">
      <w:lvlJc w:val="left"/>
      <w:lvlText w:val="(%1)"/>
      <w:numFmt w:val="decimal"/>
      <w:start w:val="8"/>
    </w:lvl>
  </w:abstractNum>
  <w:abstractNum w:abstractNumId="172">
    <w:nsid w:val="775BA7C1"/>
    <w:multiLevelType w:val="hybridMultilevel"/>
    <w:lvl w:ilvl="0">
      <w:lvlJc w:val="left"/>
      <w:lvlText w:val="(%1)"/>
      <w:numFmt w:val="decimal"/>
      <w:start w:val="9"/>
    </w:lvl>
  </w:abstractNum>
  <w:abstractNum w:abstractNumId="173">
    <w:nsid w:val="1DD6D6F4"/>
    <w:multiLevelType w:val="hybridMultilevel"/>
    <w:lvl w:ilvl="0">
      <w:lvlJc w:val="left"/>
      <w:lvlText w:val="(%1)"/>
      <w:numFmt w:val="decimal"/>
      <w:start w:val="1"/>
    </w:lvl>
  </w:abstractNum>
  <w:abstractNum w:abstractNumId="174">
    <w:nsid w:val="769A091F"/>
    <w:multiLevelType w:val="hybridMultilevel"/>
    <w:lvl w:ilvl="0">
      <w:lvlJc w:val="left"/>
      <w:lvlText w:val="(%1)"/>
      <w:numFmt w:val="decimal"/>
      <w:start w:val="1"/>
    </w:lvl>
  </w:abstractNum>
  <w:abstractNum w:abstractNumId="175">
    <w:nsid w:val="4695AE95"/>
    <w:multiLevelType w:val="hybridMultilevel"/>
    <w:lvl w:ilvl="0">
      <w:lvlJc w:val="left"/>
      <w:lvlText w:val="(%1)"/>
      <w:numFmt w:val="decimal"/>
      <w:start w:val="2"/>
    </w:lvl>
    <w:lvl w:ilvl="1">
      <w:lvlJc w:val="left"/>
      <w:lvlText w:val="(%2)"/>
      <w:numFmt w:val="lowerLetter"/>
      <w:start w:val="1"/>
    </w:lvl>
  </w:abstractNum>
  <w:abstractNum w:abstractNumId="176">
    <w:nsid w:val="777A4EAA"/>
    <w:multiLevelType w:val="hybridMultilevel"/>
    <w:lvl w:ilvl="0">
      <w:lvlJc w:val="left"/>
      <w:lvlText w:val="(%1)"/>
      <w:numFmt w:val="decimal"/>
      <w:start w:val="1"/>
    </w:lvl>
  </w:abstractNum>
  <w:abstractNum w:abstractNumId="177">
    <w:nsid w:val="3F48B982"/>
    <w:multiLevelType w:val="hybridMultilevel"/>
    <w:lvl w:ilvl="0">
      <w:lvlJc w:val="left"/>
      <w:lvlText w:val="(%1)"/>
      <w:numFmt w:val="decimal"/>
      <w:start w:val="1"/>
    </w:lvl>
  </w:abstractNum>
  <w:abstractNum w:abstractNumId="178">
    <w:nsid w:val="46BA8FCA"/>
    <w:multiLevelType w:val="hybridMultilevel"/>
    <w:lvl w:ilvl="0">
      <w:lvlJc w:val="left"/>
      <w:lvlText w:val="(%1)"/>
      <w:numFmt w:val="decimal"/>
      <w:start w:val="4"/>
    </w:lvl>
  </w:abstractNum>
  <w:abstractNum w:abstractNumId="179">
    <w:nsid w:val="7835626C"/>
    <w:multiLevelType w:val="hybridMultilevel"/>
    <w:lvl w:ilvl="0">
      <w:lvlJc w:val="left"/>
      <w:lvlText w:val="(%1)"/>
      <w:numFmt w:val="decimal"/>
      <w:start w:val="1"/>
    </w:lvl>
  </w:abstractNum>
  <w:abstractNum w:abstractNumId="180">
    <w:nsid w:val="665ACA49"/>
    <w:multiLevelType w:val="hybridMultilevel"/>
    <w:lvl w:ilvl="0">
      <w:lvlJc w:val="left"/>
      <w:lvlText w:val="(%1)"/>
      <w:numFmt w:val="decimal"/>
      <w:start w:val="1"/>
    </w:lvl>
    <w:lvl w:ilvl="1">
      <w:lvlJc w:val="left"/>
      <w:lvlText w:val="(%2)"/>
      <w:numFmt w:val="lowerLetter"/>
      <w:start w:val="1"/>
    </w:lvl>
  </w:abstractNum>
  <w:abstractNum w:abstractNumId="181">
    <w:nsid w:val="6835B2AE"/>
    <w:multiLevelType w:val="hybridMultilevel"/>
    <w:lvl w:ilvl="0">
      <w:lvlJc w:val="left"/>
      <w:lvlText w:val="(%1)"/>
      <w:numFmt w:val="decimal"/>
      <w:start w:val="1"/>
    </w:lvl>
  </w:abstractNum>
  <w:abstractNum w:abstractNumId="182">
    <w:nsid w:val="4C187C90"/>
    <w:multiLevelType w:val="hybridMultilevel"/>
    <w:lvl w:ilvl="0">
      <w:lvlJc w:val="left"/>
      <w:lvlText w:val="(%1)"/>
      <w:numFmt w:val="decimal"/>
      <w:start w:val="1"/>
    </w:lvl>
  </w:abstractNum>
  <w:abstractNum w:abstractNumId="183">
    <w:nsid w:val="541F28CD"/>
    <w:multiLevelType w:val="hybridMultilevel"/>
    <w:lvl w:ilvl="0">
      <w:lvlJc w:val="left"/>
      <w:lvlText w:val="(%1)"/>
      <w:numFmt w:val="decimal"/>
      <w:start w:val="1"/>
    </w:lvl>
  </w:abstractNum>
  <w:abstractNum w:abstractNumId="184">
    <w:nsid w:val="7F65FD16"/>
    <w:multiLevelType w:val="hybridMultilevel"/>
    <w:lvl w:ilvl="0">
      <w:lvlJc w:val="left"/>
      <w:lvlText w:val="(%1)"/>
      <w:numFmt w:val="decimal"/>
      <w:start w:val="1"/>
    </w:lvl>
  </w:abstractNum>
  <w:abstractNum w:abstractNumId="185">
    <w:nsid w:val="77C9FD68"/>
    <w:multiLevelType w:val="hybridMultilevel"/>
    <w:lvl w:ilvl="0">
      <w:lvlJc w:val="left"/>
      <w:lvlText w:val="(%1)"/>
      <w:numFmt w:val="decimal"/>
      <w:start w:val="1"/>
    </w:lvl>
  </w:abstractNum>
  <w:abstractNum w:abstractNumId="186">
    <w:nsid w:val="298A92BA"/>
    <w:multiLevelType w:val="hybridMultilevel"/>
    <w:lvl w:ilvl="0">
      <w:lvlJc w:val="left"/>
      <w:lvlText w:val="(%1)"/>
      <w:numFmt w:val="decimal"/>
      <w:start w:val="1"/>
    </w:lvl>
  </w:abstractNum>
  <w:abstractNum w:abstractNumId="187">
    <w:nsid w:val="6FE95EAC"/>
    <w:multiLevelType w:val="hybridMultilevel"/>
    <w:lvl w:ilvl="0">
      <w:lvlJc w:val="left"/>
      <w:lvlText w:val="(%1)"/>
      <w:numFmt w:val="decimal"/>
      <w:start w:val="1"/>
    </w:lvl>
  </w:abstractNum>
  <w:abstractNum w:abstractNumId="188">
    <w:nsid w:val="4B697C7A"/>
    <w:multiLevelType w:val="hybridMultilevel"/>
    <w:lvl w:ilvl="0">
      <w:lvlJc w:val="left"/>
      <w:lvlText w:val="(%1)"/>
      <w:numFmt w:val="decimal"/>
      <w:start w:val="1"/>
    </w:lvl>
  </w:abstractNum>
  <w:abstractNum w:abstractNumId="189">
    <w:nsid w:val="51A27AA6"/>
    <w:multiLevelType w:val="hybridMultilevel"/>
    <w:lvl w:ilvl="0">
      <w:lvlJc w:val="left"/>
      <w:lvlText w:val="(%1)"/>
      <w:numFmt w:val="decimal"/>
      <w:start w:val="1"/>
    </w:lvl>
  </w:abstractNum>
  <w:abstractNum w:abstractNumId="190">
    <w:nsid w:val="613183F2"/>
    <w:multiLevelType w:val="hybridMultilevel"/>
    <w:lvl w:ilvl="0">
      <w:lvlJc w:val="left"/>
      <w:lvlText w:val="(%1)"/>
      <w:numFmt w:val="decimal"/>
      <w:start w:val="1"/>
    </w:lvl>
  </w:abstractNum>
  <w:abstractNum w:abstractNumId="191">
    <w:nsid w:val="634102B4"/>
    <w:multiLevelType w:val="hybridMultilevel"/>
    <w:lvl w:ilvl="0">
      <w:lvlJc w:val="left"/>
      <w:lvlText w:val="(%1)"/>
      <w:numFmt w:val="decimal"/>
      <w:start w:val="1"/>
    </w:lvl>
  </w:abstractNum>
  <w:abstractNum w:abstractNumId="192">
    <w:nsid w:val="65BF9DA8"/>
    <w:multiLevelType w:val="hybridMultilevel"/>
    <w:lvl w:ilvl="0">
      <w:lvlJc w:val="left"/>
      <w:lvlText w:val="(%1)"/>
      <w:numFmt w:val="decimal"/>
      <w:start w:val="3"/>
    </w:lvl>
  </w:abstractNum>
  <w:abstractNum w:abstractNumId="193">
    <w:nsid w:val="21A2ECCA"/>
    <w:multiLevelType w:val="hybridMultilevel"/>
    <w:lvl w:ilvl="0">
      <w:lvlJc w:val="left"/>
      <w:lvlText w:val="(%1)"/>
      <w:numFmt w:val="decimal"/>
      <w:start w:val="1"/>
    </w:lvl>
  </w:abstractNum>
  <w:abstractNum w:abstractNumId="194">
    <w:nsid w:val="4D5C4899"/>
    <w:multiLevelType w:val="hybridMultilevel"/>
    <w:lvl w:ilvl="0">
      <w:lvlJc w:val="left"/>
      <w:lvlText w:val="(%1)"/>
      <w:numFmt w:val="decimal"/>
      <w:start w:val="7"/>
    </w:lvl>
  </w:abstractNum>
  <w:abstractNum w:abstractNumId="195">
    <w:nsid w:val="3C3B72B2"/>
    <w:multiLevelType w:val="hybridMultilevel"/>
    <w:lvl w:ilvl="0">
      <w:lvlJc w:val="left"/>
      <w:lvlText w:val="(%1)"/>
      <w:numFmt w:val="decimal"/>
      <w:start w:val="1"/>
    </w:lvl>
  </w:abstractNum>
  <w:abstractNum w:abstractNumId="196">
    <w:nsid w:val="155EC4C2"/>
    <w:multiLevelType w:val="hybridMultilevel"/>
    <w:lvl w:ilvl="0">
      <w:lvlJc w:val="left"/>
      <w:lvlText w:val="(%1)"/>
      <w:numFmt w:val="decimal"/>
      <w:start w:val="5"/>
    </w:lvl>
  </w:abstractNum>
  <w:abstractNum w:abstractNumId="197">
    <w:nsid w:val="65D2A137"/>
    <w:multiLevelType w:val="hybridMultilevel"/>
    <w:lvl w:ilvl="0">
      <w:lvlJc w:val="left"/>
      <w:lvlText w:val="(%1)"/>
      <w:numFmt w:val="decimal"/>
      <w:start w:val="1"/>
    </w:lvl>
  </w:abstractNum>
  <w:abstractNum w:abstractNumId="198">
    <w:nsid w:val="6EBB1F2A"/>
    <w:multiLevelType w:val="hybridMultilevel"/>
    <w:lvl w:ilvl="0">
      <w:lvlJc w:val="left"/>
      <w:lvlText w:val="(%1)"/>
      <w:numFmt w:val="decimal"/>
      <w:start w:val="1"/>
    </w:lvl>
  </w:abstractNum>
  <w:abstractNum w:abstractNumId="199">
    <w:nsid w:val="6FBF29CB"/>
    <w:multiLevelType w:val="hybridMultilevel"/>
    <w:lvl w:ilvl="0">
      <w:lvlJc w:val="left"/>
      <w:lvlText w:val="(%1)"/>
      <w:numFmt w:val="decimal"/>
      <w:start w:val="2"/>
    </w:lvl>
  </w:abstractNum>
  <w:abstractNum w:abstractNumId="200">
    <w:nsid w:val="550B8808"/>
    <w:multiLevelType w:val="hybridMultilevel"/>
    <w:lvl w:ilvl="0">
      <w:lvlJc w:val="left"/>
      <w:lvlText w:val="(%1)"/>
      <w:numFmt w:val="decimal"/>
      <w:start w:val="1"/>
    </w:lvl>
  </w:abstractNum>
  <w:abstractNum w:abstractNumId="201">
    <w:nsid w:val="34CC3ACF"/>
    <w:multiLevelType w:val="hybridMultilevel"/>
    <w:lvl w:ilvl="0">
      <w:lvlJc w:val="left"/>
      <w:lvlText w:val="(%1)"/>
      <w:numFmt w:val="decimal"/>
      <w:start w:val="1"/>
    </w:lvl>
  </w:abstractNum>
  <w:abstractNum w:abstractNumId="202">
    <w:nsid w:val="4E556261"/>
    <w:multiLevelType w:val="hybridMultilevel"/>
    <w:lvl w:ilvl="0">
      <w:lvlJc w:val="left"/>
      <w:lvlText w:val="(%1)"/>
      <w:numFmt w:val="decimal"/>
      <w:start w:val="1"/>
    </w:lvl>
  </w:abstractNum>
  <w:abstractNum w:abstractNumId="203">
    <w:nsid w:val="4C672FC9"/>
    <w:multiLevelType w:val="hybridMultilevel"/>
    <w:lvl w:ilvl="0">
      <w:lvlJc w:val="left"/>
      <w:lvlText w:val="(%1)"/>
      <w:numFmt w:val="decimal"/>
      <w:start w:val="1"/>
    </w:lvl>
  </w:abstractNum>
  <w:abstractNum w:abstractNumId="204">
    <w:nsid w:val="52A311C3"/>
    <w:multiLevelType w:val="hybridMultilevel"/>
    <w:lvl w:ilvl="0">
      <w:lvlJc w:val="left"/>
      <w:lvlText w:val="(%1)"/>
      <w:numFmt w:val="decimal"/>
      <w:start w:val="3"/>
    </w:lvl>
  </w:abstractNum>
  <w:abstractNum w:abstractNumId="205">
    <w:nsid w:val="44EF6B80"/>
    <w:multiLevelType w:val="hybridMultilevel"/>
    <w:lvl w:ilvl="0">
      <w:lvlJc w:val="left"/>
      <w:lvlText w:val="(%1)"/>
      <w:numFmt w:val="decimal"/>
      <w:start w:val="1"/>
    </w:lvl>
  </w:abstractNum>
  <w:abstractNum w:abstractNumId="206">
    <w:nsid w:val="12FCDE5E"/>
    <w:multiLevelType w:val="hybridMultilevel"/>
    <w:lvl w:ilvl="0">
      <w:lvlJc w:val="left"/>
      <w:lvlText w:val="(%1)"/>
      <w:numFmt w:val="decimal"/>
      <w:start w:val="2"/>
    </w:lvl>
  </w:abstractNum>
  <w:abstractNum w:abstractNumId="207">
    <w:nsid w:val="4A1D606E"/>
    <w:multiLevelType w:val="hybridMultilevel"/>
    <w:lvl w:ilvl="0">
      <w:lvlJc w:val="left"/>
      <w:lvlText w:val="(%1)"/>
      <w:numFmt w:val="decimal"/>
      <w:start w:val="2"/>
    </w:lvl>
  </w:abstractNum>
  <w:abstractNum w:abstractNumId="208">
    <w:nsid w:val="4382503"/>
    <w:multiLevelType w:val="hybridMultilevel"/>
    <w:lvl w:ilvl="0">
      <w:lvlJc w:val="left"/>
      <w:lvlText w:val="(%1)"/>
      <w:numFmt w:val="decimal"/>
      <w:start w:val="1"/>
    </w:lvl>
  </w:abstractNum>
  <w:abstractNum w:abstractNumId="209">
    <w:nsid w:val="59B76E28"/>
    <w:multiLevelType w:val="hybridMultilevel"/>
    <w:lvl w:ilvl="0">
      <w:lvlJc w:val="left"/>
      <w:lvlText w:val="(%1)"/>
      <w:numFmt w:val="decimal"/>
      <w:start w:val="1"/>
    </w:lvl>
  </w:abstractNum>
  <w:abstractNum w:abstractNumId="210">
    <w:nsid w:val="4252C2DA"/>
    <w:multiLevelType w:val="hybridMultilevel"/>
    <w:lvl w:ilvl="0">
      <w:lvlJc w:val="left"/>
      <w:lvlText w:val="(%1)"/>
      <w:numFmt w:val="decimal"/>
      <w:start w:val="3"/>
    </w:lvl>
  </w:abstractNum>
  <w:abstractNum w:abstractNumId="211">
    <w:nsid w:val="6A92EF4C"/>
    <w:multiLevelType w:val="hybridMultilevel"/>
    <w:lvl w:ilvl="0">
      <w:lvlJc w:val="left"/>
      <w:lvlText w:val="(%1)"/>
      <w:numFmt w:val="decimal"/>
      <w:start w:val="1"/>
    </w:lvl>
  </w:abstractNum>
  <w:abstractNum w:abstractNumId="212">
    <w:nsid w:val="41ED20D7"/>
    <w:multiLevelType w:val="hybridMultilevel"/>
    <w:lvl w:ilvl="0">
      <w:lvlJc w:val="left"/>
      <w:lvlText w:val="(%1)"/>
      <w:numFmt w:val="decimal"/>
      <w:start w:val="1"/>
    </w:lvl>
  </w:abstractNum>
  <w:abstractNum w:abstractNumId="213">
    <w:nsid w:val="E6B3F6A"/>
    <w:multiLevelType w:val="hybridMultilevel"/>
    <w:lvl w:ilvl="0">
      <w:lvlJc w:val="left"/>
      <w:lvlText w:val="(%1)"/>
      <w:numFmt w:val="decimal"/>
      <w:start w:val="1"/>
    </w:lvl>
  </w:abstractNum>
  <w:abstractNum w:abstractNumId="214">
    <w:nsid w:val="3EB21819"/>
    <w:multiLevelType w:val="hybridMultilevel"/>
    <w:lvl w:ilvl="0">
      <w:lvlJc w:val="left"/>
      <w:lvlText w:val="(%1)"/>
      <w:numFmt w:val="decimal"/>
      <w:start w:val="3"/>
    </w:lvl>
    <w:lvl w:ilvl="1">
      <w:lvlJc w:val="left"/>
      <w:lvlText w:val="(%2)"/>
      <w:numFmt w:val="lowerLetter"/>
      <w:start w:val="1"/>
    </w:lvl>
  </w:abstractNum>
  <w:abstractNum w:abstractNumId="215">
    <w:nsid w:val="41531DED"/>
    <w:multiLevelType w:val="hybridMultilevel"/>
    <w:lvl w:ilvl="0">
      <w:lvlJc w:val="left"/>
      <w:lvlText w:val="(%1)"/>
      <w:numFmt w:val="decimal"/>
      <w:start w:val="1"/>
    </w:lvl>
  </w:abstractNum>
  <w:abstractNum w:abstractNumId="216">
    <w:nsid w:val="6353CD2"/>
    <w:multiLevelType w:val="hybridMultilevel"/>
    <w:lvl w:ilvl="0">
      <w:lvlJc w:val="left"/>
      <w:lvlText w:val="(%1)"/>
      <w:numFmt w:val="decimal"/>
      <w:start w:val="1"/>
    </w:lvl>
  </w:abstractNum>
  <w:abstractNum w:abstractNumId="217">
    <w:nsid w:val="683CAAD3"/>
    <w:multiLevelType w:val="hybridMultilevel"/>
    <w:lvl w:ilvl="0">
      <w:lvlJc w:val="left"/>
      <w:lvlText w:val="(%1)"/>
      <w:numFmt w:val="decimal"/>
      <w:start w:val="1"/>
    </w:lvl>
  </w:abstractNum>
  <w:abstractNum w:abstractNumId="218">
    <w:nsid w:val="313C7C99"/>
    <w:multiLevelType w:val="hybridMultilevel"/>
    <w:lvl w:ilvl="0">
      <w:lvlJc w:val="left"/>
      <w:lvlText w:val="(%1)"/>
      <w:numFmt w:val="decimal"/>
      <w:start w:val="1"/>
    </w:lvl>
  </w:abstractNum>
  <w:abstractNum w:abstractNumId="219">
    <w:nsid w:val="519EB94C"/>
    <w:multiLevelType w:val="hybridMultilevel"/>
    <w:lvl w:ilvl="0">
      <w:lvlJc w:val="left"/>
      <w:lvlText w:val="(%1)"/>
      <w:numFmt w:val="decimal"/>
      <w:start w:val="1"/>
    </w:lvl>
  </w:abstractNum>
  <w:abstractNum w:abstractNumId="220">
    <w:nsid w:val="39DF2579"/>
    <w:multiLevelType w:val="hybridMultilevel"/>
    <w:lvl w:ilvl="0">
      <w:lvlJc w:val="left"/>
      <w:lvlText w:val="(%1)"/>
      <w:numFmt w:val="decimal"/>
      <w:start w:val="1"/>
    </w:lvl>
  </w:abstractNum>
  <w:abstractNum w:abstractNumId="221">
    <w:nsid w:val="126E008B"/>
    <w:multiLevelType w:val="hybridMultilevel"/>
    <w:lvl w:ilvl="0">
      <w:lvlJc w:val="left"/>
      <w:lvlText w:val="(%1)"/>
      <w:numFmt w:val="decimal"/>
      <w:start w:val="8"/>
    </w:lvl>
  </w:abstractNum>
  <w:abstractNum w:abstractNumId="222">
    <w:nsid w:val="34DFBC00"/>
    <w:multiLevelType w:val="hybridMultilevel"/>
    <w:lvl w:ilvl="0">
      <w:lvlJc w:val="left"/>
      <w:lvlText w:val="(%1)"/>
      <w:numFmt w:val="decimal"/>
      <w:start w:val="1"/>
    </w:lvl>
  </w:abstractNum>
  <w:abstractNum w:abstractNumId="223">
    <w:nsid w:val="1F9EC322"/>
    <w:multiLevelType w:val="hybridMultilevel"/>
    <w:lvl w:ilvl="0">
      <w:lvlJc w:val="left"/>
      <w:lvlText w:val="(%1)"/>
      <w:numFmt w:val="decimal"/>
      <w:start w:val="3"/>
    </w:lvl>
  </w:abstractNum>
  <w:abstractNum w:abstractNumId="224">
    <w:nsid w:val="3410ED56"/>
    <w:multiLevelType w:val="hybridMultilevel"/>
    <w:lvl w:ilvl="0">
      <w:lvlJc w:val="left"/>
      <w:lvlText w:val="(%1)"/>
      <w:numFmt w:val="decimal"/>
      <w:start w:val="1"/>
    </w:lvl>
  </w:abstractNum>
  <w:abstractNum w:abstractNumId="225">
    <w:nsid w:val="23C049A"/>
    <w:multiLevelType w:val="hybridMultilevel"/>
    <w:lvl w:ilvl="0">
      <w:lvlJc w:val="left"/>
      <w:lvlText w:val="(%1)"/>
      <w:numFmt w:val="decimal"/>
      <w:start w:val="1"/>
    </w:lvl>
  </w:abstractNum>
  <w:abstractNum w:abstractNumId="226">
    <w:nsid w:val="5BDA35D4"/>
    <w:multiLevelType w:val="hybridMultilevel"/>
    <w:lvl w:ilvl="0">
      <w:lvlJc w:val="left"/>
      <w:lvlText w:val="(%1)"/>
      <w:numFmt w:val="decimal"/>
      <w:start w:val="1"/>
    </w:lvl>
  </w:abstractNum>
  <w:abstractNum w:abstractNumId="227">
    <w:nsid w:val="496FB218"/>
    <w:multiLevelType w:val="hybridMultilevel"/>
    <w:lvl w:ilvl="0">
      <w:lvlJc w:val="left"/>
      <w:lvlText w:val="(%1)"/>
      <w:numFmt w:val="decimal"/>
      <w:start w:val="1"/>
    </w:lvl>
  </w:abstractNum>
  <w:abstractNum w:abstractNumId="228">
    <w:nsid w:val="680EA5D1"/>
    <w:multiLevelType w:val="hybridMultilevel"/>
    <w:lvl w:ilvl="0">
      <w:lvlJc w:val="left"/>
      <w:lvlText w:val="(%1)"/>
      <w:numFmt w:val="decimal"/>
      <w:start w:val="1"/>
    </w:lvl>
  </w:abstractNum>
  <w:abstractNum w:abstractNumId="229">
    <w:nsid w:val="4A9554FE"/>
    <w:multiLevelType w:val="hybridMultilevel"/>
    <w:lvl w:ilvl="0">
      <w:lvlJc w:val="left"/>
      <w:lvlText w:val="(%1)"/>
      <w:numFmt w:val="decimal"/>
      <w:start w:val="2"/>
    </w:lvl>
  </w:abstractNum>
  <w:abstractNum w:abstractNumId="230">
    <w:nsid w:val="392EDBE4"/>
    <w:multiLevelType w:val="hybridMultilevel"/>
    <w:lvl w:ilvl="0">
      <w:lvlJc w:val="left"/>
      <w:lvlText w:val="(%1)"/>
      <w:numFmt w:val="decimal"/>
      <w:start w:val="1"/>
    </w:lvl>
  </w:abstractNum>
  <w:abstractNum w:abstractNumId="231">
    <w:nsid w:val="3D1A2DD9"/>
    <w:multiLevelType w:val="hybridMultilevel"/>
    <w:lvl w:ilvl="0">
      <w:lvlJc w:val="left"/>
      <w:lvlText w:val="(%1)"/>
      <w:numFmt w:val="decimal"/>
      <w:start w:val="3"/>
    </w:lvl>
  </w:abstractNum>
  <w:abstractNum w:abstractNumId="232">
    <w:nsid w:val="7F618FCD"/>
    <w:multiLevelType w:val="hybridMultilevel"/>
    <w:lvl w:ilvl="0">
      <w:lvlJc w:val="left"/>
      <w:lvlText w:val="(%1)"/>
      <w:numFmt w:val="decimal"/>
      <w:start w:val="1"/>
    </w:lvl>
  </w:abstractNum>
  <w:abstractNum w:abstractNumId="233">
    <w:nsid w:val="7843E45"/>
    <w:multiLevelType w:val="hybridMultilevel"/>
    <w:lvl w:ilvl="0">
      <w:lvlJc w:val="left"/>
      <w:lvlText w:val="(%1)"/>
      <w:numFmt w:val="decimal"/>
      <w:start w:val="2"/>
    </w:lvl>
  </w:abstractNum>
  <w:abstractNum w:abstractNumId="234">
    <w:nsid w:val="9815DA3"/>
    <w:multiLevelType w:val="hybridMultilevel"/>
    <w:lvl w:ilvl="0">
      <w:lvlJc w:val="left"/>
      <w:lvlText w:val="(%1)"/>
      <w:numFmt w:val="decimal"/>
      <w:start w:val="1"/>
    </w:lvl>
  </w:abstractNum>
  <w:abstractNum w:abstractNumId="235">
    <w:nsid w:val="5204A191"/>
    <w:multiLevelType w:val="hybridMultilevel"/>
    <w:lvl w:ilvl="0">
      <w:lvlJc w:val="left"/>
      <w:lvlText w:val="(%1)"/>
      <w:numFmt w:val="decimal"/>
      <w:start w:val="9"/>
    </w:lvl>
  </w:abstractNum>
  <w:abstractNum w:abstractNumId="236">
    <w:nsid w:val="4C73A9C6"/>
    <w:multiLevelType w:val="hybridMultilevel"/>
    <w:lvl w:ilvl="0">
      <w:lvlJc w:val="left"/>
      <w:lvlText w:val="(%1)"/>
      <w:numFmt w:val="decimal"/>
      <w:start w:val="1"/>
    </w:lvl>
    <w:lvl w:ilvl="1">
      <w:lvlJc w:val="left"/>
      <w:lvlText w:val="(%2)"/>
      <w:numFmt w:val="lowerLetter"/>
      <w:start w:val="1"/>
    </w:lvl>
  </w:abstractNum>
  <w:abstractNum w:abstractNumId="237">
    <w:nsid w:val="1C7E3C01"/>
    <w:multiLevelType w:val="hybridMultilevel"/>
    <w:lvl w:ilvl="0">
      <w:lvlJc w:val="left"/>
      <w:lvlText w:val="(%1)"/>
      <w:numFmt w:val="decimal"/>
      <w:start w:val="1"/>
    </w:lvl>
    <w:lvl w:ilvl="1">
      <w:lvlJc w:val="left"/>
      <w:lvlText w:val="(%2)"/>
      <w:numFmt w:val="lowerLetter"/>
      <w:start w:val="1"/>
    </w:lvl>
  </w:abstractNum>
  <w:abstractNum w:abstractNumId="238">
    <w:nsid w:val="1C2201FF"/>
    <w:multiLevelType w:val="hybridMultilevel"/>
    <w:lvl w:ilvl="0">
      <w:lvlJc w:val="left"/>
      <w:lvlText w:val="(%1)"/>
      <w:numFmt w:val="decimal"/>
      <w:start w:val="3"/>
    </w:lvl>
  </w:abstractNum>
  <w:abstractNum w:abstractNumId="239">
    <w:nsid w:val="50ABCEC9"/>
    <w:multiLevelType w:val="hybridMultilevel"/>
    <w:lvl w:ilvl="0">
      <w:lvlJc w:val="left"/>
      <w:lvlText w:val="(%1)"/>
      <w:numFmt w:val="decimal"/>
      <w:start w:val="8"/>
    </w:lvl>
  </w:abstractNum>
  <w:abstractNum w:abstractNumId="240">
    <w:nsid w:val="7635AA2A"/>
    <w:multiLevelType w:val="hybridMultilevel"/>
    <w:lvl w:ilvl="0">
      <w:lvlJc w:val="left"/>
      <w:lvlText w:val="(%1)"/>
      <w:numFmt w:val="decimal"/>
      <w:start w:val="14"/>
    </w:lvl>
    <w:lvl w:ilvl="1">
      <w:lvlJc w:val="left"/>
      <w:lvlText w:val="(%2)"/>
      <w:numFmt w:val="lowerLetter"/>
      <w:start w:val="1"/>
    </w:lvl>
  </w:abstractNum>
  <w:abstractNum w:abstractNumId="241">
    <w:nsid w:val="5E74C4D9"/>
    <w:multiLevelType w:val="hybridMultilevel"/>
    <w:lvl w:ilvl="0">
      <w:lvlJc w:val="left"/>
      <w:lvlText w:val="(%1)"/>
      <w:numFmt w:val="decimal"/>
      <w:start w:val="1"/>
    </w:lvl>
  </w:abstractNum>
  <w:abstractNum w:abstractNumId="242">
    <w:nsid w:val="3B3EBE15"/>
    <w:multiLevelType w:val="hybridMultilevel"/>
    <w:lvl w:ilvl="0">
      <w:lvlJc w:val="left"/>
      <w:lvlText w:val="(%1)"/>
      <w:numFmt w:val="decimal"/>
      <w:start w:val="1"/>
    </w:lvl>
  </w:abstractNum>
  <w:abstractNum w:abstractNumId="243">
    <w:nsid w:val="3822CB01"/>
    <w:multiLevelType w:val="hybridMultilevel"/>
    <w:lvl w:ilvl="0">
      <w:lvlJc w:val="left"/>
      <w:lvlText w:val="(%1)"/>
      <w:numFmt w:val="decimal"/>
      <w:start w:val="1"/>
    </w:lvl>
  </w:abstractNum>
  <w:abstractNum w:abstractNumId="244">
    <w:nsid w:val="6CE00443"/>
    <w:multiLevelType w:val="hybridMultilevel"/>
    <w:lvl w:ilvl="0">
      <w:lvlJc w:val="left"/>
      <w:lvlText w:val="(%1)"/>
      <w:numFmt w:val="decimal"/>
      <w:start w:val="1"/>
    </w:lvl>
  </w:abstractNum>
  <w:abstractNum w:abstractNumId="245">
    <w:nsid w:val="79F0D62F"/>
    <w:multiLevelType w:val="hybridMultilevel"/>
    <w:lvl w:ilvl="0">
      <w:lvlJc w:val="left"/>
      <w:lvlText w:val="(%1)"/>
      <w:numFmt w:val="decimal"/>
      <w:start w:val="1"/>
    </w:lvl>
    <w:lvl w:ilvl="1">
      <w:lvlJc w:val="left"/>
      <w:lvlText w:val="(%2)"/>
      <w:numFmt w:val="lowerLetter"/>
      <w:start w:val="1"/>
    </w:lvl>
  </w:abstractNum>
  <w:abstractNum w:abstractNumId="246">
    <w:nsid w:val="7975E8EE"/>
    <w:multiLevelType w:val="hybridMultilevel"/>
    <w:lvl w:ilvl="0">
      <w:lvlJc w:val="left"/>
      <w:lvlText w:val="(%1)"/>
      <w:numFmt w:val="lowerLetter"/>
      <w:start w:val="2"/>
    </w:lvl>
  </w:abstractNum>
  <w:abstractNum w:abstractNumId="247">
    <w:nsid w:val="73154115"/>
    <w:multiLevelType w:val="hybridMultilevel"/>
    <w:lvl w:ilvl="0">
      <w:lvlJc w:val="left"/>
      <w:lvlText w:val="(%1)"/>
      <w:numFmt w:val="decimal"/>
      <w:start w:val="1"/>
    </w:lvl>
  </w:abstractNum>
  <w:abstractNum w:abstractNumId="248">
    <w:nsid w:val="622D8102"/>
    <w:multiLevelType w:val="hybridMultilevel"/>
    <w:lvl w:ilvl="0">
      <w:lvlJc w:val="left"/>
      <w:lvlText w:val="(%1)"/>
      <w:numFmt w:val="decimal"/>
      <w:start w:val="1"/>
    </w:lvl>
  </w:abstractNum>
  <w:abstractNum w:abstractNumId="249">
    <w:nsid w:val="2AB26587"/>
    <w:multiLevelType w:val="hybridMultilevel"/>
    <w:lvl w:ilvl="0">
      <w:lvlJc w:val="left"/>
      <w:lvlText w:val="(%1)"/>
      <w:numFmt w:val="decimal"/>
      <w:start w:val="1"/>
    </w:lvl>
  </w:abstractNum>
  <w:abstractNum w:abstractNumId="250">
    <w:nsid w:val="44B3FA61"/>
    <w:multiLevelType w:val="hybridMultilevel"/>
    <w:lvl w:ilvl="0">
      <w:lvlJc w:val="left"/>
      <w:lvlText w:val="(%1)"/>
      <w:numFmt w:val="decimal"/>
      <w:start w:val="1"/>
    </w:lvl>
  </w:abstractNum>
  <w:abstractNum w:abstractNumId="251">
    <w:nsid w:val="1C0CA67C"/>
    <w:multiLevelType w:val="hybridMultilevel"/>
    <w:lvl w:ilvl="0">
      <w:lvlJc w:val="left"/>
      <w:lvlText w:val="(%1)"/>
      <w:numFmt w:val="decimal"/>
      <w:start w:val="1"/>
    </w:lvl>
  </w:abstractNum>
  <w:abstractNum w:abstractNumId="252">
    <w:nsid w:val="3D206613"/>
    <w:multiLevelType w:val="hybridMultilevel"/>
    <w:lvl w:ilvl="0">
      <w:lvlJc w:val="left"/>
      <w:lvlText w:val="•"/>
      <w:numFmt w:val="bullet"/>
      <w:start w:val="1"/>
    </w:lvl>
  </w:abstractNum>
  <w:abstractNum w:abstractNumId="253">
    <w:nsid w:val="7993B662"/>
    <w:multiLevelType w:val="hybridMultilevel"/>
    <w:lvl w:ilvl="0">
      <w:lvlJc w:val="left"/>
      <w:lvlText w:val="•"/>
      <w:numFmt w:val="bullet"/>
      <w:start w:val="1"/>
    </w:lvl>
  </w:abstractNum>
  <w:abstractNum w:abstractNumId="254">
    <w:nsid w:val="3BAB699E"/>
    <w:multiLevelType w:val="hybridMultilevel"/>
    <w:lvl w:ilvl="0">
      <w:lvlJc w:val="left"/>
      <w:lvlText w:val="•"/>
      <w:numFmt w:val="bullet"/>
      <w:start w:val="1"/>
    </w:lvl>
  </w:abstractNum>
  <w:abstractNum w:abstractNumId="255">
    <w:nsid w:val="71315369"/>
    <w:multiLevelType w:val="hybridMultilevel"/>
    <w:lvl w:ilvl="0">
      <w:lvlJc w:val="left"/>
      <w:lvlText w:val="•"/>
      <w:numFmt w:val="bullet"/>
      <w:start w:val="1"/>
    </w:lvl>
  </w:abstractNum>
  <w:abstractNum w:abstractNumId="256">
    <w:nsid w:val="7BCFBAFC"/>
    <w:multiLevelType w:val="hybridMultilevel"/>
    <w:lvl w:ilvl="0">
      <w:lvlJc w:val="left"/>
      <w:lvlText w:val="•"/>
      <w:numFmt w:val="bullet"/>
      <w:start w:val="1"/>
    </w:lvl>
  </w:abstractNum>
  <w:abstractNum w:abstractNumId="257">
    <w:nsid w:val="17859F72"/>
    <w:multiLevelType w:val="hybridMultilevel"/>
    <w:lvl w:ilvl="0">
      <w:lvlJc w:val="left"/>
      <w:lvlText w:val="•"/>
      <w:numFmt w:val="bullet"/>
      <w:start w:val="1"/>
    </w:lvl>
  </w:abstractNum>
  <w:abstractNum w:abstractNumId="258">
    <w:nsid w:val="3AA10581"/>
    <w:multiLevelType w:val="hybridMultilevel"/>
    <w:lvl w:ilvl="0">
      <w:lvlJc w:val="left"/>
      <w:lvlText w:val="•"/>
      <w:numFmt w:val="bullet"/>
      <w:start w:val="1"/>
    </w:lvl>
  </w:abstractNum>
  <w:abstractNum w:abstractNumId="259">
    <w:nsid w:val="63DE60CD"/>
    <w:multiLevelType w:val="hybridMultilevel"/>
    <w:lvl w:ilvl="0">
      <w:lvlJc w:val="left"/>
      <w:lvlText w:val="•"/>
      <w:numFmt w:val="bullet"/>
      <w:start w:val="1"/>
    </w:lvl>
  </w:abstractNum>
  <w:abstractNum w:abstractNumId="260">
    <w:nsid w:val="621AF471"/>
    <w:multiLevelType w:val="hybridMultilevel"/>
    <w:lvl w:ilvl="0">
      <w:lvlJc w:val="left"/>
      <w:lvlText w:val="•"/>
      <w:numFmt w:val="bullet"/>
      <w:start w:val="1"/>
    </w:lvl>
  </w:abstractNum>
  <w:abstractNum w:abstractNumId="261">
    <w:nsid w:val="73CFE165"/>
    <w:multiLevelType w:val="hybridMultilevel"/>
    <w:lvl w:ilvl="0">
      <w:lvlJc w:val="left"/>
      <w:lvlText w:val="•"/>
      <w:numFmt w:val="bullet"/>
      <w:start w:val="1"/>
    </w:lvl>
  </w:abstractNum>
  <w:abstractNum w:abstractNumId="262">
    <w:nsid w:val="20F88EA6"/>
    <w:multiLevelType w:val="hybridMultilevel"/>
    <w:lvl w:ilvl="0">
      <w:lvlJc w:val="left"/>
      <w:lvlText w:val="•"/>
      <w:numFmt w:val="bullet"/>
      <w:start w:val="1"/>
    </w:lvl>
  </w:abstractNum>
  <w:abstractNum w:abstractNumId="263">
    <w:nsid w:val="617C843E"/>
    <w:multiLevelType w:val="hybridMultilevel"/>
    <w:lvl w:ilvl="0">
      <w:lvlJc w:val="left"/>
      <w:lvlText w:val="•"/>
      <w:numFmt w:val="bullet"/>
      <w:start w:val="1"/>
    </w:lvl>
  </w:abstractNum>
  <w:abstractNum w:abstractNumId="264">
    <w:nsid w:val="7B541FAB"/>
    <w:multiLevelType w:val="hybridMultilevel"/>
    <w:lvl w:ilvl="0">
      <w:lvlJc w:val="left"/>
      <w:lvlText w:val="•"/>
      <w:numFmt w:val="bullet"/>
      <w:start w:val="1"/>
    </w:lvl>
    <w:lvl w:ilvl="1">
      <w:lvlJc w:val="left"/>
      <w:lvlText w:val="(%2)"/>
      <w:numFmt w:val="decimal"/>
      <w:start w:val="1"/>
    </w:lvl>
  </w:abstractNum>
  <w:abstractNum w:abstractNumId="265">
    <w:nsid w:val="2A79EC49"/>
    <w:multiLevelType w:val="hybridMultilevel"/>
    <w:lvl w:ilvl="0">
      <w:lvlJc w:val="left"/>
      <w:lvlText w:val="•"/>
      <w:numFmt w:val="bullet"/>
      <w:start w:val="1"/>
    </w:lvl>
  </w:abstractNum>
  <w:abstractNum w:abstractNumId="266">
    <w:nsid w:val="338125CF"/>
    <w:multiLevelType w:val="hybridMultilevel"/>
    <w:lvl w:ilvl="0">
      <w:lvlJc w:val="left"/>
      <w:lvlText w:val="•"/>
      <w:numFmt w:val="bullet"/>
      <w:start w:val="1"/>
    </w:lvl>
    <w:lvl w:ilvl="1">
      <w:lvlJc w:val="left"/>
      <w:lvlText w:val="(%2)"/>
      <w:numFmt w:val="decimal"/>
      <w:start w:val="1"/>
    </w:lvl>
  </w:abstractNum>
  <w:abstractNum w:abstractNumId="267">
    <w:nsid w:val="47C7C971"/>
    <w:multiLevelType w:val="hybridMultilevel"/>
    <w:lvl w:ilvl="0">
      <w:lvlJc w:val="left"/>
      <w:lvlText w:val="•"/>
      <w:numFmt w:val="bullet"/>
      <w:start w:val="1"/>
    </w:lvl>
  </w:abstractNum>
  <w:abstractNum w:abstractNumId="268">
    <w:nsid w:val="46F8284B"/>
    <w:multiLevelType w:val="hybridMultilevel"/>
    <w:lvl w:ilvl="0">
      <w:lvlJc w:val="left"/>
      <w:lvlText w:val="•"/>
      <w:numFmt w:val="bullet"/>
      <w:start w:val="1"/>
    </w:lvl>
  </w:abstractNum>
  <w:abstractNum w:abstractNumId="269">
    <w:nsid w:val="4FA327CE"/>
    <w:multiLevelType w:val="hybridMultilevel"/>
    <w:lvl w:ilvl="0">
      <w:lvlJc w:val="left"/>
      <w:lvlText w:val="•"/>
      <w:numFmt w:val="bullet"/>
      <w:start w:val="1"/>
    </w:lvl>
  </w:abstractNum>
  <w:abstractNum w:abstractNumId="270">
    <w:nsid w:val="1873983A"/>
    <w:multiLevelType w:val="hybridMultilevel"/>
    <w:lvl w:ilvl="0">
      <w:lvlJc w:val="left"/>
      <w:lvlText w:val="•"/>
      <w:numFmt w:val="bullet"/>
      <w:start w:val="1"/>
    </w:lvl>
  </w:abstractNum>
  <w:abstractNum w:abstractNumId="271">
    <w:nsid w:val="3D2DD275"/>
    <w:multiLevelType w:val="hybridMultilevel"/>
    <w:lvl w:ilvl="0">
      <w:lvlJc w:val="left"/>
      <w:lvlText w:val="•"/>
      <w:numFmt w:val="bullet"/>
      <w:start w:val="1"/>
    </w:lvl>
    <w:lvl w:ilvl="1">
      <w:lvlJc w:val="left"/>
      <w:lvlText w:val="•"/>
      <w:numFmt w:val="bullet"/>
      <w:start w:val="1"/>
    </w:lvl>
  </w:abstractNum>
  <w:abstractNum w:abstractNumId="272">
    <w:nsid w:val="2E17ECA7"/>
    <w:multiLevelType w:val="hybridMultilevel"/>
    <w:lvl w:ilvl="0">
      <w:lvlJc w:val="left"/>
      <w:lvlText w:val="•"/>
      <w:numFmt w:val="bullet"/>
      <w:start w:val="1"/>
    </w:lvl>
  </w:abstractNum>
  <w:abstractNum w:abstractNumId="273">
    <w:nsid w:val="53B2564F"/>
    <w:multiLevelType w:val="hybridMultilevel"/>
    <w:lvl w:ilvl="0">
      <w:lvlJc w:val="left"/>
      <w:lvlText w:val="•"/>
      <w:numFmt w:val="bullet"/>
      <w:start w:val="1"/>
    </w:lvl>
  </w:abstractNum>
  <w:abstractNum w:abstractNumId="274">
    <w:nsid w:val="75509D76"/>
    <w:multiLevelType w:val="hybridMultilevel"/>
    <w:lvl w:ilvl="0">
      <w:lvlJc w:val="left"/>
      <w:lvlText w:val="•"/>
      <w:numFmt w:val="bullet"/>
      <w:start w:val="1"/>
    </w:lvl>
  </w:abstractNum>
  <w:abstractNum w:abstractNumId="275">
    <w:nsid w:val="1AF7F0EA"/>
    <w:multiLevelType w:val="hybridMultilevel"/>
    <w:lvl w:ilvl="0">
      <w:lvlJc w:val="left"/>
      <w:lvlText w:val="•"/>
      <w:numFmt w:val="bullet"/>
      <w:start w:val="1"/>
    </w:lvl>
  </w:abstractNum>
  <w:abstractNum w:abstractNumId="276">
    <w:nsid w:val="4DA32C7E"/>
    <w:multiLevelType w:val="hybridMultilevel"/>
    <w:lvl w:ilvl="0">
      <w:lvlJc w:val="left"/>
      <w:lvlText w:val="•"/>
      <w:numFmt w:val="bullet"/>
      <w:start w:val="1"/>
    </w:lvl>
  </w:abstractNum>
  <w:abstractNum w:abstractNumId="277">
    <w:nsid w:val="6EC68664"/>
    <w:multiLevelType w:val="hybridMultilevel"/>
    <w:lvl w:ilvl="0">
      <w:lvlJc w:val="left"/>
      <w:lvlText w:val="•"/>
      <w:numFmt w:val="bullet"/>
      <w:start w:val="1"/>
    </w:lvl>
  </w:abstractNum>
  <w:abstractNum w:abstractNumId="278">
    <w:nsid w:val="E0D31FF"/>
    <w:multiLevelType w:val="hybridMultilevel"/>
    <w:lvl w:ilvl="0">
      <w:lvlJc w:val="left"/>
      <w:lvlText w:val="•"/>
      <w:numFmt w:val="bullet"/>
      <w:start w:val="1"/>
    </w:lvl>
  </w:abstractNum>
  <w:abstractNum w:abstractNumId="279">
    <w:nsid w:val="2FD0AD81"/>
    <w:multiLevelType w:val="hybridMultilevel"/>
    <w:lvl w:ilvl="0">
      <w:lvlJc w:val="left"/>
      <w:lvlText w:val="•"/>
      <w:numFmt w:val="bullet"/>
      <w:start w:val="1"/>
    </w:lvl>
  </w:abstractNum>
  <w:abstractNum w:abstractNumId="280">
    <w:nsid w:val="1978EBEB"/>
    <w:multiLevelType w:val="hybridMultilevel"/>
    <w:lvl w:ilvl="0">
      <w:lvlJc w:val="left"/>
      <w:lvlText w:val="•"/>
      <w:numFmt w:val="bullet"/>
      <w:start w:val="1"/>
    </w:lvl>
    <w:lvl w:ilvl="1">
      <w:lvlJc w:val="left"/>
      <w:lvlText w:val="(%2)"/>
      <w:numFmt w:val="decimal"/>
      <w:start w:val="1"/>
    </w:lvl>
  </w:abstractNum>
  <w:abstractNum w:abstractNumId="281">
    <w:nsid w:val="52C12C61"/>
    <w:multiLevelType w:val="hybridMultilevel"/>
    <w:lvl w:ilvl="0">
      <w:lvlJc w:val="left"/>
      <w:lvlText w:val="•"/>
      <w:numFmt w:val="bullet"/>
      <w:start w:val="1"/>
    </w:lvl>
  </w:abstractNum>
  <w:abstractNum w:abstractNumId="282">
    <w:nsid w:val="4BDD53FD"/>
    <w:multiLevelType w:val="hybridMultilevel"/>
    <w:lvl w:ilvl="0">
      <w:lvlJc w:val="left"/>
      <w:lvlText w:val="•"/>
      <w:numFmt w:val="bullet"/>
      <w:start w:val="1"/>
    </w:lvl>
  </w:abstractNum>
  <w:abstractNum w:abstractNumId="283">
    <w:nsid w:val="569951FE"/>
    <w:multiLevelType w:val="hybridMultilevel"/>
    <w:lvl w:ilvl="0">
      <w:lvlJc w:val="left"/>
      <w:lvlText w:val="•"/>
      <w:numFmt w:val="bullet"/>
      <w:start w:val="1"/>
    </w:lvl>
  </w:abstractNum>
  <w:abstractNum w:abstractNumId="284">
    <w:nsid w:val="4C54E2C3"/>
    <w:multiLevelType w:val="hybridMultilevel"/>
    <w:lvl w:ilvl="0">
      <w:lvlJc w:val="left"/>
      <w:lvlText w:val="•"/>
      <w:numFmt w:val="bullet"/>
      <w:start w:val="1"/>
    </w:lvl>
  </w:abstractNum>
  <w:abstractNum w:abstractNumId="285">
    <w:nsid w:val="788BD9B"/>
    <w:multiLevelType w:val="hybridMultilevel"/>
    <w:lvl w:ilvl="0">
      <w:lvlJc w:val="left"/>
      <w:lvlText w:val="•"/>
      <w:numFmt w:val="bullet"/>
      <w:start w:val="1"/>
    </w:lvl>
    <w:lvl w:ilvl="1">
      <w:lvlJc w:val="left"/>
      <w:lvlText w:val="(%2)"/>
      <w:numFmt w:val="decimal"/>
      <w:start w:val="1"/>
    </w:lvl>
  </w:abstractNum>
  <w:abstractNum w:abstractNumId="286">
    <w:nsid w:val="47CAA567"/>
    <w:multiLevelType w:val="hybridMultilevel"/>
    <w:lvl w:ilvl="0">
      <w:lvlJc w:val="left"/>
      <w:lvlText w:val="•"/>
      <w:numFmt w:val="bullet"/>
      <w:start w:val="1"/>
    </w:lvl>
  </w:abstractNum>
  <w:abstractNum w:abstractNumId="287">
    <w:nsid w:val="48249DBF"/>
    <w:multiLevelType w:val="hybridMultilevel"/>
    <w:lvl w:ilvl="0">
      <w:lvlJc w:val="left"/>
      <w:lvlText w:val="•"/>
      <w:numFmt w:val="bullet"/>
      <w:start w:val="1"/>
    </w:lvl>
  </w:abstractNum>
  <w:abstractNum w:abstractNumId="288">
    <w:nsid w:val="1F0E5D0D"/>
    <w:multiLevelType w:val="hybridMultilevel"/>
    <w:lvl w:ilvl="0">
      <w:lvlJc w:val="left"/>
      <w:lvlText w:val="•"/>
      <w:numFmt w:val="bullet"/>
      <w:start w:val="1"/>
    </w:lvl>
  </w:abstractNum>
  <w:abstractNum w:abstractNumId="289">
    <w:nsid w:val="26BAAE9"/>
    <w:multiLevelType w:val="hybridMultilevel"/>
    <w:lvl w:ilvl="0">
      <w:lvlJc w:val="left"/>
      <w:lvlText w:val="•"/>
      <w:numFmt w:val="bullet"/>
      <w:start w:val="1"/>
    </w:lvl>
  </w:abstractNum>
  <w:abstractNum w:abstractNumId="290">
    <w:nsid w:val="2C02FE8C"/>
    <w:multiLevelType w:val="hybridMultilevel"/>
    <w:lvl w:ilvl="0">
      <w:lvlJc w:val="left"/>
      <w:lvlText w:val="•"/>
      <w:numFmt w:val="bullet"/>
      <w:start w:val="1"/>
    </w:lvl>
  </w:abstractNum>
  <w:abstractNum w:abstractNumId="291">
    <w:nsid w:val="129517E"/>
    <w:multiLevelType w:val="hybridMultilevel"/>
    <w:lvl w:ilvl="0">
      <w:lvlJc w:val="left"/>
      <w:lvlText w:val="(%1)"/>
      <w:numFmt w:val="decimal"/>
      <w:start w:val="1"/>
    </w:lvl>
  </w:abstractNum>
  <w:abstractNum w:abstractNumId="292">
    <w:nsid w:val="763B8C4E"/>
    <w:multiLevelType w:val="hybridMultilevel"/>
    <w:lvl w:ilvl="0">
      <w:lvlJc w:val="left"/>
      <w:lvlText w:val="(%1)"/>
      <w:numFmt w:val="lowerRoman"/>
      <w:start w:val="2"/>
    </w:lvl>
  </w:abstractNum>
  <w:abstractNum w:abstractNumId="293">
    <w:nsid w:val="4CFB8D32"/>
    <w:multiLevelType w:val="hybridMultilevel"/>
    <w:lvl w:ilvl="0">
      <w:lvlJc w:val="left"/>
      <w:lvlText w:val="$"/>
      <w:numFmt w:val="bullet"/>
      <w:start w:val="1"/>
    </w:lvl>
  </w:abstractNum>
  <w:abstractNum w:abstractNumId="294">
    <w:nsid w:val="62A5D5BD"/>
    <w:multiLevelType w:val="hybridMultilevel"/>
    <w:lvl w:ilvl="0">
      <w:lvlJc w:val="left"/>
      <w:lvlText w:val="%1."/>
      <w:numFmt w:val="decimal"/>
      <w:start w:val="1"/>
    </w:lvl>
  </w:abstractNum>
  <w:abstractNum w:abstractNumId="295">
    <w:nsid w:val="718FABF9"/>
    <w:multiLevelType w:val="hybridMultilevel"/>
    <w:lvl w:ilvl="0">
      <w:lvlJc w:val="left"/>
      <w:lvlText w:val="%1."/>
      <w:numFmt w:val="lowerLetter"/>
      <w:start w:val="1"/>
    </w:lvl>
  </w:abstractNum>
  <w:abstractNum w:abstractNumId="296">
    <w:nsid w:val="7775797C"/>
    <w:multiLevelType w:val="hybridMultilevel"/>
    <w:lvl w:ilvl="0">
      <w:lvlJc w:val="left"/>
      <w:lvlText w:val="%1."/>
      <w:numFmt w:val="lowerLetter"/>
      <w:start w:val="2"/>
    </w:lvl>
  </w:abstractNum>
  <w:abstractNum w:abstractNumId="297">
    <w:nsid w:val="1626FB8C"/>
    <w:multiLevelType w:val="hybridMultilevel"/>
    <w:lvl w:ilvl="0">
      <w:lvlJc w:val="left"/>
      <w:lvlText w:val="%1."/>
      <w:numFmt w:val="lowerLetter"/>
      <w:start w:val="3"/>
    </w:lvl>
  </w:abstractNum>
  <w:abstractNum w:abstractNumId="298">
    <w:nsid w:val="3957756A"/>
    <w:multiLevelType w:val="hybridMultilevel"/>
    <w:lvl w:ilvl="0">
      <w:lvlJc w:val="left"/>
      <w:lvlText w:val="%1."/>
      <w:numFmt w:val="lowerLetter"/>
      <w:start w:val="4"/>
    </w:lvl>
  </w:abstractNum>
  <w:abstractNum w:abstractNumId="299">
    <w:nsid w:val="3E6DA1C7"/>
    <w:multiLevelType w:val="hybridMultilevel"/>
    <w:lvl w:ilvl="0">
      <w:lvlJc w:val="left"/>
      <w:lvlText w:val="%1."/>
      <w:numFmt w:val="lowerLetter"/>
      <w:start w:val="5"/>
    </w:lvl>
  </w:abstractNum>
  <w:abstractNum w:abstractNumId="300">
    <w:nsid w:val="65CA235B"/>
    <w:multiLevelType w:val="hybridMultilevel"/>
    <w:lvl w:ilvl="0">
      <w:lvlJc w:val="left"/>
      <w:lvlText w:val="%1."/>
      <w:numFmt w:val="lowerLetter"/>
      <w:start w:val="6"/>
    </w:lvl>
  </w:abstractNum>
  <w:abstractNum w:abstractNumId="301">
    <w:nsid w:val="51CB0DA4"/>
    <w:multiLevelType w:val="hybridMultilevel"/>
    <w:lvl w:ilvl="0">
      <w:lvlJc w:val="left"/>
      <w:lvlText w:val="%1."/>
      <w:numFmt w:val="lowerLetter"/>
      <w:start w:val="7"/>
    </w:lvl>
  </w:abstractNum>
  <w:abstractNum w:abstractNumId="302">
    <w:nsid w:val="7B9B743C"/>
    <w:multiLevelType w:val="hybridMultilevel"/>
    <w:lvl w:ilvl="0">
      <w:lvlJc w:val="left"/>
      <w:lvlText w:val="%1."/>
      <w:numFmt w:val="lowerLetter"/>
      <w:start w:val="8"/>
    </w:lvl>
  </w:abstractNum>
  <w:abstractNum w:abstractNumId="303">
    <w:nsid w:val="13E21002"/>
    <w:multiLevelType w:val="hybridMultilevel"/>
    <w:lvl w:ilvl="0">
      <w:lvlJc w:val="left"/>
      <w:lvlText w:val="%1."/>
      <w:numFmt w:val="lowerRoman"/>
      <w:start w:val="1"/>
    </w:lvl>
  </w:abstractNum>
  <w:abstractNum w:abstractNumId="304">
    <w:nsid w:val="257D63F4"/>
    <w:multiLevelType w:val="hybridMultilevel"/>
    <w:lvl w:ilvl="0">
      <w:lvlJc w:val="left"/>
      <w:lvlText w:val="%1."/>
      <w:numFmt w:val="lowerLetter"/>
      <w:start w:val="10"/>
    </w:lvl>
  </w:abstractNum>
  <w:abstractNum w:abstractNumId="305">
    <w:nsid w:val="70EC11B2"/>
    <w:multiLevelType w:val="hybridMultilevel"/>
    <w:lvl w:ilvl="0">
      <w:lvlJc w:val="left"/>
      <w:lvlText w:val="%1."/>
      <w:numFmt w:val="lowerLetter"/>
      <w:start w:val="11"/>
    </w:lvl>
  </w:abstractNum>
  <w:abstractNum w:abstractNumId="306">
    <w:nsid w:val="2EDA00ED"/>
    <w:multiLevelType w:val="hybridMultilevel"/>
    <w:lvl w:ilvl="0">
      <w:lvlJc w:val="left"/>
      <w:lvlText w:val="%1."/>
      <w:numFmt w:val="lowerLetter"/>
      <w:start w:val="12"/>
    </w:lvl>
  </w:abstractNum>
  <w:abstractNum w:abstractNumId="307">
    <w:nsid w:val="73209072"/>
    <w:multiLevelType w:val="hybridMultilevel"/>
    <w:lvl w:ilvl="0">
      <w:lvlJc w:val="left"/>
      <w:lvlText w:val="%1."/>
      <w:numFmt w:val="lowerLetter"/>
      <w:start w:val="13"/>
    </w:lvl>
  </w:abstractNum>
  <w:abstractNum w:abstractNumId="308">
    <w:nsid w:val="5FB29816"/>
    <w:multiLevelType w:val="hybridMultilevel"/>
    <w:lvl w:ilvl="0">
      <w:lvlJc w:val="left"/>
      <w:lvlText w:val="%1."/>
      <w:numFmt w:val="lowerLetter"/>
      <w:start w:val="14"/>
    </w:lvl>
  </w:abstractNum>
  <w:abstractNum w:abstractNumId="309">
    <w:nsid w:val="3CE732EC"/>
    <w:multiLevelType w:val="hybridMultilevel"/>
    <w:lvl w:ilvl="0">
      <w:lvlJc w:val="left"/>
      <w:lvlText w:val="%1."/>
      <w:numFmt w:val="lowerLetter"/>
      <w:start w:val="15"/>
    </w:lvl>
  </w:abstractNum>
  <w:abstractNum w:abstractNumId="310">
    <w:nsid w:val="22F13DF3"/>
    <w:multiLevelType w:val="hybridMultilevel"/>
    <w:lvl w:ilvl="0">
      <w:lvlJc w:val="left"/>
      <w:lvlText w:val="%1."/>
      <w:numFmt w:val="lowerLetter"/>
      <w:start w:val="16"/>
    </w:lvl>
  </w:abstractNum>
  <w:abstractNum w:abstractNumId="311">
    <w:nsid w:val="792B8401"/>
    <w:multiLevelType w:val="hybridMultilevel"/>
    <w:lvl w:ilvl="0">
      <w:lvlJc w:val="left"/>
      <w:lvlText w:val="%1."/>
      <w:numFmt w:val="lowerLetter"/>
      <w:start w:val="17"/>
    </w:lvl>
  </w:abstractNum>
  <w:abstractNum w:abstractNumId="312">
    <w:nsid w:val="FA85F4D"/>
    <w:multiLevelType w:val="hybridMultilevel"/>
    <w:lvl w:ilvl="0">
      <w:lvlJc w:val="left"/>
      <w:lvlText w:val="%1."/>
      <w:numFmt w:val="lowerLetter"/>
      <w:start w:val="18"/>
    </w:lvl>
  </w:abstractNum>
  <w:abstractNum w:abstractNumId="313">
    <w:nsid w:val="6ECE91F0"/>
    <w:multiLevelType w:val="hybridMultilevel"/>
    <w:lvl w:ilvl="0">
      <w:lvlJc w:val="left"/>
      <w:lvlText w:val="%1."/>
      <w:numFmt w:val="decimal"/>
      <w:start w:val="2"/>
    </w:lvl>
  </w:abstractNum>
  <w:abstractNum w:abstractNumId="314">
    <w:nsid w:val="4FC4D600"/>
    <w:multiLevelType w:val="hybridMultilevel"/>
    <w:lvl w:ilvl="0">
      <w:lvlJc w:val="left"/>
      <w:lvlText w:val="%1."/>
      <w:numFmt w:val="decimal"/>
      <w:start w:val="5"/>
    </w:lvl>
  </w:abstractNum>
  <w:abstractNum w:abstractNumId="315">
    <w:nsid w:val="5BFD4210"/>
    <w:multiLevelType w:val="hybridMultilevel"/>
    <w:lvl w:ilvl="0">
      <w:lvlJc w:val="left"/>
      <w:lvlText w:val="%1."/>
      <w:numFmt w:val="decimal"/>
      <w:start w:val="6"/>
    </w:lvl>
  </w:abstractNum>
  <w:abstractNum w:abstractNumId="316">
    <w:nsid w:val="76574F8B"/>
    <w:multiLevelType w:val="hybridMultilevel"/>
    <w:lvl w:ilvl="0">
      <w:lvlJc w:val="left"/>
      <w:lvlText w:val="%1."/>
      <w:numFmt w:val="decimal"/>
      <w:start w:val="8"/>
    </w:lvl>
  </w:abstractNum>
  <w:abstractNum w:abstractNumId="317">
    <w:nsid w:val="178F7B67"/>
    <w:multiLevelType w:val="hybridMultilevel"/>
    <w:lvl w:ilvl="0">
      <w:lvlJc w:val="left"/>
      <w:lvlText w:val="%1."/>
      <w:numFmt w:val="lowerLetter"/>
      <w:start w:val="1"/>
    </w:lvl>
  </w:abstractNum>
  <w:abstractNum w:abstractNumId="318">
    <w:nsid w:val="2421DFCF"/>
    <w:multiLevelType w:val="hybridMultilevel"/>
    <w:lvl w:ilvl="0">
      <w:lvlJc w:val="left"/>
      <w:lvlText w:val="%1."/>
      <w:numFmt w:val="lowerLetter"/>
      <w:start w:val="2"/>
    </w:lvl>
  </w:abstractNum>
  <w:abstractNum w:abstractNumId="319">
    <w:nsid w:val="1565AC99"/>
    <w:multiLevelType w:val="hybridMultilevel"/>
    <w:lvl w:ilvl="0">
      <w:lvlJc w:val="left"/>
      <w:lvlText w:val="%1."/>
      <w:numFmt w:val="lowerLetter"/>
      <w:start w:val="3"/>
    </w:lvl>
  </w:abstractNum>
  <w:abstractNum w:abstractNumId="320">
    <w:nsid w:val="19FB2650"/>
    <w:multiLevelType w:val="hybridMultilevel"/>
    <w:lvl w:ilvl="0">
      <w:lvlJc w:val="left"/>
      <w:lvlText w:val="%1."/>
      <w:numFmt w:val="lowerLetter"/>
      <w:start w:val="4"/>
    </w:lvl>
  </w:abstractNum>
  <w:abstractNum w:abstractNumId="321">
    <w:nsid w:val="5024DE5B"/>
    <w:multiLevelType w:val="hybridMultilevel"/>
    <w:lvl w:ilvl="0">
      <w:lvlJc w:val="left"/>
      <w:lvlText w:val="%1."/>
      <w:numFmt w:val="lowerLetter"/>
      <w:start w:val="5"/>
    </w:lvl>
  </w:abstractNum>
  <w:abstractNum w:abstractNumId="322">
    <w:nsid w:val="168EFE17"/>
    <w:multiLevelType w:val="hybridMultilevel"/>
    <w:lvl w:ilvl="0">
      <w:lvlJc w:val="left"/>
      <w:lvlText w:val="%1."/>
      <w:numFmt w:val="lowerLetter"/>
      <w:start w:val="6"/>
    </w:lvl>
  </w:abstractNum>
  <w:abstractNum w:abstractNumId="323">
    <w:nsid w:val="1036B29F"/>
    <w:multiLevelType w:val="hybridMultilevel"/>
    <w:lvl w:ilvl="0">
      <w:lvlJc w:val="left"/>
      <w:lvlText w:val="%1."/>
      <w:numFmt w:val="decimal"/>
      <w:start w:val="9"/>
    </w:lvl>
  </w:abstractNum>
  <w:abstractNum w:abstractNumId="324">
    <w:nsid w:val="1D206B8E"/>
    <w:multiLevelType w:val="hybridMultilevel"/>
    <w:lvl w:ilvl="0">
      <w:lvlJc w:val="left"/>
      <w:lvlText w:val="%1."/>
      <w:numFmt w:val="decimal"/>
      <w:start w:val="10"/>
    </w:lvl>
  </w:abstractNum>
  <w:abstractNum w:abstractNumId="325">
    <w:nsid w:val="7934D3D4"/>
    <w:multiLevelType w:val="hybridMultilevel"/>
    <w:lvl w:ilvl="0">
      <w:lvlJc w:val="left"/>
      <w:lvlText w:val="%1."/>
      <w:numFmt w:val="lowerLetter"/>
      <w:start w:val="1"/>
    </w:lvl>
  </w:abstractNum>
  <w:abstractNum w:abstractNumId="326">
    <w:nsid w:val="1C65E98"/>
    <w:multiLevelType w:val="hybridMultilevel"/>
    <w:lvl w:ilvl="0">
      <w:lvlJc w:val="left"/>
      <w:lvlText w:val="%1."/>
      <w:numFmt w:val="lowerLetter"/>
      <w:start w:val="2"/>
    </w:lvl>
  </w:abstractNum>
  <w:abstractNum w:abstractNumId="327">
    <w:nsid w:val="1495E50A"/>
    <w:multiLevelType w:val="hybridMultilevel"/>
    <w:lvl w:ilvl="0">
      <w:lvlJc w:val="left"/>
      <w:lvlText w:val="%1."/>
      <w:numFmt w:val="lowerLetter"/>
      <w:start w:val="3"/>
    </w:lvl>
  </w:abstractNum>
  <w:abstractNum w:abstractNumId="328">
    <w:nsid w:val="F5BCF61"/>
    <w:multiLevelType w:val="hybridMultilevel"/>
    <w:lvl w:ilvl="0">
      <w:lvlJc w:val="left"/>
      <w:lvlText w:val="%1."/>
      <w:numFmt w:val="lowerLetter"/>
      <w:start w:val="4"/>
    </w:lvl>
  </w:abstractNum>
  <w:abstractNum w:abstractNumId="329">
    <w:nsid w:val="3B1DD403"/>
    <w:multiLevelType w:val="hybridMultilevel"/>
    <w:lvl w:ilvl="0">
      <w:lvlJc w:val="left"/>
      <w:lvlText w:val="%1."/>
      <w:numFmt w:val="decimal"/>
      <w:start w:val="11"/>
    </w:lvl>
  </w:abstractNum>
  <w:abstractNum w:abstractNumId="330">
    <w:nsid w:val="530386D1"/>
    <w:multiLevelType w:val="hybridMultilevel"/>
    <w:lvl w:ilvl="0">
      <w:lvlJc w:val="left"/>
      <w:lvlText w:val="%"/>
      <w:numFmt w:val="bullet"/>
      <w:start w:val="1"/>
    </w:lvl>
  </w:abstractNum>
  <w:abstractNum w:abstractNumId="331">
    <w:nsid w:val="7525F2BC"/>
    <w:multiLevelType w:val="hybridMultilevel"/>
    <w:lvl w:ilvl="0">
      <w:lvlJc w:val="left"/>
      <w:lvlText w:val="*"/>
      <w:numFmt w:val="bullet"/>
      <w:start w:val="1"/>
    </w:lvl>
  </w:abstractNum>
  <w:abstractNum w:abstractNumId="332">
    <w:nsid w:val="CE8E1A7"/>
    <w:multiLevelType w:val="hybridMultilevel"/>
    <w:lvl w:ilvl="0">
      <w:lvlJc w:val="left"/>
      <w:lvlText w:val="(%1)"/>
      <w:numFmt w:val="lowerLetter"/>
      <w:start w:val="1"/>
    </w:lvl>
  </w:abstractNum>
  <w:abstractNum w:abstractNumId="333">
    <w:nsid w:val="4E9EFB0D"/>
    <w:multiLevelType w:val="hybridMultilevel"/>
    <w:lvl w:ilvl="0">
      <w:lvlJc w:val="left"/>
      <w:lvlText w:val="(%1)"/>
      <w:numFmt w:val="lowerLetter"/>
      <w:start w:val="3"/>
    </w:lvl>
  </w:abstractNum>
  <w:abstractNum w:abstractNumId="334">
    <w:nsid w:val="90802BE"/>
    <w:multiLevelType w:val="hybridMultilevel"/>
    <w:lvl w:ilvl="0">
      <w:lvlJc w:val="left"/>
      <w:lvlText w:val="(%1)"/>
      <w:numFmt w:val="decimal"/>
    </w:lvl>
    <w:lvl w:ilvl="1">
      <w:lvlJc w:val="left"/>
      <w:lvlText w:val="*"/>
      <w:numFmt w:val="bullet"/>
      <w:start w:val="1"/>
    </w:lvl>
  </w:abstractNum>
  <w:abstractNum w:abstractNumId="335">
    <w:nsid w:val="3266459B"/>
    <w:multiLevelType w:val="hybridMultilevel"/>
    <w:lvl w:ilvl="0">
      <w:lvlJc w:val="left"/>
      <w:lvlText w:val="(%1)"/>
      <w:numFmt w:val="decimal"/>
      <w:start w:val="1"/>
    </w:lvl>
  </w:abstractNum>
  <w:abstractNum w:abstractNumId="336">
    <w:nsid w:val="3F8B0CB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2019-12-15T07:58:07Z</dcterms:created>
  <dcterms:modified xsi:type="dcterms:W3CDTF">2019-12-15T07:58:07Z</dcterms:modified>
</cp:coreProperties>
</file>