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November 9, 2023</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WYNN RESORTS, LIMITED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5469" w:type="dxa"/>
        <w:jc w:val="center"/>
        <w:tblInd w:w="0" w:type="dxa"/>
        <w:tblLayout w:type="fixed"/>
        <w:tblCellMar>
          <w:top w:w="28" w:type="dxa"/>
          <w:left w:w="28" w:type="dxa"/>
          <w:bottom w:w="28" w:type="dxa"/>
          <w:right w:w="28" w:type="dxa"/>
        </w:tblCellMar>
      </w:tblPr>
      <w:tblGrid>
        <w:gridCol w:w="537"/>
        <w:gridCol w:w="472"/>
        <w:gridCol w:w="472"/>
        <w:gridCol w:w="472"/>
        <w:gridCol w:w="472"/>
        <w:gridCol w:w="496"/>
        <w:gridCol w:w="353"/>
        <w:gridCol w:w="353"/>
        <w:gridCol w:w="358"/>
        <w:gridCol w:w="433"/>
        <w:gridCol w:w="433"/>
        <w:gridCol w:w="618"/>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000-50028</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46-0484987</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(Commission</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3131 Las Vegas Boulevard South</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 xml:space="preserve">Las Vegas, </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89109</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0" w:after="0"/>
        <w:jc w:val="center"/>
        <w:rPr>
          <w:color w:val="000000"/>
        </w:rPr>
      </w:pPr>
      <w:r>
        <w:rPr>
          <w:color w:val="000000"/>
        </w:rPr>
        <w:t xml:space="preserve">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(702) 770-7555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872" w:type="dxa"/>
        <w:jc w:val="left"/>
        <w:tblInd w:w="0" w:type="dxa"/>
        <w:tblLayout w:type="fixed"/>
        <w:tblCellMar>
          <w:top w:w="28" w:type="dxa"/>
          <w:left w:w="28" w:type="dxa"/>
          <w:bottom w:w="28" w:type="dxa"/>
          <w:right w:w="28" w:type="dxa"/>
        </w:tblCellMar>
      </w:tblPr>
      <w:tblGrid>
        <w:gridCol w:w="975"/>
        <w:gridCol w:w="857"/>
        <w:gridCol w:w="867"/>
        <w:gridCol w:w="109"/>
        <w:gridCol w:w="109"/>
        <w:gridCol w:w="109"/>
        <w:gridCol w:w="564"/>
        <w:gridCol w:w="564"/>
        <w:gridCol w:w="566"/>
        <w:gridCol w:w="109"/>
        <w:gridCol w:w="109"/>
        <w:gridCol w:w="109"/>
        <w:gridCol w:w="1118"/>
        <w:gridCol w:w="1118"/>
        <w:gridCol w:w="1589"/>
      </w:tblGrid>
      <w:tr>
        <w:trPr/>
        <w:tc>
          <w:tcPr>
            <w:tcW w:w="9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WYNN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 w:after="10"/>
        <w:jc w:val="both"/>
        <w:rPr/>
      </w:pPr>
      <w:r>
        <w:rPr/>
      </w:r>
    </w:p>
    <w:p>
      <w:pPr>
        <w:pStyle w:val="TextBody"/>
        <w:bidi w:val="0"/>
        <w:spacing w:lineRule="auto" w:line="288" w:before="10" w:after="1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lineRule="auto" w:line="288" w:before="10" w:after="1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 w:after="10"/>
        <w:jc w:val="both"/>
        <w:rPr/>
      </w:pP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lineRule="auto" w:line="288" w:before="10" w:after="1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010" w:type="dxa"/>
        <w:jc w:val="left"/>
        <w:tblInd w:w="0" w:type="dxa"/>
        <w:tblLayout w:type="fixed"/>
        <w:tblCellMar>
          <w:top w:w="28" w:type="dxa"/>
          <w:left w:w="28" w:type="dxa"/>
          <w:bottom w:w="28" w:type="dxa"/>
          <w:right w:w="28" w:type="dxa"/>
        </w:tblCellMar>
      </w:tblPr>
      <w:tblGrid>
        <w:gridCol w:w="332"/>
        <w:gridCol w:w="291"/>
        <w:gridCol w:w="293"/>
        <w:gridCol w:w="1199"/>
        <w:gridCol w:w="1199"/>
        <w:gridCol w:w="169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2.02</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 and Financial Condition.</w:t>
            </w:r>
          </w:p>
        </w:tc>
      </w:tr>
    </w:tbl>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9, 2023, Wynn Resorts, Limited issued a press release announcing its results of operations for the quarter ended September 30, 2023. The press release is furnished herewith as Exhibit 99.1. The information furnished under Items 2.02, 7.01 and 9.01 of this Current Report on Form 8-K,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tbl>
      <w:tblPr>
        <w:tblW w:w="3270" w:type="dxa"/>
        <w:jc w:val="left"/>
        <w:tblInd w:w="0" w:type="dxa"/>
        <w:tblLayout w:type="fixed"/>
        <w:tblCellMar>
          <w:top w:w="28" w:type="dxa"/>
          <w:left w:w="28" w:type="dxa"/>
          <w:bottom w:w="28" w:type="dxa"/>
          <w:right w:w="28" w:type="dxa"/>
        </w:tblCellMar>
      </w:tblPr>
      <w:tblGrid>
        <w:gridCol w:w="332"/>
        <w:gridCol w:w="291"/>
        <w:gridCol w:w="293"/>
        <w:gridCol w:w="688"/>
        <w:gridCol w:w="688"/>
        <w:gridCol w:w="978"/>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Regulation FD Disclosure.</w:t>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set forth under Item 2.02 of this report is incorporated herein by reference.</w:t>
      </w:r>
    </w:p>
    <w:tbl>
      <w:tblPr>
        <w:tblW w:w="2220" w:type="dxa"/>
        <w:jc w:val="left"/>
        <w:tblInd w:w="0" w:type="dxa"/>
        <w:tblLayout w:type="fixed"/>
        <w:tblCellMar>
          <w:top w:w="28" w:type="dxa"/>
          <w:left w:w="28" w:type="dxa"/>
          <w:bottom w:w="28" w:type="dxa"/>
          <w:right w:w="28" w:type="dxa"/>
        </w:tblCellMar>
      </w:tblPr>
      <w:tblGrid>
        <w:gridCol w:w="332"/>
        <w:gridCol w:w="291"/>
        <w:gridCol w:w="293"/>
        <w:gridCol w:w="381"/>
        <w:gridCol w:w="381"/>
        <w:gridCol w:w="54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8.01</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Events.</w:t>
            </w:r>
          </w:p>
        </w:tc>
      </w:tr>
    </w:tbl>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9, 2023, the Company announced a cash dividend of $0.25 per share, payable on November 30, 2023 to stockholders of record as of November 20, 2023.</w:t>
      </w:r>
    </w:p>
    <w:tbl>
      <w:tblPr>
        <w:tblW w:w="3991" w:type="dxa"/>
        <w:jc w:val="left"/>
        <w:tblInd w:w="0" w:type="dxa"/>
        <w:tblLayout w:type="fixed"/>
        <w:tblCellMar>
          <w:top w:w="28" w:type="dxa"/>
          <w:left w:w="28" w:type="dxa"/>
          <w:bottom w:w="28" w:type="dxa"/>
          <w:right w:w="28" w:type="dxa"/>
        </w:tblCellMar>
      </w:tblPr>
      <w:tblGrid>
        <w:gridCol w:w="332"/>
        <w:gridCol w:w="291"/>
        <w:gridCol w:w="293"/>
        <w:gridCol w:w="900"/>
        <w:gridCol w:w="900"/>
        <w:gridCol w:w="1275"/>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Statements and Exhibits.</w:t>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(d)Exhibits.</w:t>
      </w:r>
    </w:p>
    <w:tbl>
      <w:tblPr>
        <w:tblW w:w="9991" w:type="dxa"/>
        <w:jc w:val="left"/>
        <w:tblInd w:w="0" w:type="dxa"/>
        <w:tblLayout w:type="fixed"/>
        <w:tblCellMar>
          <w:top w:w="28" w:type="dxa"/>
          <w:left w:w="28" w:type="dxa"/>
          <w:bottom w:w="28" w:type="dxa"/>
          <w:right w:w="28" w:type="dxa"/>
        </w:tblCellMar>
      </w:tblPr>
      <w:tblGrid>
        <w:gridCol w:w="342"/>
        <w:gridCol w:w="301"/>
        <w:gridCol w:w="303"/>
        <w:gridCol w:w="2638"/>
        <w:gridCol w:w="2638"/>
        <w:gridCol w:w="3769"/>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3769"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Exhibit No.</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wrlq32023pressrelease.htm">
              <w:r>
                <w:rPr>
                  <w:rStyle w:val="InternetLink"/>
                  <w:rFonts w:ascii="Times New Roman;sans-serif" w:hAnsi="Times New Roman;sans-serif"/>
                  <w:b w:val="false"/>
                  <w:color w:val="0000FF"/>
                  <w:sz w:val="20"/>
                  <w:u w:val="single"/>
                </w:rPr>
                <w:t>Press release, dated November 9, 2023, of Wynn Resorts, Limited.</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6294" w:type="dxa"/>
        <w:jc w:val="left"/>
        <w:tblInd w:w="0" w:type="dxa"/>
        <w:tblLayout w:type="fixed"/>
        <w:tblCellMar>
          <w:top w:w="28" w:type="dxa"/>
          <w:left w:w="28" w:type="dxa"/>
          <w:bottom w:w="28" w:type="dxa"/>
          <w:right w:w="28" w:type="dxa"/>
        </w:tblCellMar>
      </w:tblPr>
      <w:tblGrid>
        <w:gridCol w:w="797"/>
        <w:gridCol w:w="700"/>
        <w:gridCol w:w="707"/>
        <w:gridCol w:w="109"/>
        <w:gridCol w:w="109"/>
        <w:gridCol w:w="109"/>
        <w:gridCol w:w="149"/>
        <w:gridCol w:w="149"/>
        <w:gridCol w:w="151"/>
        <w:gridCol w:w="121"/>
        <w:gridCol w:w="121"/>
        <w:gridCol w:w="121"/>
        <w:gridCol w:w="864"/>
        <w:gridCol w:w="864"/>
        <w:gridCol w:w="1223"/>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WYNN RESORTS, LIMITED</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November 9,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Julie Cameron-Doe </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Julie Cameron-Doe</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ind w:left="0" w:right="0" w:firstLine="495"/>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99.1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Wynn Resorts, Limited Reports Third Quarter 2023 Results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LAS VEGAS, November 9, 2023 — Wynn Resorts, Limited (NASDAQ: WYNN) ("Wynn Resorts" or the "Company") today reported financial results for the third quarter ended September 30, 2023.</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Operating revenues were $1.67 billion for the third quarter of 2023, an increase of $782.2 million from $889.7 million for the third quarter of 2022. Net loss attributable to Wynn Resorts, Limited was $116.7 million for the third quarter of 2023, compared to net loss attributable to Wynn Resorts, Limited of $142.9 million for the third quarter of 2022. Diluted net loss per share was $1.03 for the third quarter of 2023, compared to diluted net loss per share of $1.27 for the third quarter of 2022. Adjusted Property EBITDAR</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was $530.4 million for the third quarter of 2023, compared to Adjusted Property EBITDAR of $173.5 million for the third quarter of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third quarter results reflect continued strength across our property portfolio," said Craig Billings, CEO of Wynn Resorts, Limited. "Our teams at Wynn Las Vegas and Encore Boston Harbor delivered a new third-quarter record for Adjusted Property EBITDAR at our combined North American properties as we continue to elevate our properties above those of our peers. In Macau, the recovery continued to progress during the quarter, with particular strength in our mass gaming, luxury retail and hotel businesses. On the development front, construction on Wynn Al Marjan Island is well underway, and we are confident the resort will be a 'must see' tourism destination in the UAE."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Consolidated Results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revenues were $1.67 billion for the third quarter of 2023, an increase of $782.2 million from $889.7 million for the third quarter of 2022. For the third quarter of 2023, operating revenues increased $449.5 million, $254.6 million, $74.6 million, and $4.8 million at Wynn Palace, Wynn Macau, our Las Vegas Operations, and Wynn Interactive, respectively, and decreased $1.4 million at Encore Boston Harbor, from the third quarter of 2022.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Net loss attributable to Wynn Resorts, Limited was $116.7 million for the third quarter of 2023, compared to net loss attributable to Wynn Resorts, Limited of $142.9 million for the third quarter of 2022. Diluted net loss per share was $1.03 for the third quarter of 2023, compared to diluted net loss per share of $1.27 for the third quarter of 2022. Adjusted net income attributable to Wynn Resorts, Limited</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was $112.0 million, or $0.99 per diluted share, for the third quarter of 2023, compared to adjusted net loss attributable to Wynn Resorts, Limited of $135.4 million, or $1.20 per diluted share, for the third quarter of 2022.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Property EBITDAR was $530.4 million for the third quarter of 2023, an increase of $356.8 million compared to Adjusted Property EBITDAR of $173.5 million for the third quarter of 2022. For the third quarter of 2023, Adjusted Property EBITDAR increased $198.9 million, $121.7 million, $24.0 million, and $12.9 million at Wynn Palace, Wynn Macau, our Las Vegas Operations, and Wynn Interactive, respectively, and decreased $0.6 million at Encore Boston Harbor, from the third quarter of 2022.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Wynn Resorts, Limited also announced today that its Board of Directors has declared a cash dividend of $0.25 per share, payable on November 30, 2023 to stockholders of record as of November 20,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Property Results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Macau Operations</w:t>
      </w:r>
    </w:p>
    <w:p>
      <w:pPr>
        <w:pStyle w:val="TextBody"/>
        <w:bidi w:val="0"/>
        <w:spacing w:lineRule="auto" w:line="276"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Wynn Palace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revenues from Wynn Palace were $524.8 million for the third quarter of 2023, an increase of $449.5 million from $75.2 million for the third quarter of 2022. Adjusted Property EBITDAR from Wynn Palace was $177.0 million for the third quarter of 2023, compared to $(21.8) million for the third quarter of 2022. Table games win percentage in mass market operations was 23.3%, above the 21.5% experienced in the third quarter of 2022. VIP table games win as a percentage of turnover was 3.42%, above the property's expected range of 3.1% to 3.4% and above the 3.27% experienced in the third quarter of 2022. </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Wynn Macau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revenues from Wynn Macau were $295.0 million for the third quarter of 2023, an increase of $254.6 million from $40.4 million for the third quarter of 2022. Adjusted Property EBITDAR from Wynn Macau was $77.9 million for the third quarter of 2023, compared to $(43.8) million for the third quarter of 2022. Table games win percentage in mass market operations was 16.5%, above the 13.3% experienced in the third quarter of 2022. VIP table games win as a percentage of turnover was 3.52%, above the property's expected range of 3.1% to 3.4% and above the 1.56% experienced in the third quarter of 2022. </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Las Vegas Operations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revenues from our Las Vegas Operations were $619.0 million for the third quarter of 2023, an increase of $74.6 million from $544.4 million for the third quarter of 2022. Adjusted Property EBITDAR from our Las Vegas Operations for the third quarter of 2023 was $219.7 million, compared to $195.8 million for the third quarter of 2022. Table games win percentage for the third quarter of 2023 was 26.0%, within the property's expected range of 22% to 26% and above the 20.7% experienced in the third quarter of 2022.</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Encore Boston Harbor</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revenues from Encore Boston Harbor were $210.4 million for the third quarter of 2023, a decrease of $1.4 million from $211.8 million for the third quarter of 2022. Adjusted Property EBITDAR from Encore Boston Harbor for the third quarter of 2023 was $60.5 million, compared to $61.1 million for the third quarter of 2022. Table games win percentage for the third quarter of 2023 was 20.8%, within the property's expected range of 18% to 22% and below the 21.1% experienced in the third quarter of 2022. </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Balance Sheet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cash and cash equivalents as of September 30, 2023 totaled $2.79 billion, comprised of $1.20 billion held by Wynn Macau, Limited ("WML") and subsidiaries, $651.5 million held by Wynn Resorts Finance, LLC ("WRF") and subsidiaries excluding WML, and $936.7 million held at Corporate and other. In addition, as of September 30, 2023, we had $646.2 million and $145.5 million in short-term investments held at WML and Corporate and other, respectively. As of September 30, 2023, the available borrowing capacity under the Wynn Resorts Finance Revolver was $737.0 million, and the WM Cayman II Revolver was fully drawn.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 current and long-term debt outstanding at September 30, 2023 was $11.79 billion, comprised of $6.79 billion of Macau related debt, $2.25 billion of Wynn Las Vegas debt, $2.14 billion of WRF debt, and $613.9 million of debt held by the retail joint venture which we consolidate.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2023, Wynn Las Vegas repurchased $400.0 million aggregate principal amount of its 5 1/2% Senior Notes due 2025, at a price equal to 94% of the principal amount plus accrued interest and an early tender premium of $20.0 million, using cash held by Wynn Resorts.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third quarter of 2023, the Company repurchased 596,948 shares of its common stock under its publicly announced equity repurchase program at an average price of $94.11 per share, for an aggregate cost of $56.2 million.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Conference Call and Other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will hold a conference call to discuss its results, including the results of Wynn Resorts Finance, LLC and Wynn Las Vegas, LLC, on November 9, 2023 at 1:30 p.m. PT (4:30 p.m. ET). Interested parties are invited to join the call by accessing a live audio webcast at http://www.wynnresorts.com. On or before November 14, 2023, the Company will make Wynn Resorts Finance, LLC and Wynn Las Vegas, LLC financial information for the quarter ended September 30, 2023 available to noteholders, prospective investors, broker-dealers and securities analysts. Please contact our investor relations office at 702-770-7555 or at investorrelations@wynnresorts.com, to obtain access to such financial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before="0" w:after="0"/>
        <w:jc w:val="both"/>
        <w:rPr/>
      </w:pPr>
      <w:r>
        <w:rPr/>
      </w:r>
    </w:p>
    <w:p>
      <w:pPr>
        <w:pStyle w:val="TextBody"/>
        <w:bidi w:val="0"/>
        <w:spacing w:lineRule="auto" w:line="26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adverse macroeconomic conditions and their impact on levels of income and consumer discretionary spending, changes in interest rates, inflation, a decline in general economic activity or recession in the U.S. and/or global economies, uncertainty surrounding the pace of recovery of tourism </w:t>
      </w:r>
    </w:p>
    <w:p>
      <w:pPr>
        <w:pStyle w:val="TextBody"/>
        <w:bidi w:val="0"/>
        <w:spacing w:before="0" w:after="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and travel in Asia following the COVID-19 pandemic, extensive regulation of our business, pending or future legal proceedings, ability to maintain gaming licenses and concessions, dependence on key employees, general global political conditions, adverse tourism trends, dependence on a limited number of resorts, competition in the casino/hotel and resort industries, uncertainties over the development and success of new gaming and resort properties, construction risks, cybersecurity risk and our leverage and debt service. Additional information concerning potential factors that could affect the Company's financial results is included in the Company's Annual Report on Form 10-K for the year ended December 31, 2022, as supplemented by the Company's other periodic reports filed with the Securities and Exchange Commission from time to time. The Company is under no obligation to (and expressly disclaims any such obligation to) update or revise its forward-looking statements as a result of new information, future events or otherwise, except as required by law.</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 "Adjusted Property EBITDAR" is net income (loss) before interest, income taxes, depreciation and amortization, pre-opening expenses, impairment of goodwill and intangible assets, property charges and other, triple-net operating lease rent expense related to Encore Boston Harbor, management and license fees, corporate expenses and other (including intercompany golf course, meeting and convention, and water rights leases), stock-based compensation, change in derivatives fair value, gain (loss) on debt financing transactions, and other non-operating income and expenses. Adjusted Property EBITDAR is presented exclusively as a supplemental disclosure because management believes that it is widely used to measure the performance, and as a basis for valuation, of gaming companies. Management uses Adjusted Property EBITDAR as a measure of the operating performance of its segments and to compare the operating performance of its properties with those of its competitors, as well as a basis for determining certain incentive compensation. We also present Adjusted Property EBITDAR because it is used by some investors to measure a company's ability to incur and service debt, make capital expenditures and meet working capital requirements. Gaming companies have historically reported EBITDAR as a supplement to GAAP. In order to view the operations of their casinos on a more stand-alone basis, gaming companies, including us, have historically excluded from their EBITDAR calculations pre-opening expenses, property charges, corporate expenses and stock-based compensation, that do not relate to the management of specific casino properties. However, Adjusted Property EBITDAR should not be considered as an alternative to operating income (loss) as an indicator of our performance, as an alternative to cash flows from operating activities as a measure of liquidity, or as an alternative to any other measure determined in accordance with GAAP. Unlike net income (loss), Adjusted Property EBITDAR does not include depreciation or interest expense and therefore does not reflect current or future capital expenditures or the cost of capital. We have significant uses of cash flows, including capital expenditures, triple-net operating lease rent expense related to Encore Boston Harbor, interest payments, debt principal repayments, income taxes and other non-recurring charges, which are not reflected in Adjusted Property EBITDAR. Also, our calculation of Adjusted Property EBITDAR may be different from the calculation methods used by other companies and, therefore, comparability may be limited.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 "Adjusted net income (loss) attributable to Wynn Resorts, Limited" is net income (loss) attributable to Wynn Resorts, Limited before pre-opening expenses, impairment of goodwill and intangible assets, property charges and other, change in derivatives fair value, gain (loss) on debt financing transactions, and foreign currency remeasurement and other, net of noncontrolling interests. Adjusted net income (loss) attributable to Wynn Resorts, Limited and adjusted net income (loss) attributable to Wynn Resorts, Limited per diluted share are presented as supplemental disclosures to financial measures in accordance with GAAP because management believes that these non-GAAP financial measures are widely used to measure the performance, and as a principal basis for valuation, of gaming companies. These measures are used by management and/or evaluated by some investors, in addition to net income (loss) and loss per share computed in accordance with GAAP, as an additional basis for assessing period-to-period results of our business. Adjusted net income (loss) attributable to Wynn Resorts, Limited and adjusted net income (loss) attributable to Wynn Resorts, Limited per diluted share may be different from the calculation methods used by other companies and, therefore, comparability may be limited.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included schedules in the tables that accompany this release that reconcile (i) net income (loss) attributable to Wynn Resorts, Limited to adjusted net income (loss) attributable to Wynn Resorts, Limited, (ii) operating income (loss) to Adjusted Property EBITDAR, and (iii) net income (loss) attributable to Wynn Resorts, Limited to Adjusted Property EBITDAR.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OPERATIONS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bidi w:val="0"/>
        <w:spacing w:lineRule="auto" w:line="288" w:before="0" w:after="0"/>
        <w:jc w:val="center"/>
        <w:rPr/>
      </w:pPr>
      <w:r>
        <w:rPr>
          <w:rFonts w:ascii="Times New Roman;sans-serif" w:hAnsi="Times New Roman;sans-serif"/>
          <w:b/>
          <w:color w:val="000000"/>
          <w:sz w:val="20"/>
        </w:rPr>
        <w:t>(unaudited)</w:t>
      </w:r>
      <w:r>
        <w:rPr>
          <w:color w:val="000000"/>
        </w:rPr>
        <w:t>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67"/>
        <w:gridCol w:w="1302"/>
        <w:gridCol w:w="1305"/>
        <w:gridCol w:w="211"/>
        <w:gridCol w:w="885"/>
        <w:gridCol w:w="109"/>
        <w:gridCol w:w="109"/>
        <w:gridCol w:w="109"/>
        <w:gridCol w:w="109"/>
        <w:gridCol w:w="211"/>
        <w:gridCol w:w="885"/>
        <w:gridCol w:w="109"/>
        <w:gridCol w:w="109"/>
        <w:gridCol w:w="109"/>
        <w:gridCol w:w="109"/>
        <w:gridCol w:w="211"/>
        <w:gridCol w:w="976"/>
        <w:gridCol w:w="109"/>
        <w:gridCol w:w="109"/>
        <w:gridCol w:w="109"/>
        <w:gridCol w:w="109"/>
        <w:gridCol w:w="211"/>
        <w:gridCol w:w="976"/>
        <w:gridCol w:w="157"/>
      </w:tblGrid>
      <w:tr>
        <w:trPr/>
        <w:tc>
          <w:tcPr>
            <w:tcW w:w="1567"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41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1,209,323 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568,886 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628,566 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retail and other</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345,113 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revenues</w:t>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1,671,936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889,722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4,691,437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2,751,888</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808,044 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191,474 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517,515 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retail and other</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236,853 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598,433 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Provision for credit losses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Pre-opening </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goodwill and intangible assets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charges and other</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1,609,341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942,713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4,208,991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2,951,772</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 (loss)</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62,595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(52,991)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482,446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(199,884)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2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amounts capitalized</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(472,265)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derivatives fair value</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debt financing transactions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 net</w:t>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(185,885)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(153,410)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(471,432)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(472,691)</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(123,290)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(206,401)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11,014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(672,575)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(provision) for income taxes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income (loss) </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(120,541)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(207,791)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(675,823)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noncontrolling interests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219,556 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Wynn Resorts, Limited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(116,678)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(142,892)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(456,267)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(loss) per common share:</w:t>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1"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Wynn Resorts,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114,061 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NET INCOME (LOSS) ATTRIBUTABLE TO WYNN RESORTS, LIMITED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TO ADJUSTED NET INCOME (LOSS) ATTRIBUTABLE TO WYNN RESORTS, LIMITED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784"/>
        <w:gridCol w:w="1323"/>
        <w:gridCol w:w="1329"/>
        <w:gridCol w:w="211"/>
        <w:gridCol w:w="873"/>
        <w:gridCol w:w="109"/>
        <w:gridCol w:w="109"/>
        <w:gridCol w:w="109"/>
        <w:gridCol w:w="109"/>
        <w:gridCol w:w="211"/>
        <w:gridCol w:w="873"/>
        <w:gridCol w:w="109"/>
        <w:gridCol w:w="109"/>
        <w:gridCol w:w="109"/>
        <w:gridCol w:w="109"/>
        <w:gridCol w:w="211"/>
        <w:gridCol w:w="841"/>
        <w:gridCol w:w="109"/>
        <w:gridCol w:w="109"/>
        <w:gridCol w:w="109"/>
        <w:gridCol w:w="109"/>
        <w:gridCol w:w="211"/>
        <w:gridCol w:w="873"/>
        <w:gridCol w:w="157"/>
      </w:tblGrid>
      <w:tr>
        <w:trPr/>
        <w:tc>
          <w:tcPr>
            <w:tcW w:w="1784"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44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Wynn Resorts, Limited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(456,267)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 expenses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goodwill and intangible assets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48,036 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charges and other</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derivatives fair value</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debt financing transactions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remeasurement and other </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impact on adjustments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 impact on adjustments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net income (loss) attributable to Wynn Resorts, Limited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112,017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(135,395)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248,689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(368,743)</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net income (loss) attributable to Wynn Resorts, Limited per diluted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0.99</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2.20</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(3.23)</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diluted</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114,061 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RECONCILIATION OF OPERATING INCOME (LOSS) TO ADJUSTED PROPERTY EBITDAR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2781" w:type="dxa"/>
        <w:jc w:val="center"/>
        <w:tblInd w:w="0" w:type="dxa"/>
        <w:tblLayout w:type="fixed"/>
        <w:tblCellMar>
          <w:top w:w="28" w:type="dxa"/>
          <w:left w:w="28" w:type="dxa"/>
          <w:bottom w:w="28" w:type="dxa"/>
          <w:right w:w="28" w:type="dxa"/>
        </w:tblCellMar>
      </w:tblPr>
      <w:tblGrid>
        <w:gridCol w:w="564"/>
        <w:gridCol w:w="258"/>
        <w:gridCol w:w="259"/>
        <w:gridCol w:w="196"/>
        <w:gridCol w:w="751"/>
        <w:gridCol w:w="109"/>
        <w:gridCol w:w="109"/>
        <w:gridCol w:w="109"/>
        <w:gridCol w:w="109"/>
        <w:gridCol w:w="196"/>
        <w:gridCol w:w="661"/>
        <w:gridCol w:w="109"/>
        <w:gridCol w:w="109"/>
        <w:gridCol w:w="109"/>
        <w:gridCol w:w="109"/>
        <w:gridCol w:w="196"/>
        <w:gridCol w:w="571"/>
        <w:gridCol w:w="109"/>
        <w:gridCol w:w="109"/>
        <w:gridCol w:w="109"/>
        <w:gridCol w:w="109"/>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196"/>
        <w:gridCol w:w="751"/>
        <w:gridCol w:w="109"/>
        <w:gridCol w:w="109"/>
        <w:gridCol w:w="109"/>
        <w:gridCol w:w="109"/>
        <w:gridCol w:w="196"/>
        <w:gridCol w:w="646"/>
        <w:gridCol w:w="109"/>
        <w:gridCol w:w="109"/>
        <w:gridCol w:w="109"/>
        <w:gridCol w:w="109"/>
        <w:gridCol w:w="196"/>
        <w:gridCol w:w="751"/>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0"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2023</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Wynn Palace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Wynn Macau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Other Macau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Macau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Las Vegas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Encore Boston Harbor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Wynn Interactive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Corporate and Other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127,090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(208,959)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62,595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Pre-opening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867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Depreciation and amortization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74,697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171,969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of goodwill and intangible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93,990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Property charges and other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12,492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114,288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Management and license fees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25,919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Corporate expenses and other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8,718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35,104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Stock-based compensation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6,071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16,144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Triple-net operating lease rent expense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35,404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Adjusted Property EBITDAR</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177,048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77,939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254,987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219,740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60,498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(4,864)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530,361</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2601" w:type="dxa"/>
        <w:jc w:val="center"/>
        <w:tblInd w:w="0" w:type="dxa"/>
        <w:tblLayout w:type="fixed"/>
        <w:tblCellMar>
          <w:top w:w="28" w:type="dxa"/>
          <w:left w:w="28" w:type="dxa"/>
          <w:bottom w:w="28" w:type="dxa"/>
          <w:right w:w="28" w:type="dxa"/>
        </w:tblCellMar>
      </w:tblPr>
      <w:tblGrid>
        <w:gridCol w:w="564"/>
        <w:gridCol w:w="258"/>
        <w:gridCol w:w="259"/>
        <w:gridCol w:w="196"/>
        <w:gridCol w:w="661"/>
        <w:gridCol w:w="109"/>
        <w:gridCol w:w="109"/>
        <w:gridCol w:w="109"/>
        <w:gridCol w:w="109"/>
        <w:gridCol w:w="196"/>
        <w:gridCol w:w="661"/>
        <w:gridCol w:w="109"/>
        <w:gridCol w:w="109"/>
        <w:gridCol w:w="109"/>
        <w:gridCol w:w="109"/>
        <w:gridCol w:w="196"/>
        <w:gridCol w:w="571"/>
        <w:gridCol w:w="109"/>
        <w:gridCol w:w="109"/>
        <w:gridCol w:w="109"/>
        <w:gridCol w:w="109"/>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196"/>
        <w:gridCol w:w="661"/>
        <w:gridCol w:w="109"/>
        <w:gridCol w:w="109"/>
        <w:gridCol w:w="109"/>
        <w:gridCol w:w="109"/>
        <w:gridCol w:w="196"/>
        <w:gridCol w:w="646"/>
        <w:gridCol w:w="109"/>
        <w:gridCol w:w="109"/>
        <w:gridCol w:w="109"/>
        <w:gridCol w:w="109"/>
        <w:gridCol w:w="196"/>
        <w:gridCol w:w="751"/>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0"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2022</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Wynn Palace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Wynn Macau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Other Macau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Macau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Las Vegas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Encore Boston Harbor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Wynn Interactive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Corporate and Other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(84,478)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(73,833)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(162,650)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(52,991)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Pre-opening expenses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6,447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Depreciation and amortization </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73,777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172,502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Property charges and other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3,908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4,733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Management and license fees </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4,893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Corporate expenses and other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6,516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22,769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Stock-based compensation </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7,942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20,074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Adjusted Property EBITDAR</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(21,808)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(43,806)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(65,614)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195,760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61,136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(17,748)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173,534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ind w:left="0" w:right="0" w:hanging="270"/>
        <w:jc w:val="both"/>
        <w:rPr/>
      </w:pPr>
      <w:r>
        <w:rPr/>
      </w:r>
    </w:p>
    <w:p>
      <w:pPr>
        <w:pStyle w:val="TextBody"/>
        <w:bidi w:val="0"/>
        <w:spacing w:before="0" w:after="0"/>
        <w:ind w:left="0" w:right="0" w:hanging="270"/>
        <w:jc w:val="both"/>
        <w:rPr/>
      </w:pPr>
      <w:r>
        <w:rPr/>
      </w:r>
    </w:p>
    <w:p>
      <w:pPr>
        <w:pStyle w:val="TextBody"/>
        <w:bidi w:val="0"/>
        <w:spacing w:before="0" w:after="0"/>
        <w:ind w:left="0" w:right="0" w:hanging="270"/>
        <w:jc w:val="both"/>
        <w:rPr/>
      </w:pPr>
      <w:r>
        <w:rPr/>
      </w:r>
    </w:p>
    <w:p>
      <w:pPr>
        <w:pStyle w:val="TextBody"/>
        <w:bidi w:val="0"/>
        <w:spacing w:before="0" w:after="0"/>
        <w:ind w:left="0" w:right="0" w:hanging="270"/>
        <w:jc w:val="both"/>
        <w:rPr/>
      </w:pPr>
      <w:r>
        <w:rPr/>
      </w:r>
    </w:p>
    <w:p>
      <w:pPr>
        <w:pStyle w:val="TextBody"/>
        <w:bidi w:val="0"/>
        <w:spacing w:before="0" w:after="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ind w:left="0" w:right="0" w:hanging="27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lineRule="auto" w:line="288" w:before="0" w:after="0"/>
        <w:ind w:left="0" w:right="0" w:hanging="27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RECONCILIATION OF OPERATING INCOME (LOSS) TO ADJUSTED PROPERTY EBITDAR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3276" w:type="dxa"/>
        <w:jc w:val="center"/>
        <w:tblInd w:w="0" w:type="dxa"/>
        <w:tblLayout w:type="fixed"/>
        <w:tblCellMar>
          <w:top w:w="28" w:type="dxa"/>
          <w:left w:w="28" w:type="dxa"/>
          <w:bottom w:w="28" w:type="dxa"/>
          <w:right w:w="28" w:type="dxa"/>
        </w:tblCellMar>
      </w:tblPr>
      <w:tblGrid>
        <w:gridCol w:w="564"/>
        <w:gridCol w:w="258"/>
        <w:gridCol w:w="259"/>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196"/>
        <w:gridCol w:w="751"/>
        <w:gridCol w:w="109"/>
        <w:gridCol w:w="109"/>
        <w:gridCol w:w="109"/>
        <w:gridCol w:w="109"/>
        <w:gridCol w:w="196"/>
        <w:gridCol w:w="751"/>
        <w:gridCol w:w="109"/>
        <w:gridCol w:w="109"/>
        <w:gridCol w:w="109"/>
        <w:gridCol w:w="109"/>
        <w:gridCol w:w="196"/>
        <w:gridCol w:w="751"/>
        <w:gridCol w:w="109"/>
        <w:gridCol w:w="109"/>
        <w:gridCol w:w="109"/>
        <w:gridCol w:w="109"/>
        <w:gridCol w:w="196"/>
        <w:gridCol w:w="751"/>
        <w:gridCol w:w="109"/>
        <w:gridCol w:w="109"/>
        <w:gridCol w:w="109"/>
        <w:gridCol w:w="109"/>
        <w:gridCol w:w="196"/>
        <w:gridCol w:w="736"/>
        <w:gridCol w:w="109"/>
        <w:gridCol w:w="109"/>
        <w:gridCol w:w="109"/>
        <w:gridCol w:w="109"/>
        <w:gridCol w:w="196"/>
        <w:gridCol w:w="886"/>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5"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2023</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Wynn Palace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Wynn Macau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Other Macau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Macau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Las Vegas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Encore Boston Harbor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Wynn Interactive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Corporate and Other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295,911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(268,029)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482,446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Pre-opening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6,822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Depreciation and amortization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224,709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510,743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of goodwill and intangible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94,490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Property charges and other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23,412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132,265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Management and license fees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69,585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Corporate expenses and other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27,100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102,342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Stock-based compensation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16,270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49,139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Triple-net operating lease rent expense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106,318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Adjusted Property EBITDAR</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444,713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212,274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656,987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675,458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193,016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(40,896)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1,484,565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3051" w:type="dxa"/>
        <w:jc w:val="center"/>
        <w:tblInd w:w="0" w:type="dxa"/>
        <w:tblLayout w:type="fixed"/>
        <w:tblCellMar>
          <w:top w:w="28" w:type="dxa"/>
          <w:left w:w="28" w:type="dxa"/>
          <w:bottom w:w="28" w:type="dxa"/>
          <w:right w:w="28" w:type="dxa"/>
        </w:tblCellMar>
      </w:tblPr>
      <w:tblGrid>
        <w:gridCol w:w="564"/>
        <w:gridCol w:w="258"/>
        <w:gridCol w:w="259"/>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196"/>
        <w:gridCol w:w="751"/>
        <w:gridCol w:w="109"/>
        <w:gridCol w:w="109"/>
        <w:gridCol w:w="109"/>
        <w:gridCol w:w="109"/>
        <w:gridCol w:w="196"/>
        <w:gridCol w:w="751"/>
        <w:gridCol w:w="109"/>
        <w:gridCol w:w="109"/>
        <w:gridCol w:w="109"/>
        <w:gridCol w:w="109"/>
        <w:gridCol w:w="196"/>
        <w:gridCol w:w="751"/>
        <w:gridCol w:w="109"/>
        <w:gridCol w:w="109"/>
        <w:gridCol w:w="109"/>
        <w:gridCol w:w="109"/>
        <w:gridCol w:w="196"/>
        <w:gridCol w:w="751"/>
        <w:gridCol w:w="109"/>
        <w:gridCol w:w="109"/>
        <w:gridCol w:w="109"/>
        <w:gridCol w:w="109"/>
        <w:gridCol w:w="196"/>
        <w:gridCol w:w="646"/>
        <w:gridCol w:w="109"/>
        <w:gridCol w:w="109"/>
        <w:gridCol w:w="109"/>
        <w:gridCol w:w="109"/>
        <w:gridCol w:w="196"/>
        <w:gridCol w:w="751"/>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0"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2022</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Wynn Palace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Wynn Macau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Other Macau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Macau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Las Vegas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Encore Boston Harbor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Wynn Interactive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Corporate and Other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(251,721)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(182,128)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(446,238)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328,762 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(189,469)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(199,884)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Pre-opening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13,396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Depreciation and amortization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217,371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520,026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of goodwill and intangible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48,036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Property charges and other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12,311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29,326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Management and license fees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18,932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(121,916)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Corporate expenses and other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17,901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70,805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Stock-based compensation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18,223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48,569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Adjusted Property EBITDAR</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(72,622)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(88,878)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(161,500)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581,844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180,132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(70,202)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530,274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ind w:left="0" w:right="0" w:hanging="270"/>
        <w:jc w:val="both"/>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ind w:left="0" w:right="0" w:hanging="27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lineRule="auto" w:line="276" w:before="0" w:after="0"/>
        <w:ind w:left="0" w:right="0" w:hanging="27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RECONCILIATION OF NET INCOME (LOSS) ATTRIBUTABLE TO WYNN RESORTS, LIMITED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ADJUSTED PROPERTY EBITDAR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84"/>
        <w:gridCol w:w="1320"/>
        <w:gridCol w:w="1326"/>
        <w:gridCol w:w="211"/>
        <w:gridCol w:w="892"/>
        <w:gridCol w:w="109"/>
        <w:gridCol w:w="109"/>
        <w:gridCol w:w="109"/>
        <w:gridCol w:w="109"/>
        <w:gridCol w:w="211"/>
        <w:gridCol w:w="892"/>
        <w:gridCol w:w="109"/>
        <w:gridCol w:w="109"/>
        <w:gridCol w:w="109"/>
        <w:gridCol w:w="109"/>
        <w:gridCol w:w="211"/>
        <w:gridCol w:w="991"/>
        <w:gridCol w:w="109"/>
        <w:gridCol w:w="109"/>
        <w:gridCol w:w="109"/>
        <w:gridCol w:w="109"/>
        <w:gridCol w:w="211"/>
        <w:gridCol w:w="892"/>
        <w:gridCol w:w="156"/>
      </w:tblGrid>
      <w:tr>
        <w:trPr/>
        <w:tc>
          <w:tcPr>
            <w:tcW w:w="1584"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Wynn Resorts, Limited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(456,267)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noncontrolling interests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(219,556)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 expenses</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goodwill and intangible assets</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charges and other</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Triple-net operating lease rent expense</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expenses and other</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amounts capitalized</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472,265 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derivatives fair value</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debt financing transactions</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provision for income taxes</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Property EBITDAR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530,361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173,534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1,484,565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530,274</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SUPPLEMENTAL DATA SCHEDULE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for win per unit per day, ADR and REVPAR)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61"/>
        <w:gridCol w:w="668"/>
        <w:gridCol w:w="672"/>
        <w:gridCol w:w="210"/>
        <w:gridCol w:w="260"/>
        <w:gridCol w:w="580"/>
        <w:gridCol w:w="113"/>
        <w:gridCol w:w="113"/>
        <w:gridCol w:w="113"/>
        <w:gridCol w:w="223"/>
        <w:gridCol w:w="243"/>
        <w:gridCol w:w="488"/>
        <w:gridCol w:w="109"/>
        <w:gridCol w:w="109"/>
        <w:gridCol w:w="109"/>
        <w:gridCol w:w="376"/>
        <w:gridCol w:w="293"/>
        <w:gridCol w:w="294"/>
        <w:gridCol w:w="109"/>
        <w:gridCol w:w="109"/>
        <w:gridCol w:w="109"/>
        <w:gridCol w:w="196"/>
        <w:gridCol w:w="886"/>
        <w:gridCol w:w="256"/>
        <w:gridCol w:w="109"/>
        <w:gridCol w:w="109"/>
        <w:gridCol w:w="109"/>
        <w:gridCol w:w="206"/>
        <w:gridCol w:w="260"/>
        <w:gridCol w:w="580"/>
        <w:gridCol w:w="109"/>
        <w:gridCol w:w="109"/>
        <w:gridCol w:w="109"/>
        <w:gridCol w:w="381"/>
        <w:gridCol w:w="336"/>
        <w:gridCol w:w="389"/>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Wynn Palace Supplemental Information</w:t>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418,043</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821.6 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1,054,007 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186,968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463.7 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Rooms</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54,309</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678.7 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151,311 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444.0 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26,215</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357.7 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212.3 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Entertainment, retail and other</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26,206</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82,140 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524,773</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75,248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597.4</w:t>
            </w:r>
            <w:r>
              <w:rPr>
                <w:color w:val="000000"/>
              </w:rPr>
              <w:t>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1,362,486</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297,224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358.4</w:t>
            </w:r>
            <w:r>
              <w:rPr>
                <w:color w:val="000000"/>
              </w:rPr>
              <w:t>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Adjusted Property EBITDAR</w:t>
            </w:r>
            <w:r>
              <w:rPr>
                <w:color w:val="000000"/>
              </w:rPr>
              <w:t xml:space="preserve"> </w:t>
            </w:r>
            <w:r>
              <w:rPr>
                <w:rFonts w:ascii="Times New Roman;sans-serif" w:hAnsi="Times New Roman;sans-serif"/>
                <w:b/>
                <w:color w:val="000000"/>
                <w:sz w:val="16"/>
              </w:rPr>
              <w:t>(6)</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177,048</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(21,808)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444,713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(72,622)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NM</w:t>
            </w:r>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 Statistics:</w:t>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VIP:</w:t>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table games</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VIP turnover</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2,866,469</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283,744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910.2 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8,202,165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1,593,761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414.6 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VIP table games win </w:t>
            </w:r>
            <w:r>
              <w:rPr>
                <w:rFonts w:ascii="Times New Roman;sans-serif" w:hAnsi="Times New Roman;sans-serif"/>
                <w:b w:val="false"/>
                <w:color w:val="000000"/>
                <w:sz w:val="16"/>
              </w:rPr>
              <w:t>(1)</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98,014</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957.2 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289,492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1,195.1 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VIP table games win as a % of turnover</w:t>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per unit per day</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18,386</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672.2 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1,111.9 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Mass market:</w:t>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table games</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Table drop </w:t>
            </w:r>
            <w:r>
              <w:rPr>
                <w:rFonts w:ascii="Times New Roman;sans-serif" w:hAnsi="Times New Roman;sans-serif"/>
                <w:b w:val="false"/>
                <w:color w:val="000000"/>
                <w:sz w:val="16"/>
              </w:rPr>
              <w:t>(2)</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1,725,845</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197,066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775.8 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4,414,990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939,474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369.9 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Table games win </w:t>
            </w:r>
            <w:r>
              <w:rPr>
                <w:rFonts w:ascii="Times New Roman;sans-serif" w:hAnsi="Times New Roman;sans-serif"/>
                <w:b w:val="false"/>
                <w:color w:val="000000"/>
                <w:sz w:val="16"/>
              </w:rPr>
              <w:t>(1)</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402,285</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847.7 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968,967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195,205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396.4 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w:t>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per unit per day</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17,913</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616.2 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346.7 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slot machines</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handle</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634,121</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121,522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421.8 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1,760,345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502,856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250.1 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Slot machine win </w:t>
            </w:r>
            <w:r>
              <w:rPr>
                <w:rFonts w:ascii="Times New Roman;sans-serif" w:hAnsi="Times New Roman;sans-serif"/>
                <w:b w:val="false"/>
                <w:color w:val="000000"/>
                <w:sz w:val="16"/>
              </w:rPr>
              <w:t>(3)</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22,228</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310.3 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227.3 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win per unit per day</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283.0 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244.9 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 statistics:</w:t>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w:t>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ADR</w:t>
            </w:r>
            <w:r>
              <w:rPr>
                <w:color w:val="000000"/>
              </w:rPr>
              <w:t xml:space="preserve"> </w:t>
            </w:r>
            <w:r>
              <w:rPr>
                <w:rFonts w:ascii="Times New Roman;sans-serif" w:hAnsi="Times New Roman;sans-serif"/>
                <w:b w:val="false"/>
                <w:color w:val="000000"/>
                <w:sz w:val="16"/>
              </w:rPr>
              <w:t>(4)</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135.9 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REVPAR </w:t>
            </w:r>
            <w:r>
              <w:rPr>
                <w:rFonts w:ascii="Times New Roman;sans-serif" w:hAnsi="Times New Roman;sans-serif"/>
                <w:b w:val="false"/>
                <w:color w:val="000000"/>
                <w:sz w:val="16"/>
              </w:rPr>
              <w:t>(5)</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707.3 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458.2 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NM: Not meaningful.</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Note: The results of operations of Wynn Palace for the three and nine months ended September 30, 2022 were negatively impacted by certain travel-related restrictions and conditions, including COVID-19 testing and other mitigation procedures, related to the COVID-19 pandemic.</w:t>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SUPPLEMENTAL DATA SCHEDULE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for win per unit per day, ADR and REVPAR)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(continued)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56"/>
        <w:gridCol w:w="664"/>
        <w:gridCol w:w="667"/>
        <w:gridCol w:w="209"/>
        <w:gridCol w:w="260"/>
        <w:gridCol w:w="580"/>
        <w:gridCol w:w="112"/>
        <w:gridCol w:w="112"/>
        <w:gridCol w:w="112"/>
        <w:gridCol w:w="223"/>
        <w:gridCol w:w="243"/>
        <w:gridCol w:w="488"/>
        <w:gridCol w:w="109"/>
        <w:gridCol w:w="109"/>
        <w:gridCol w:w="109"/>
        <w:gridCol w:w="419"/>
        <w:gridCol w:w="324"/>
        <w:gridCol w:w="292"/>
        <w:gridCol w:w="109"/>
        <w:gridCol w:w="109"/>
        <w:gridCol w:w="109"/>
        <w:gridCol w:w="196"/>
        <w:gridCol w:w="751"/>
        <w:gridCol w:w="256"/>
        <w:gridCol w:w="109"/>
        <w:gridCol w:w="109"/>
        <w:gridCol w:w="109"/>
        <w:gridCol w:w="196"/>
        <w:gridCol w:w="751"/>
        <w:gridCol w:w="256"/>
        <w:gridCol w:w="109"/>
        <w:gridCol w:w="109"/>
        <w:gridCol w:w="109"/>
        <w:gridCol w:w="370"/>
        <w:gridCol w:w="268"/>
        <w:gridCol w:w="392"/>
      </w:tblGrid>
      <w:tr>
        <w:trPr/>
        <w:tc>
          <w:tcPr>
            <w:tcW w:w="75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Wynn Macau Supplemental Information</w:t>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230,294</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908.6 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649,627 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165,221 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293.2 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Rooms</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31,673</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620.7 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18,547 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330.1 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18,287</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329.2 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47,255 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164.3 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Entertainment, retail and other</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14,762</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50,679 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295,016</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40,368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630.8</w:t>
            </w:r>
            <w:r>
              <w:rPr>
                <w:color w:val="000000"/>
              </w:rPr>
              <w:t>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827,335</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234,051</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253.5</w:t>
            </w:r>
            <w:r>
              <w:rPr>
                <w:color w:val="000000"/>
              </w:rPr>
              <w:t>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Adjusted Property EBITDAR</w:t>
            </w:r>
            <w:r>
              <w:rPr>
                <w:color w:val="000000"/>
              </w:rPr>
              <w:t xml:space="preserve"> </w:t>
            </w:r>
            <w:r>
              <w:rPr>
                <w:rFonts w:ascii="Times New Roman;sans-serif" w:hAnsi="Times New Roman;sans-serif"/>
                <w:b/>
                <w:color w:val="000000"/>
                <w:sz w:val="16"/>
              </w:rPr>
              <w:t>(6)</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77,939</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(43,806)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212,274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(88,878)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NM</w:t>
            </w:r>
          </w:p>
        </w:tc>
      </w:tr>
      <w:tr>
        <w:trPr/>
        <w:tc>
          <w:tcPr>
            <w:tcW w:w="2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 Statistics:</w:t>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VIP: </w:t>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table games</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VIP turnover</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1,192,610</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152,872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680.1 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3,727,106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1,341,567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177.8 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VIP table games win </w:t>
            </w:r>
            <w:r>
              <w:rPr>
                <w:rFonts w:ascii="Times New Roman;sans-serif" w:hAnsi="Times New Roman;sans-serif"/>
                <w:b w:val="false"/>
                <w:color w:val="000000"/>
                <w:sz w:val="16"/>
              </w:rPr>
              <w:t>(1)</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41,995</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1,657.8 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130,574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156.7 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VIP table games win as a % of turnover</w:t>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Table games win per unit per day </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12,638</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1,539.2 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Mass market: </w:t>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table games</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Table drop </w:t>
            </w:r>
            <w:r>
              <w:rPr>
                <w:rFonts w:ascii="Times New Roman;sans-serif" w:hAnsi="Times New Roman;sans-serif"/>
                <w:b w:val="false"/>
                <w:color w:val="000000"/>
                <w:sz w:val="16"/>
              </w:rPr>
              <w:t>(2)</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1,384,258</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167,539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726.2 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3,597,557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852,832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321.8 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Table games win </w:t>
            </w:r>
            <w:r>
              <w:rPr>
                <w:rFonts w:ascii="Times New Roman;sans-serif" w:hAnsi="Times New Roman;sans-serif"/>
                <w:b w:val="false"/>
                <w:color w:val="000000"/>
                <w:sz w:val="16"/>
              </w:rPr>
              <w:t>(1)</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228,323</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927.0 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613,154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353.9 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w:t>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Table games win per unit per day </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11,423</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843.3 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390.0 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slot machines</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handle</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570,122</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193,680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194.4 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1,559,698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676,531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130.5 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Slot machine win </w:t>
            </w:r>
            <w:r>
              <w:rPr>
                <w:rFonts w:ascii="Times New Roman;sans-serif" w:hAnsi="Times New Roman;sans-serif"/>
                <w:b w:val="false"/>
                <w:color w:val="000000"/>
                <w:sz w:val="16"/>
              </w:rPr>
              <w:t>(3)</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16,143</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131.9 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Slot machine win per unit per day </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158.1 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132.4 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Poker rake </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4,494</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Room statistics: </w:t>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w:t>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ADR</w:t>
            </w:r>
            <w:r>
              <w:rPr>
                <w:color w:val="000000"/>
              </w:rPr>
              <w:t xml:space="preserve"> </w:t>
            </w:r>
            <w:r>
              <w:rPr>
                <w:rFonts w:ascii="Times New Roman;sans-serif" w:hAnsi="Times New Roman;sans-serif"/>
                <w:b w:val="false"/>
                <w:color w:val="000000"/>
                <w:sz w:val="16"/>
              </w:rPr>
              <w:t>(4)</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138.7 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REVPAR </w:t>
            </w:r>
            <w:r>
              <w:rPr>
                <w:rFonts w:ascii="Times New Roman;sans-serif" w:hAnsi="Times New Roman;sans-serif"/>
                <w:b w:val="false"/>
                <w:color w:val="000000"/>
                <w:sz w:val="16"/>
              </w:rPr>
              <w:t>(5)</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651.2 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339.3 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NM: Not meaningful.</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Note: The results of operations of Wynn Macau for the three and nine months ended September 30, 2022 were negatively impacted by certain travel-related restrictions and conditions, including COVID-19 testing and other mitigation procedures, related to the COVID-19 pandemic.</w:t>
      </w:r>
    </w:p>
    <w:p>
      <w:pPr>
        <w:pStyle w:val="TextBody"/>
        <w:bidi w:val="0"/>
        <w:spacing w:before="0" w:after="0"/>
        <w:jc w:val="center"/>
        <w:rPr/>
      </w:pPr>
      <w:r>
        <w:rPr/>
      </w:r>
    </w:p>
    <w:p>
      <w:pPr>
        <w:pStyle w:val="TextBody"/>
        <w:bidi w:val="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SUPPLEMENTAL DATA SCHEDULE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for win per unit per day, ADR and REVPAR)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(continued)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86"/>
        <w:gridCol w:w="779"/>
        <w:gridCol w:w="783"/>
        <w:gridCol w:w="227"/>
        <w:gridCol w:w="272"/>
        <w:gridCol w:w="554"/>
        <w:gridCol w:w="113"/>
        <w:gridCol w:w="113"/>
        <w:gridCol w:w="113"/>
        <w:gridCol w:w="227"/>
        <w:gridCol w:w="272"/>
        <w:gridCol w:w="554"/>
        <w:gridCol w:w="109"/>
        <w:gridCol w:w="109"/>
        <w:gridCol w:w="109"/>
        <w:gridCol w:w="323"/>
        <w:gridCol w:w="298"/>
        <w:gridCol w:w="299"/>
        <w:gridCol w:w="109"/>
        <w:gridCol w:w="109"/>
        <w:gridCol w:w="109"/>
        <w:gridCol w:w="206"/>
        <w:gridCol w:w="260"/>
        <w:gridCol w:w="580"/>
        <w:gridCol w:w="110"/>
        <w:gridCol w:w="110"/>
        <w:gridCol w:w="110"/>
        <w:gridCol w:w="206"/>
        <w:gridCol w:w="260"/>
        <w:gridCol w:w="580"/>
        <w:gridCol w:w="109"/>
        <w:gridCol w:w="109"/>
        <w:gridCol w:w="109"/>
        <w:gridCol w:w="316"/>
        <w:gridCol w:w="274"/>
        <w:gridCol w:w="399"/>
      </w:tblGrid>
      <w:tr>
        <w:trPr/>
        <w:tc>
          <w:tcPr>
            <w:tcW w:w="88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Las Vegas Operations Supplemental Information</w:t>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168,130</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134,314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460,606</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393,930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Rooms</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178,518</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541,392</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460,707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203,066</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193,733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570,695</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526,389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Entertainment, retail and other</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69,252</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211,109</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165,618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618,966</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544,389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13.7</w:t>
            </w:r>
            <w:r>
              <w:rPr>
                <w:color w:val="000000"/>
              </w:rPr>
              <w:t>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1,783,802</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1,546,644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15.3</w:t>
            </w:r>
            <w:r>
              <w:rPr>
                <w:color w:val="000000"/>
              </w:rPr>
              <w:t>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Adjusted Property EBITDAR </w:t>
            </w:r>
            <w:r>
              <w:rPr>
                <w:rFonts w:ascii="Times New Roman;sans-serif" w:hAnsi="Times New Roman;sans-serif"/>
                <w:b/>
                <w:color w:val="000000"/>
                <w:sz w:val="16"/>
              </w:rPr>
              <w:t>(6)</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219,740</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195,760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12.2</w:t>
            </w:r>
            <w:r>
              <w:rPr>
                <w:color w:val="000000"/>
              </w:rPr>
              <w:t>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675,458</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581,844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16.1</w:t>
            </w:r>
            <w:r>
              <w:rPr>
                <w:color w:val="000000"/>
              </w:rPr>
              <w:t>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 Statistics:</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table games</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Table drop </w:t>
            </w:r>
            <w:r>
              <w:rPr>
                <w:rFonts w:ascii="Times New Roman;sans-serif" w:hAnsi="Times New Roman;sans-serif"/>
                <w:b w:val="false"/>
                <w:color w:val="000000"/>
                <w:sz w:val="16"/>
              </w:rPr>
              <w:t>(2)</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607,610</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570,419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1,768,057</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1,683,317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Table games win </w:t>
            </w:r>
            <w:r>
              <w:rPr>
                <w:rFonts w:ascii="Times New Roman;sans-serif" w:hAnsi="Times New Roman;sans-serif"/>
                <w:b w:val="false"/>
                <w:color w:val="000000"/>
                <w:sz w:val="16"/>
              </w:rPr>
              <w:t>(1)</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157,873</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431,896</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386,306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w:t>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per unit per day</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7,340</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6,777</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slot machines</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1,631</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1,650</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handle</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1,638,274</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1,522,512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4,733,534</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4,026,675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Slot machine win </w:t>
            </w:r>
            <w:r>
              <w:rPr>
                <w:rFonts w:ascii="Times New Roman;sans-serif" w:hAnsi="Times New Roman;sans-serif"/>
                <w:b w:val="false"/>
                <w:color w:val="000000"/>
                <w:sz w:val="16"/>
              </w:rPr>
              <w:t>(3)</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115,738</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325,883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win per unit per day</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Poker rake</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5,669</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16,243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 statistics: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w:t>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ADR </w:t>
            </w:r>
            <w:r>
              <w:rPr>
                <w:rFonts w:ascii="Times New Roman;sans-serif" w:hAnsi="Times New Roman;sans-serif"/>
                <w:b w:val="false"/>
                <w:color w:val="000000"/>
                <w:sz w:val="16"/>
              </w:rPr>
              <w:t>(4)</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REVPAR</w:t>
            </w:r>
            <w:r>
              <w:rPr>
                <w:color w:val="000000"/>
              </w:rPr>
              <w:t xml:space="preserve"> </w:t>
            </w:r>
            <w:r>
              <w:rPr>
                <w:rFonts w:ascii="Times New Roman;sans-serif" w:hAnsi="Times New Roman;sans-serif"/>
                <w:b w:val="false"/>
                <w:color w:val="000000"/>
                <w:sz w:val="16"/>
              </w:rPr>
              <w:t>(5)</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SUPPLEMENTAL DATA SCHEDULE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for win per unit per day, ADR, and REVPAR)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(continued)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48"/>
        <w:gridCol w:w="744"/>
        <w:gridCol w:w="748"/>
        <w:gridCol w:w="227"/>
        <w:gridCol w:w="272"/>
        <w:gridCol w:w="554"/>
        <w:gridCol w:w="113"/>
        <w:gridCol w:w="113"/>
        <w:gridCol w:w="113"/>
        <w:gridCol w:w="227"/>
        <w:gridCol w:w="272"/>
        <w:gridCol w:w="554"/>
        <w:gridCol w:w="109"/>
        <w:gridCol w:w="109"/>
        <w:gridCol w:w="109"/>
        <w:gridCol w:w="370"/>
        <w:gridCol w:w="301"/>
        <w:gridCol w:w="302"/>
        <w:gridCol w:w="109"/>
        <w:gridCol w:w="109"/>
        <w:gridCol w:w="109"/>
        <w:gridCol w:w="206"/>
        <w:gridCol w:w="260"/>
        <w:gridCol w:w="580"/>
        <w:gridCol w:w="111"/>
        <w:gridCol w:w="111"/>
        <w:gridCol w:w="111"/>
        <w:gridCol w:w="206"/>
        <w:gridCol w:w="260"/>
        <w:gridCol w:w="580"/>
        <w:gridCol w:w="109"/>
        <w:gridCol w:w="109"/>
        <w:gridCol w:w="109"/>
        <w:gridCol w:w="362"/>
        <w:gridCol w:w="277"/>
        <w:gridCol w:w="402"/>
      </w:tblGrid>
      <w:tr>
        <w:trPr/>
        <w:tc>
          <w:tcPr>
            <w:tcW w:w="84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Encore Boston Harbor Supplemental Information </w:t>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155,986</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157,369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488,204</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463,204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Rooms</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24,838</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65,895</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19,864</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64,101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Entertainment, retail and other</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9,715</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30,441</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210,403</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211,783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(0.7)</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648,641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612,733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5.9</w:t>
            </w:r>
            <w:r>
              <w:rPr>
                <w:color w:val="000000"/>
              </w:rPr>
              <w:t>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Adjusted Property EBITDAR </w:t>
            </w:r>
            <w:r>
              <w:rPr>
                <w:rFonts w:ascii="Times New Roman;sans-serif" w:hAnsi="Times New Roman;sans-serif"/>
                <w:b/>
                <w:color w:val="000000"/>
                <w:sz w:val="16"/>
              </w:rPr>
              <w:t>(6)</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60,498</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61,136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(1.0)</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193,016</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180,132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7.2</w:t>
            </w:r>
            <w:r>
              <w:rPr>
                <w:color w:val="000000"/>
              </w:rPr>
              <w:t>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 Statistics:</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table games</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Table drop</w:t>
            </w:r>
            <w:r>
              <w:rPr>
                <w:color w:val="000000"/>
              </w:rPr>
              <w:t xml:space="preserve"> </w:t>
            </w:r>
            <w:r>
              <w:rPr>
                <w:rFonts w:ascii="Times New Roman;sans-serif" w:hAnsi="Times New Roman;sans-serif"/>
                <w:b w:val="false"/>
                <w:color w:val="000000"/>
                <w:sz w:val="16"/>
              </w:rPr>
              <w:t>(2)</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343,686</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364,844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1,064,092</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1,077,261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Table games win </w:t>
            </w:r>
            <w:r>
              <w:rPr>
                <w:rFonts w:ascii="Times New Roman;sans-serif" w:hAnsi="Times New Roman;sans-serif"/>
                <w:b w:val="false"/>
                <w:color w:val="000000"/>
                <w:sz w:val="16"/>
              </w:rPr>
              <w:t>(1)</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71,555</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230,170</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w:t>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per unit per day</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4,079</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4,368</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slot machines</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2,561</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2,547</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handle</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1,336,724</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3,933,388</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3,703,990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Slot machine win </w:t>
            </w:r>
            <w:r>
              <w:rPr>
                <w:rFonts w:ascii="Times New Roman;sans-serif" w:hAnsi="Times New Roman;sans-serif"/>
                <w:b w:val="false"/>
                <w:color w:val="000000"/>
                <w:sz w:val="16"/>
              </w:rPr>
              <w:t>(3)</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105,330</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316,129</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298,842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win per unit per day</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Poker rake</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5,224</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16,116</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251.9 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 statistics: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w:t>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ADR </w:t>
            </w:r>
            <w:r>
              <w:rPr>
                <w:rFonts w:ascii="Times New Roman;sans-serif" w:hAnsi="Times New Roman;sans-serif"/>
                <w:b w:val="false"/>
                <w:color w:val="000000"/>
                <w:sz w:val="16"/>
              </w:rPr>
              <w:t>(4)</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REVPAR </w:t>
            </w:r>
            <w:r>
              <w:rPr>
                <w:rFonts w:ascii="Times New Roman;sans-serif" w:hAnsi="Times New Roman;sans-serif"/>
                <w:b w:val="false"/>
                <w:color w:val="000000"/>
                <w:sz w:val="16"/>
              </w:rPr>
              <w:t>(5)</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 Table games win is shown before discounts, commissions and the allocation of casino revenues to rooms, food and beverage and other revenues for services provided to casino customers on a complimentary basis.</w:t>
      </w:r>
    </w:p>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 In Macau, table drop is the amount of cash that is deposited in a gaming table's drop box plus cash chips purchased at the casino cage. In Las Vegas, table drop is the amount of cash and net markers issued that are deposited in a gaming table's drop box. At Encore Boston Harbor, table drop is the amount of cash and gross markers that are deposited in a gaming table's drop box. </w:t>
      </w:r>
    </w:p>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(3) Slot machine win is calculated as gross slot machine win minus progressive accruals and free play.</w:t>
      </w:r>
    </w:p>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(4) ADR is average daily rate and is calculated by dividing total room revenues including complimentaries (less service charges, if any) by total rooms occupied. </w:t>
      </w:r>
    </w:p>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(5) REVPAR is revenue per available room and is calculated by dividing total room revenues including complimentaries (less service charges, if any) by total rooms available. </w:t>
      </w:r>
    </w:p>
    <w:p>
      <w:pPr>
        <w:pStyle w:val="TextBody"/>
        <w:bidi w:val="0"/>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(6) Refer to accompanying reconciliations of Operating Income (Loss) to Adjusted Property EBITDAR and Net Income (Loss) Attributable to Wynn Resorts, Limited to Adjusted Property EBITDAR.</w:t>
      </w:r>
    </w:p>
    <w:p>
      <w:pPr>
        <w:pStyle w:val="TextBody"/>
        <w:bidi w:val="0"/>
        <w:spacing w:before="0" w:after="0"/>
        <w:ind w:left="0" w:right="0" w:hanging="270"/>
        <w:jc w:val="both"/>
        <w:rPr/>
      </w:pPr>
      <w:r>
        <w:rPr/>
      </w:r>
    </w:p>
    <w:p>
      <w:pPr>
        <w:pStyle w:val="TextBody"/>
        <w:bidi w:val="0"/>
        <w:spacing w:before="240" w:after="283"/>
        <w:ind w:left="0" w:right="0" w:hanging="270"/>
        <w:jc w:val="both"/>
        <w:rPr/>
      </w:pPr>
      <w:r>
        <w:rPr/>
      </w:r>
    </w:p>
    <w:p>
      <w:pPr>
        <w:pStyle w:val="TextBody"/>
        <w:bidi w:val="0"/>
        <w:spacing w:before="240" w:after="283"/>
        <w:ind w:left="0" w:right="0" w:hanging="270"/>
        <w:jc w:val="both"/>
        <w:rPr/>
      </w:pPr>
      <w:r>
        <w:rPr/>
      </w:r>
    </w:p>
    <w:p>
      <w:pPr>
        <w:pStyle w:val="TextBody"/>
        <w:bidi w:val="0"/>
        <w:spacing w:before="240" w:after="283"/>
        <w:ind w:left="0" w:right="0" w:hanging="270"/>
        <w:jc w:val="both"/>
        <w:rPr/>
      </w:pPr>
      <w:r>
        <w:rPr/>
      </w:r>
    </w:p>
    <w:p>
      <w:pPr>
        <w:pStyle w:val="TextBody"/>
        <w:bidi w:val="0"/>
        <w:spacing w:before="240" w:after="283"/>
        <w:ind w:left="0" w:right="0" w:hanging="270"/>
        <w:jc w:val="both"/>
        <w:rPr/>
      </w:pPr>
      <w:r>
        <w:rPr/>
      </w:r>
    </w:p>
    <w:p>
      <w:pPr>
        <w:pStyle w:val="TextBody"/>
        <w:bidi w:val="0"/>
        <w:spacing w:before="240" w:after="283"/>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SOURCE: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Wynn Resorts, Limited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CONTACT: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Price Karr</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702-770-7555</w:t>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investorrelations@wynnresorts.com</w:t>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5526</Words>
  <Characters>29453</Characters>
  <CharactersWithSpaces>33972</CharactersWithSpaces>
  <Paragraphs>1913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