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5008"/>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282575</wp:posOffset>
            </wp:positionV>
            <wp:extent cx="4129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29405" cy="571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5208"/>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294005</wp:posOffset>
            </wp:positionV>
            <wp:extent cx="4129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29405" cy="571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968"/>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44"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Securities Exchange Act of 1934, as Amended</w:t>
      </w:r>
    </w:p>
    <w:p>
      <w:pPr>
        <w:spacing w:after="0" w:line="97" w:lineRule="exact"/>
        <w:rPr>
          <w:sz w:val="24"/>
          <w:szCs w:val="24"/>
          <w:color w:val="auto"/>
        </w:rPr>
      </w:pPr>
    </w:p>
    <w:p>
      <w:pPr>
        <w:ind w:left="4128"/>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April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1584325</wp:posOffset>
            </wp:positionH>
            <wp:positionV relativeFrom="paragraph">
              <wp:posOffset>201930</wp:posOffset>
            </wp:positionV>
            <wp:extent cx="412940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29405" cy="571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228"/>
        <w:spacing w:after="0"/>
        <w:rPr>
          <w:sz w:val="20"/>
          <w:szCs w:val="20"/>
          <w:color w:val="auto"/>
        </w:rPr>
      </w:pPr>
      <w:r>
        <w:rPr>
          <w:rFonts w:ascii="Times New Roman" w:cs="Times New Roman" w:eastAsia="Times New Roman" w:hAnsi="Times New Roman"/>
          <w:sz w:val="29"/>
          <w:szCs w:val="29"/>
          <w:b w:val="1"/>
          <w:bCs w:val="1"/>
          <w:color w:val="auto"/>
        </w:rPr>
        <w:t>WYNN RESORTS, LIMITED</w:t>
      </w:r>
    </w:p>
    <w:p>
      <w:pPr>
        <w:spacing w:after="0" w:line="34" w:lineRule="exact"/>
        <w:rPr>
          <w:sz w:val="24"/>
          <w:szCs w:val="24"/>
          <w:color w:val="auto"/>
        </w:rPr>
      </w:pPr>
    </w:p>
    <w:p>
      <w:pPr>
        <w:ind w:left="4408"/>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1608" w:type="dxa"/>
        <w:tblCellMar>
          <w:top w:w="0" w:type="dxa"/>
          <w:left w:w="0" w:type="dxa"/>
          <w:bottom w:w="0" w:type="dxa"/>
          <w:right w:w="0" w:type="dxa"/>
        </w:tblCellMar>
      </w:tblPr>
      <w:tr>
        <w:trPr>
          <w:trHeight w:val="159"/>
        </w:trPr>
        <w:tc>
          <w:tcPr>
            <w:tcW w:w="186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9"/>
                <w:szCs w:val="9"/>
                <w:b w:val="1"/>
                <w:bCs w:val="1"/>
                <w:color w:val="auto"/>
              </w:rPr>
              <w:t>EVADA</w:t>
            </w:r>
          </w:p>
        </w:tc>
        <w:tc>
          <w:tcPr>
            <w:tcW w:w="4660" w:type="dxa"/>
            <w:vAlign w:val="bottom"/>
          </w:tcPr>
          <w:p>
            <w:pPr>
              <w:jc w:val="right"/>
              <w:ind w:right="2106"/>
              <w:spacing w:after="0"/>
              <w:rPr>
                <w:sz w:val="20"/>
                <w:szCs w:val="20"/>
                <w:color w:val="auto"/>
              </w:rPr>
            </w:pPr>
            <w:r>
              <w:rPr>
                <w:rFonts w:ascii="Times New Roman" w:cs="Times New Roman" w:eastAsia="Times New Roman" w:hAnsi="Times New Roman"/>
                <w:sz w:val="12"/>
                <w:szCs w:val="12"/>
                <w:b w:val="1"/>
                <w:bCs w:val="1"/>
                <w:color w:val="auto"/>
              </w:rPr>
              <w:t>000-50028</w:t>
            </w:r>
          </w:p>
        </w:tc>
        <w:tc>
          <w:tcPr>
            <w:tcW w:w="1440" w:type="dxa"/>
            <w:vAlign w:val="bottom"/>
            <w:gridSpan w:val="2"/>
          </w:tcPr>
          <w:p>
            <w:pPr>
              <w:jc w:val="center"/>
              <w:ind w:left="648"/>
              <w:spacing w:after="0"/>
              <w:rPr>
                <w:sz w:val="20"/>
                <w:szCs w:val="20"/>
                <w:color w:val="auto"/>
              </w:rPr>
            </w:pPr>
            <w:r>
              <w:rPr>
                <w:rFonts w:ascii="Times New Roman" w:cs="Times New Roman" w:eastAsia="Times New Roman" w:hAnsi="Times New Roman"/>
                <w:sz w:val="12"/>
                <w:szCs w:val="12"/>
                <w:b w:val="1"/>
                <w:bCs w:val="1"/>
                <w:color w:val="auto"/>
                <w:w w:val="99"/>
              </w:rPr>
              <w:t>46-0484987</w:t>
            </w:r>
          </w:p>
        </w:tc>
        <w:tc>
          <w:tcPr>
            <w:tcW w:w="0" w:type="dxa"/>
            <w:vAlign w:val="bottom"/>
          </w:tcPr>
          <w:p>
            <w:pPr>
              <w:spacing w:after="0"/>
              <w:rPr>
                <w:sz w:val="1"/>
                <w:szCs w:val="1"/>
                <w:color w:val="auto"/>
              </w:rPr>
            </w:pPr>
          </w:p>
        </w:tc>
      </w:tr>
      <w:tr>
        <w:trPr>
          <w:trHeight w:val="119"/>
        </w:trPr>
        <w:tc>
          <w:tcPr>
            <w:tcW w:w="186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46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96"/>
              </w:rPr>
              <w:t>(Commission File Number)</w:t>
            </w:r>
          </w:p>
        </w:tc>
        <w:tc>
          <w:tcPr>
            <w:tcW w:w="1440" w:type="dxa"/>
            <w:vAlign w:val="bottom"/>
            <w:gridSpan w:val="2"/>
          </w:tcPr>
          <w:p>
            <w:pPr>
              <w:jc w:val="center"/>
              <w:ind w:left="648"/>
              <w:spacing w:after="0"/>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6"/>
        </w:trPr>
        <w:tc>
          <w:tcPr>
            <w:tcW w:w="1860" w:type="dxa"/>
            <w:vAlign w:val="bottom"/>
            <w:gridSpan w:val="2"/>
          </w:tcPr>
          <w:p>
            <w:pPr>
              <w:jc w:val="center"/>
              <w:ind w:right="600"/>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4660" w:type="dxa"/>
            <w:vAlign w:val="bottom"/>
            <w:vMerge w:val="continue"/>
          </w:tcPr>
          <w:p>
            <w:pPr>
              <w:spacing w:after="0"/>
              <w:rPr>
                <w:sz w:val="10"/>
                <w:szCs w:val="10"/>
                <w:color w:val="auto"/>
              </w:rPr>
            </w:pPr>
          </w:p>
        </w:tc>
        <w:tc>
          <w:tcPr>
            <w:tcW w:w="1440" w:type="dxa"/>
            <w:vAlign w:val="bottom"/>
            <w:gridSpan w:val="2"/>
          </w:tcPr>
          <w:p>
            <w:pPr>
              <w:jc w:val="center"/>
              <w:ind w:left="648"/>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0" w:type="dxa"/>
            <w:vAlign w:val="bottom"/>
          </w:tcPr>
          <w:p>
            <w:pPr>
              <w:spacing w:after="0"/>
              <w:rPr>
                <w:sz w:val="1"/>
                <w:szCs w:val="1"/>
                <w:color w:val="auto"/>
              </w:rPr>
            </w:pPr>
          </w:p>
        </w:tc>
      </w:tr>
      <w:tr>
        <w:trPr>
          <w:trHeight w:val="352"/>
        </w:trPr>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60" w:type="dxa"/>
            <w:vAlign w:val="bottom"/>
          </w:tcPr>
          <w:p>
            <w:pPr>
              <w:jc w:val="center"/>
              <w:ind w:right="66"/>
              <w:spacing w:after="0"/>
              <w:rPr>
                <w:sz w:val="20"/>
                <w:szCs w:val="20"/>
                <w:color w:val="auto"/>
              </w:rPr>
            </w:pPr>
            <w:r>
              <w:rPr>
                <w:rFonts w:ascii="Times New Roman" w:cs="Times New Roman" w:eastAsia="Times New Roman" w:hAnsi="Times New Roman"/>
                <w:sz w:val="12"/>
                <w:szCs w:val="12"/>
                <w:b w:val="1"/>
                <w:bCs w:val="1"/>
                <w:color w:val="auto"/>
                <w:w w:val="99"/>
              </w:rPr>
              <w:t>3131 Las Vegas Boulevard South - Las Vegas, Nevada 89109</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6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 (Zip Code)</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60" w:type="dxa"/>
            <w:vAlign w:val="bottom"/>
          </w:tcPr>
          <w:p>
            <w:pPr>
              <w:jc w:val="center"/>
              <w:ind w:right="66"/>
              <w:spacing w:after="0"/>
              <w:rPr>
                <w:sz w:val="20"/>
                <w:szCs w:val="20"/>
                <w:color w:val="auto"/>
              </w:rPr>
            </w:pPr>
            <w:r>
              <w:rPr>
                <w:rFonts w:ascii="Times New Roman" w:cs="Times New Roman" w:eastAsia="Times New Roman" w:hAnsi="Times New Roman"/>
                <w:sz w:val="12"/>
                <w:szCs w:val="12"/>
                <w:b w:val="1"/>
                <w:bCs w:val="1"/>
                <w:color w:val="auto"/>
                <w:w w:val="98"/>
              </w:rPr>
              <w:t>(702) 770-7555</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60" w:type="dxa"/>
            <w:vAlign w:val="bottom"/>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60" w:type="dxa"/>
            <w:vAlign w:val="bottom"/>
          </w:tcPr>
          <w:p>
            <w:pPr>
              <w:jc w:val="center"/>
              <w:ind w:right="46"/>
              <w:spacing w:after="0" w:line="117" w:lineRule="exact"/>
              <w:rPr>
                <w:sz w:val="20"/>
                <w:szCs w:val="20"/>
                <w:color w:val="auto"/>
              </w:rPr>
            </w:pPr>
            <w:r>
              <w:rPr>
                <w:rFonts w:ascii="Times New Roman" w:cs="Times New Roman" w:eastAsia="Times New Roman" w:hAnsi="Times New Roman"/>
                <w:sz w:val="12"/>
                <w:szCs w:val="12"/>
                <w:b w:val="1"/>
                <w:bCs w:val="1"/>
                <w:color w:val="auto"/>
                <w:w w:val="96"/>
              </w:rPr>
              <w:t>N/A</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6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5"/>
              </w:rPr>
              <w:t>(Former name, former address and former fiscal year, if changed since last report)</w:t>
            </w: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ectPr>
          <w:pgSz w:w="11900" w:h="16838" w:orient="portrait"/>
          <w:cols w:equalWidth="0" w:num="1">
            <w:col w:w="10247"/>
          </w:cols>
          <w:pgMar w:left="212" w:top="531" w:right="1440"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firstLine="288"/>
        <w:spacing w:after="0" w:line="283" w:lineRule="auto"/>
        <w:rPr>
          <w:sz w:val="20"/>
          <w:szCs w:val="20"/>
          <w:color w:val="auto"/>
        </w:rPr>
      </w:pPr>
      <w:r>
        <w:rPr>
          <w:rFonts w:ascii="Times New Roman" w:cs="Times New Roman" w:eastAsia="Times New Roman" w:hAnsi="Times New Roman"/>
          <w:sz w:val="11"/>
          <w:szCs w:val="11"/>
          <w:color w:val="auto"/>
        </w:rPr>
        <w:t>On April 22, 2014, Wynn Macau, Limited (“WML”), an indirect subsidiary of Wynn Resorts, Limited (the “Registrant”) with its ordinary shares listed on The Stock Exchange of Hong Kong Limited, filed its annual report in respect of the year ended December 31, 2013 (the “Annual Report”) with The Stock Exchange of Hong Kong Limited. The Registrant owns approximately 72.3% of WML’s ordinary shares. The Annual Report is furnished herewith as Exhibit</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00"/>
          </w:cols>
          <w:pgMar w:left="220" w:top="683" w:right="279" w:bottom="1440" w:gutter="0" w:footer="0" w:header="0"/>
        </w:sect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Item 9.01.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p>
      <w:pPr>
        <w:spacing w:after="0" w:line="28" w:lineRule="exact"/>
        <w:rPr>
          <w:sz w:val="20"/>
          <w:szCs w:val="20"/>
          <w:color w:val="auto"/>
        </w:rPr>
      </w:pPr>
    </w:p>
    <w:p>
      <w:pPr>
        <w:sectPr>
          <w:pgSz w:w="11900" w:h="16838" w:orient="portrait"/>
          <w:cols w:equalWidth="0" w:num="2">
            <w:col w:w="660" w:space="720"/>
            <w:col w:w="10020"/>
          </w:cols>
          <w:pgMar w:left="220" w:top="683" w:right="27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2"/>
          <w:szCs w:val="12"/>
          <w:color w:val="auto"/>
        </w:rPr>
        <w:t>(d) Exhibits.</w:t>
      </w:r>
    </w:p>
    <w:p>
      <w:pPr>
        <w:sectPr>
          <w:pgSz w:w="11900" w:h="16838" w:orient="portrait"/>
          <w:cols w:equalWidth="0" w:num="1">
            <w:col w:w="11400"/>
          </w:cols>
          <w:pgMar w:left="220" w:top="683" w:right="279" w:bottom="1440" w:gutter="0" w:footer="0" w:header="0"/>
          <w:type w:val="continuous"/>
        </w:sect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Exhibit No.</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Description</w:t>
      </w:r>
    </w:p>
    <w:p>
      <w:pPr>
        <w:spacing w:after="0" w:line="200" w:lineRule="exact"/>
        <w:rPr>
          <w:sz w:val="20"/>
          <w:szCs w:val="20"/>
          <w:color w:val="auto"/>
        </w:rPr>
      </w:pPr>
    </w:p>
    <w:p>
      <w:pPr>
        <w:sectPr>
          <w:pgSz w:w="11900" w:h="16838" w:orient="portrait"/>
          <w:cols w:equalWidth="0" w:num="2">
            <w:col w:w="1940" w:space="720"/>
            <w:col w:w="8740"/>
          </w:cols>
          <w:pgMar w:left="220" w:top="683" w:right="279" w:bottom="1440" w:gutter="0" w:footer="0" w:header="0"/>
          <w:type w:val="continuous"/>
        </w:sectPr>
      </w:pP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99.1</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Annual Report of Wynn Macau, Limited in respect of the year ended December 31, 2013.</w:t>
      </w:r>
    </w:p>
    <w:p>
      <w:pPr>
        <w:sectPr>
          <w:pgSz w:w="11900" w:h="16838" w:orient="portrait"/>
          <w:cols w:equalWidth="0" w:num="2">
            <w:col w:w="1940" w:space="720"/>
            <w:col w:w="8740"/>
          </w:cols>
          <w:pgMar w:left="220" w:top="683" w:right="279" w:bottom="1440" w:gutter="0" w:footer="0" w:header="0"/>
          <w:type w:val="continuous"/>
        </w:sectPr>
      </w:pPr>
    </w:p>
    <w:bookmarkStart w:id="2" w:name="page3"/>
    <w:bookmarkEnd w:id="2"/>
    <w:p>
      <w:pPr>
        <w:ind w:left="53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2"/>
          <w:szCs w:val="12"/>
          <w:b w:val="1"/>
          <w:bCs w:val="1"/>
          <w:color w:val="auto"/>
        </w:rPr>
        <w:t>WYNN RESORTS, LIMITED</w:t>
      </w:r>
    </w:p>
    <w:p>
      <w:pPr>
        <w:sectPr>
          <w:pgSz w:w="11900" w:h="16838" w:orient="portrait"/>
          <w:cols w:equalWidth="0" w:num="1">
            <w:col w:w="10219"/>
          </w:cols>
          <w:pgMar w:left="240" w:top="431" w:right="1440"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Dated: April 22, 2014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29845</wp:posOffset>
            </wp:positionV>
            <wp:extent cx="26936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670" cy="571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3">
            <w:col w:w="5940" w:space="720"/>
            <w:col w:w="180" w:space="480"/>
            <w:col w:w="2899"/>
          </w:cols>
          <w:pgMar w:left="240" w:top="431" w:right="1440" w:bottom="1440" w:gutter="0" w:footer="0" w:header="0"/>
          <w:type w:val="continuous"/>
        </w:sectPr>
      </w:pPr>
    </w:p>
    <w:p>
      <w:pPr>
        <w:ind w:left="6660"/>
        <w:spacing w:after="0"/>
        <w:rPr>
          <w:sz w:val="20"/>
          <w:szCs w:val="20"/>
          <w:color w:val="auto"/>
        </w:rPr>
      </w:pPr>
      <w:r>
        <w:rPr>
          <w:rFonts w:ascii="Times New Roman" w:cs="Times New Roman" w:eastAsia="Times New Roman" w:hAnsi="Times New Roman"/>
          <w:sz w:val="12"/>
          <w:szCs w:val="12"/>
          <w:color w:val="auto"/>
        </w:rPr>
        <w:t>Matt Maddox</w:t>
      </w:r>
    </w:p>
    <w:p>
      <w:pPr>
        <w:spacing w:after="0" w:line="4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color w:val="auto"/>
        </w:rPr>
        <w:t>President and Chief Financial Officer</w:t>
      </w:r>
    </w:p>
    <w:p>
      <w:pPr>
        <w:spacing w:after="0" w:line="4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1"/>
          <w:szCs w:val="11"/>
          <w:color w:val="auto"/>
        </w:rPr>
        <w:t>(Principal Financial and Accounting Officer)</w:t>
      </w:r>
    </w:p>
    <w:p>
      <w:pPr>
        <w:sectPr>
          <w:pgSz w:w="11900" w:h="16838" w:orient="portrait"/>
          <w:cols w:equalWidth="0" w:num="1">
            <w:col w:w="10219"/>
          </w:cols>
          <w:pgMar w:left="240" w:top="431" w:right="1440" w:bottom="1440" w:gutter="0" w:footer="0" w:header="0"/>
          <w:type w:val="continuous"/>
        </w:sectPr>
      </w:pPr>
    </w:p>
    <w:bookmarkStart w:id="3" w:name="page4"/>
    <w:bookmarkEnd w:id="3"/>
    <w:p>
      <w:pPr>
        <w:ind w:left="5240"/>
        <w:spacing w:after="0"/>
        <w:rPr>
          <w:sz w:val="20"/>
          <w:szCs w:val="20"/>
          <w:color w:val="auto"/>
        </w:rPr>
      </w:pPr>
      <w:r>
        <w:rPr>
          <w:rFonts w:ascii="Times New Roman" w:cs="Times New Roman" w:eastAsia="Times New Roman" w:hAnsi="Times New Roman"/>
          <w:sz w:val="12"/>
          <w:szCs w:val="12"/>
          <w:b w:val="1"/>
          <w:bCs w:val="1"/>
          <w:color w:val="auto"/>
        </w:rPr>
        <w:t>EXHIBIT INDEX</w:t>
      </w:r>
    </w:p>
    <w:p>
      <w:pPr>
        <w:sectPr>
          <w:pgSz w:w="11900" w:h="16838" w:orient="portrait"/>
          <w:cols w:equalWidth="0" w:num="1">
            <w:col w:w="10219"/>
          </w:cols>
          <w:pgMar w:left="240" w:top="575"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b w:val="1"/>
          <w:bCs w:val="1"/>
          <w:color w:val="auto"/>
        </w:rPr>
        <w:t>Description</w:t>
      </w:r>
    </w:p>
    <w:p>
      <w:pPr>
        <w:spacing w:after="0" w:line="200" w:lineRule="exact"/>
        <w:rPr>
          <w:sz w:val="20"/>
          <w:szCs w:val="20"/>
          <w:color w:val="auto"/>
        </w:rPr>
      </w:pPr>
    </w:p>
    <w:p>
      <w:pPr>
        <w:sectPr>
          <w:pgSz w:w="11900" w:h="16838" w:orient="portrait"/>
          <w:cols w:equalWidth="0" w:num="2">
            <w:col w:w="1920" w:space="720"/>
            <w:col w:w="7579"/>
          </w:cols>
          <w:pgMar w:left="240" w:top="575" w:right="1440"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99.1</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Annual Report of Wynn Macau, Limited in respect of the year ended December 31, 2013.</w:t>
      </w:r>
    </w:p>
    <w:p>
      <w:pPr>
        <w:sectPr>
          <w:pgSz w:w="11900" w:h="16838" w:orient="portrait"/>
          <w:cols w:equalWidth="0" w:num="2">
            <w:col w:w="1920" w:space="720"/>
            <w:col w:w="7579"/>
          </w:cols>
          <w:pgMar w:left="240" w:top="575"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34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34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61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2019-12-07T03:47:45Z</dcterms:created>
  <dcterms:modified xsi:type="dcterms:W3CDTF">2019-12-07T03:47:45Z</dcterms:modified>
</cp:coreProperties>
</file>