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139065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7" w:lineRule="exact"/>
        <w:rPr>
          <w:sz w:val="24"/>
          <w:szCs w:val="24"/>
          <w:color w:val="auto"/>
        </w:rPr>
      </w:pPr>
    </w:p>
    <w:p>
      <w:pPr>
        <w:ind w:left="580" w:right="340" w:hanging="572"/>
        <w:spacing w:after="0" w:line="262"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8"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2005</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3" w:lineRule="exact"/>
        <w:rPr>
          <w:sz w:val="24"/>
          <w:szCs w:val="24"/>
          <w:color w:val="auto"/>
        </w:rPr>
      </w:pPr>
    </w:p>
    <w:p>
      <w:pPr>
        <w:ind w:left="580" w:right="340" w:hanging="572"/>
        <w:spacing w:after="0" w:line="262" w:lineRule="auto"/>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26" w:right="239" w:bottom="1440" w:gutter="0" w:footer="0" w:header="0"/>
        </w:sectPr>
      </w:pPr>
    </w:p>
    <w:p>
      <w:pPr>
        <w:spacing w:after="0" w:line="98"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81" w:lineRule="exact"/>
        <w:rPr>
          <w:sz w:val="24"/>
          <w:szCs w:val="24"/>
          <w:color w:val="auto"/>
        </w:rPr>
      </w:pPr>
    </w:p>
    <w:p>
      <w:pPr>
        <w:sectPr>
          <w:pgSz w:w="11900" w:h="16838" w:orient="portrait"/>
          <w:cols w:equalWidth="0" w:num="2">
            <w:col w:w="2680" w:space="720"/>
            <w:col w:w="8020"/>
          </w:cols>
          <w:pgMar w:left="240" w:top="226"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142240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WYNN LAS VEGAS, LLC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9" w:lineRule="exact"/>
        <w:rPr>
          <w:sz w:val="24"/>
          <w:szCs w:val="24"/>
          <w:color w:val="auto"/>
        </w:rPr>
      </w:pPr>
    </w:p>
    <w:tbl>
      <w:tblPr>
        <w:tblLayout w:type="fixed"/>
        <w:tblInd w:w="1920" w:type="dxa"/>
        <w:tblCellMar>
          <w:top w:w="0" w:type="dxa"/>
          <w:left w:w="0" w:type="dxa"/>
          <w:bottom w:w="0" w:type="dxa"/>
          <w:right w:w="0" w:type="dxa"/>
        </w:tblCellMar>
      </w:tblPr>
      <w:tr>
        <w:trPr>
          <w:trHeight w:val="216"/>
        </w:trPr>
        <w:tc>
          <w:tcPr>
            <w:tcW w:w="6100" w:type="dxa"/>
            <w:vAlign w:val="bottom"/>
            <w:gridSpan w:val="3"/>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88-0494878</w:t>
            </w:r>
          </w:p>
        </w:tc>
      </w:tr>
      <w:tr>
        <w:trPr>
          <w:trHeight w:val="149"/>
        </w:trPr>
        <w:tc>
          <w:tcPr>
            <w:tcW w:w="6100" w:type="dxa"/>
            <w:vAlign w:val="bottom"/>
            <w:gridSpan w:val="3"/>
          </w:tcPr>
          <w:p>
            <w:pPr>
              <w:jc w:val="center"/>
              <w:ind w:right="4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(I.R.S. Employer</w:t>
            </w:r>
          </w:p>
        </w:tc>
      </w:tr>
      <w:tr>
        <w:trPr>
          <w:trHeight w:val="178"/>
        </w:trPr>
        <w:tc>
          <w:tcPr>
            <w:tcW w:w="6100" w:type="dxa"/>
            <w:vAlign w:val="bottom"/>
            <w:gridSpan w:val="3"/>
          </w:tcPr>
          <w:p>
            <w:pPr>
              <w:jc w:val="center"/>
              <w:ind w:right="4320"/>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Identification Number)</w:t>
            </w:r>
          </w:p>
        </w:tc>
      </w:tr>
      <w:tr>
        <w:trPr>
          <w:trHeight w:val="348"/>
        </w:trPr>
        <w:tc>
          <w:tcPr>
            <w:tcW w:w="6100" w:type="dxa"/>
            <w:vAlign w:val="bottom"/>
            <w:gridSpan w:val="3"/>
          </w:tcPr>
          <w:p>
            <w:pPr>
              <w:jc w:val="center"/>
              <w:ind w:left="1424"/>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 - Las Vegas, Nevada 89109</w:t>
            </w:r>
          </w:p>
        </w:tc>
        <w:tc>
          <w:tcPr>
            <w:tcW w:w="1380" w:type="dxa"/>
            <w:vAlign w:val="bottom"/>
          </w:tcPr>
          <w:p>
            <w:pPr>
              <w:spacing w:after="0"/>
              <w:rPr>
                <w:sz w:val="24"/>
                <w:szCs w:val="24"/>
                <w:color w:val="auto"/>
              </w:rPr>
            </w:pPr>
          </w:p>
        </w:tc>
      </w:tr>
      <w:tr>
        <w:trPr>
          <w:trHeight w:val="178"/>
        </w:trPr>
        <w:tc>
          <w:tcPr>
            <w:tcW w:w="6100" w:type="dxa"/>
            <w:vAlign w:val="bottom"/>
            <w:gridSpan w:val="3"/>
          </w:tcPr>
          <w:p>
            <w:pPr>
              <w:jc w:val="center"/>
              <w:ind w:left="1424"/>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 (Zip Code)</w:t>
            </w:r>
          </w:p>
        </w:tc>
        <w:tc>
          <w:tcPr>
            <w:tcW w:w="1380" w:type="dxa"/>
            <w:vAlign w:val="bottom"/>
          </w:tcPr>
          <w:p>
            <w:pPr>
              <w:spacing w:after="0"/>
              <w:rPr>
                <w:sz w:val="15"/>
                <w:szCs w:val="15"/>
                <w:color w:val="auto"/>
              </w:rPr>
            </w:pPr>
          </w:p>
        </w:tc>
      </w:tr>
      <w:tr>
        <w:trPr>
          <w:trHeight w:val="335"/>
        </w:trPr>
        <w:tc>
          <w:tcPr>
            <w:tcW w:w="5000" w:type="dxa"/>
            <w:vAlign w:val="bottom"/>
            <w:gridSpan w:val="2"/>
          </w:tcPr>
          <w:p>
            <w:pPr>
              <w:jc w:val="center"/>
              <w:ind w:left="2504"/>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8"/>
        </w:trPr>
        <w:tc>
          <w:tcPr>
            <w:tcW w:w="6100" w:type="dxa"/>
            <w:vAlign w:val="bottom"/>
            <w:gridSpan w:val="3"/>
          </w:tcPr>
          <w:p>
            <w:pPr>
              <w:jc w:val="center"/>
              <w:ind w:left="1404"/>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c>
          <w:tcPr>
            <w:tcW w:w="1380" w:type="dxa"/>
            <w:vAlign w:val="bottom"/>
          </w:tcPr>
          <w:p>
            <w:pPr>
              <w:spacing w:after="0"/>
              <w:rPr>
                <w:sz w:val="15"/>
                <w:szCs w:val="15"/>
                <w:color w:val="auto"/>
              </w:rPr>
            </w:pPr>
          </w:p>
        </w:tc>
      </w:tr>
      <w:tr>
        <w:trPr>
          <w:trHeight w:val="163"/>
        </w:trPr>
        <w:tc>
          <w:tcPr>
            <w:tcW w:w="258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83"/>
        </w:trPr>
        <w:tc>
          <w:tcPr>
            <w:tcW w:w="2580" w:type="dxa"/>
            <w:vAlign w:val="bottom"/>
          </w:tcPr>
          <w:p>
            <w:pPr>
              <w:spacing w:after="0"/>
              <w:rPr>
                <w:sz w:val="24"/>
                <w:szCs w:val="24"/>
                <w:color w:val="auto"/>
              </w:rPr>
            </w:pPr>
          </w:p>
        </w:tc>
        <w:tc>
          <w:tcPr>
            <w:tcW w:w="352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38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104775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0" w:lineRule="exact"/>
        <w:rPr>
          <w:sz w:val="24"/>
          <w:szCs w:val="24"/>
          <w:color w:val="auto"/>
        </w:rPr>
      </w:pPr>
    </w:p>
    <w:p>
      <w:pPr>
        <w:ind w:right="28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90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Indicate by check mark whether the registrant is an accelerated filer (as defined in Rule12b-2 of the Exchange Act).  Yes</w:t>
            </w:r>
          </w:p>
        </w:tc>
        <w:tc>
          <w:tcPr>
            <w:tcW w:w="2340" w:type="dxa"/>
            <w:vAlign w:val="bottom"/>
          </w:tcPr>
          <w:p>
            <w:pPr>
              <w:jc w:val="center"/>
              <w:ind w:right="1412"/>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365"/>
        </w:trPr>
        <w:tc>
          <w:tcPr>
            <w:tcW w:w="9080" w:type="dxa"/>
            <w:vAlign w:val="bottom"/>
          </w:tcPr>
          <w:p>
            <w:pPr>
              <w:ind w:left="460"/>
              <w:spacing w:after="0" w:line="207" w:lineRule="exact"/>
              <w:rPr>
                <w:sz w:val="20"/>
                <w:szCs w:val="20"/>
                <w:color w:val="auto"/>
              </w:rPr>
            </w:pPr>
            <w:r>
              <w:rPr>
                <w:rFonts w:ascii="Times New Roman" w:cs="Times New Roman" w:eastAsia="Times New Roman" w:hAnsi="Times New Roman"/>
                <w:sz w:val="18"/>
                <w:szCs w:val="18"/>
                <w:color w:val="auto"/>
                <w:w w:val="98"/>
              </w:rPr>
              <w:t xml:space="preserve">Indicate by check mark whether the registrant is a shell company (as defined in Rule12b-2 of the Exchange Act).  Yes </w:t>
            </w:r>
            <w:r>
              <w:rPr>
                <w:rFonts w:ascii="MS PGothic" w:cs="MS PGothic" w:eastAsia="MS PGothic" w:hAnsi="MS PGothic"/>
                <w:sz w:val="18"/>
                <w:szCs w:val="18"/>
                <w:color w:val="auto"/>
                <w:w w:val="98"/>
              </w:rPr>
              <w:t>☐</w:t>
            </w:r>
          </w:p>
        </w:tc>
        <w:tc>
          <w:tcPr>
            <w:tcW w:w="2340" w:type="dxa"/>
            <w:vAlign w:val="bottom"/>
          </w:tcPr>
          <w:p>
            <w:pPr>
              <w:jc w:val="center"/>
              <w:ind w:right="1472"/>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45"/>
        </w:trPr>
        <w:tc>
          <w:tcPr>
            <w:tcW w:w="9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Wynn Resorts Holdings, LLC owns all of the membership interests of the Registrant as of November 11, 2005.</w:t>
            </w:r>
          </w:p>
        </w:tc>
        <w:tc>
          <w:tcPr>
            <w:tcW w:w="2340" w:type="dxa"/>
            <w:vAlign w:val="bottom"/>
          </w:tcPr>
          <w:p>
            <w:pPr>
              <w:spacing w:after="0"/>
              <w:rPr>
                <w:sz w:val="24"/>
                <w:szCs w:val="24"/>
                <w:color w:val="auto"/>
              </w:rPr>
            </w:pPr>
          </w:p>
        </w:tc>
      </w:tr>
      <w:tr>
        <w:trPr>
          <w:trHeight w:val="282"/>
        </w:trPr>
        <w:tc>
          <w:tcPr>
            <w:tcW w:w="90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60" w:type="dxa"/>
            <w:vAlign w:val="bottom"/>
          </w:tcPr>
          <w:p>
            <w:pPr>
              <w:spacing w:after="0"/>
              <w:rPr>
                <w:sz w:val="20"/>
                <w:szCs w:val="20"/>
                <w:color w:val="auto"/>
              </w:rPr>
            </w:pP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60" w:type="dxa"/>
            <w:vAlign w:val="bottom"/>
          </w:tcPr>
          <w:p>
            <w:pPr>
              <w:spacing w:after="0"/>
              <w:rPr>
                <w:sz w:val="24"/>
                <w:szCs w:val="24"/>
                <w:color w:val="auto"/>
              </w:rPr>
            </w:pPr>
          </w:p>
        </w:tc>
      </w:tr>
      <w:tr>
        <w:trPr>
          <w:trHeight w:val="245"/>
        </w:trPr>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Condensed Consolidated Balance Sheets (unaudited) – September 30, 2005 and December 31, 2004</w:t>
              </w:r>
            </w:hyperlink>
          </w:p>
        </w:tc>
        <w:tc>
          <w:tcPr>
            <w:tcW w:w="2620" w:type="dxa"/>
            <w:vAlign w:val="bottom"/>
            <w:gridSpan w:val="3"/>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40" w:type="dxa"/>
            <w:vAlign w:val="bottom"/>
            <w:gridSpan w:val="1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and Comprehensive Income (Loss) (unaudited) - Three and nine months ended</w:t>
              </w:r>
            </w:hyperlink>
          </w:p>
        </w:tc>
        <w:tc>
          <w:tcPr>
            <w:tcW w:w="660" w:type="dxa"/>
            <w:vAlign w:val="bottom"/>
          </w:tcPr>
          <w:p>
            <w:pPr>
              <w:spacing w:after="0"/>
              <w:rPr>
                <w:sz w:val="22"/>
                <w:szCs w:val="22"/>
                <w:color w:val="auto"/>
              </w:rPr>
            </w:pP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1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September 30, 2005 and 2004</w:t>
              </w:r>
            </w:hyperlink>
          </w:p>
        </w:tc>
        <w:tc>
          <w:tcPr>
            <w:tcW w:w="6820" w:type="dxa"/>
            <w:vAlign w:val="bottom"/>
            <w:tcBorders>
              <w:top w:val="single" w:sz="8" w:color="0000EE"/>
            </w:tcBorders>
            <w:gridSpan w:val="6"/>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64"/>
        </w:trPr>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40" w:type="dxa"/>
            <w:vAlign w:val="bottom"/>
            <w:gridSpan w:val="1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(unaudited) - Nine months ended September 30, 2005 and 2004</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4"/>
        </w:trPr>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12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 (unaudited)</w:t>
              </w:r>
            </w:hyperlink>
          </w:p>
        </w:tc>
        <w:tc>
          <w:tcPr>
            <w:tcW w:w="1520" w:type="dxa"/>
            <w:vAlign w:val="bottom"/>
            <w:gridSpan w:val="2"/>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6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3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3560" w:type="dxa"/>
            <w:vAlign w:val="bottom"/>
            <w:gridSpan w:val="4"/>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Quantitative and Qualitative Disclosures About Market Risk</w:t>
              </w:r>
            </w:hyperlink>
          </w:p>
        </w:tc>
        <w:tc>
          <w:tcPr>
            <w:tcW w:w="5600" w:type="dxa"/>
            <w:vAlign w:val="bottom"/>
            <w:gridSpan w:val="6"/>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11"/>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Controls and Procedures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020" w:type="dxa"/>
            <w:vAlign w:val="bottom"/>
          </w:tcPr>
          <w:p>
            <w:pPr>
              <w:spacing w:after="0"/>
              <w:rPr>
                <w:sz w:val="20"/>
                <w:szCs w:val="20"/>
                <w:color w:val="auto"/>
              </w:rPr>
            </w:pPr>
          </w:p>
        </w:tc>
      </w:tr>
      <w:tr>
        <w:trPr>
          <w:trHeight w:val="245"/>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500" w:type="dxa"/>
            <w:vAlign w:val="bottom"/>
            <w:gridSpan w:val="4"/>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Legal Proceedings</w:t>
              </w:r>
            </w:hyperlink>
          </w:p>
        </w:tc>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6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500" w:type="dxa"/>
            <w:vAlign w:val="bottom"/>
            <w:gridSpan w:val="4"/>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Unregistered Sales of Equity Securities and Use of Proceeds</w:t>
              </w:r>
            </w:hyperlink>
          </w:p>
        </w:tc>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424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Exhibits</w:t>
              </w:r>
            </w:hyperlink>
          </w:p>
        </w:tc>
        <w:tc>
          <w:tcPr>
            <w:tcW w:w="260" w:type="dxa"/>
            <w:vAlign w:val="bottom"/>
          </w:tcPr>
          <w:p>
            <w:pPr>
              <w:spacing w:after="0"/>
              <w:rPr>
                <w:sz w:val="22"/>
                <w:szCs w:val="22"/>
                <w:color w:val="auto"/>
              </w:rPr>
            </w:pPr>
          </w:p>
        </w:tc>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4"/>
        </w:trPr>
        <w:tc>
          <w:tcPr>
            <w:tcW w:w="900" w:type="dxa"/>
            <w:vAlign w:val="bottom"/>
            <w:gridSpan w:val="2"/>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Signature</w:t>
              </w:r>
            </w:hyperlink>
          </w:p>
        </w:tc>
        <w:tc>
          <w:tcPr>
            <w:tcW w:w="580" w:type="dxa"/>
            <w:vAlign w:val="bottom"/>
            <w:tcBorders>
              <w:top w:val="single" w:sz="8" w:color="0000EE"/>
            </w:tcBorders>
          </w:tcPr>
          <w:p>
            <w:pPr>
              <w:spacing w:after="0"/>
              <w:rPr>
                <w:sz w:val="22"/>
                <w:szCs w:val="22"/>
                <w:color w:val="auto"/>
              </w:rPr>
            </w:pPr>
          </w:p>
        </w:tc>
        <w:tc>
          <w:tcPr>
            <w:tcW w:w="7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83"/>
        </w:trPr>
        <w:tc>
          <w:tcPr>
            <w:tcW w:w="6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20" w:type="dxa"/>
            <w:vAlign w:val="bottom"/>
          </w:tcPr>
          <w:p>
            <w:pPr>
              <w:jc w:val="right"/>
              <w:ind w:right="5572"/>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0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207,665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391,314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292,321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receivable from Wynn Resorts, Limited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2,334,999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1,854,882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rights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3,263,398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2,788,101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and construction payables</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Customer deposits and other related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Due to affiliates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62,621</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204,005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1,834,429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1,336,175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2,045,283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1,511,434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Contributed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1,445,276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1,452,550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(241,592)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(185,890)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member’s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1,218,115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1,276,667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3,263,398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2,788,101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40" w:type="dxa"/>
            <w:vAlign w:val="bottom"/>
            <w:vMerge w:val="restart"/>
          </w:tcPr>
          <w:p>
            <w:pPr>
              <w:ind w:left="26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-4048125</wp:posOffset>
            </wp:positionV>
            <wp:extent cx="57848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-4048125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-4048125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-4048125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-325755</wp:posOffset>
            </wp:positionV>
            <wp:extent cx="57848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-325755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455"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22"/>
                <w:szCs w:val="22"/>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123,049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$221,764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287,451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(36,266)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(61,200)</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251,185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869</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732</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229,534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(12,958)</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(16,402)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(30,367)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488</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(30,849)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(52,157)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tcPr>
          <w:p>
            <w:pPr>
              <w:spacing w:after="0"/>
              <w:rPr>
                <w:sz w:val="19"/>
                <w:szCs w:val="19"/>
                <w:color w:val="auto"/>
              </w:rPr>
            </w:pP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(25,628)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(25,827)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488</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(39,300)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(12,470)</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(55,702)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(54,270)</w:t>
            </w:r>
          </w:p>
        </w:tc>
        <w:tc>
          <w:tcPr>
            <w:tcW w:w="0" w:type="dxa"/>
            <w:vAlign w:val="bottom"/>
          </w:tcPr>
          <w:p>
            <w:pPr>
              <w:spacing w:after="0"/>
              <w:rPr>
                <w:sz w:val="1"/>
                <w:szCs w:val="1"/>
                <w:color w:val="auto"/>
              </w:rPr>
            </w:pPr>
          </w:p>
        </w:tc>
      </w:tr>
      <w:tr>
        <w:trPr>
          <w:trHeight w:val="28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(8,925)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(21,395)</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 (47,669)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(57,208)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5"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60325</wp:posOffset>
            </wp:positionV>
            <wp:extent cx="1252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(55,702)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61,182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and writeoff of deferred financing costs and OID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Incidental operations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in income of subsidiaries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(65,907)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Inventories and prepaid expenses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(45,274)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 net of construction payables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93"/>
              </w:rPr>
              <w:t>(629,671)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(618,624)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406,453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 in unconsolidated affiliate</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Note Receivable from Wynn Resorts, Ltd.</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(80,767)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(23,906)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Due (to) from affiliates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(11,284)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3"/>
              </w:rPr>
              <w:t>(342,652)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(171,346)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517,186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of financing costs</w:t>
            </w:r>
          </w:p>
        </w:tc>
        <w:tc>
          <w:tcPr>
            <w:tcW w:w="100" w:type="dxa"/>
            <w:vAlign w:val="bottom"/>
          </w:tcPr>
          <w:p>
            <w:pPr>
              <w:spacing w:after="0"/>
              <w:rPr>
                <w:sz w:val="19"/>
                <w:szCs w:val="19"/>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(7,708)</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(122,420)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181,974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60,483</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capitalized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compensation capitalized into construction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Asset contributions and transfers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(8,890)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Aircraft purchases financed by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-1056005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-1056005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-1056005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-1056005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-1056005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-1056005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455"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ind w:left="240" w:right="8300" w:hanging="232"/>
        <w:spacing w:after="0" w:line="330" w:lineRule="auto"/>
        <w:tabs>
          <w:tab w:leader="none" w:pos="18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Basis of Presentation </w:t>
      </w:r>
      <w:r>
        <w:rPr>
          <w:rFonts w:ascii="Times New Roman" w:cs="Times New Roman" w:eastAsia="Times New Roman" w:hAnsi="Times New Roman"/>
          <w:sz w:val="18"/>
          <w:szCs w:val="18"/>
          <w:i w:val="1"/>
          <w:iCs w:val="1"/>
          <w:color w:val="auto"/>
        </w:rPr>
        <w:t>Organization</w:t>
      </w: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Wynn Las Vegas, LLC was formed on April 17, 2001. Originally named Hotel A, LLC, its name was changed to Wynn Las Vegas, LLC on May 15, 2002. Unless the context otherwise requires, all references herein to the “Company,” refer to Wynn Las Vegas, LLC, a Nevada limited liability company and its consolidated subsidiaries, including for periods when the Company was named Hotel A, LLC. The sole member of the Company is Wynn Resorts Holdings, LLC (“Holdings”). The sole member of Holdings is Wynn Resorts, Limited (“Wynn Resorts”). The Company was organized primarily to construct and operate “Wynn Las Vegas,” a destination resort and casino on the site of the former Desert Inn Resort and Casino (the “Desert Inn”) on “the Strip” in Las Vegas, Nevada.</w:t>
      </w:r>
    </w:p>
    <w:p>
      <w:pPr>
        <w:spacing w:after="0" w:line="94"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September 30, 2005 and December 31, 2004, the Company owned the one share that was issued and outstanding. For the period from its inception through September 30, 2005, Wynn Capital has neither any significant net assets nor any operating activity. Its sole function is to serve as the co-issuer of mortgage notes, which partially financed Wynn Las Vegas. Wynn Las Vegas, LLC and Wynn Capital together are hereinafter referred to as the “Issuers”.</w:t>
      </w:r>
    </w:p>
    <w:p>
      <w:pPr>
        <w:spacing w:after="0" w:line="125" w:lineRule="exact"/>
        <w:rPr>
          <w:sz w:val="20"/>
          <w:szCs w:val="20"/>
          <w:color w:val="auto"/>
        </w:rPr>
      </w:pPr>
    </w:p>
    <w:p>
      <w:pPr>
        <w:ind w:right="240" w:firstLine="456"/>
        <w:spacing w:after="0" w:line="301" w:lineRule="auto"/>
        <w:rPr>
          <w:sz w:val="20"/>
          <w:szCs w:val="20"/>
          <w:color w:val="auto"/>
        </w:rPr>
      </w:pPr>
      <w:r>
        <w:rPr>
          <w:rFonts w:ascii="Times New Roman" w:cs="Times New Roman" w:eastAsia="Times New Roman" w:hAnsi="Times New Roman"/>
          <w:sz w:val="16"/>
          <w:szCs w:val="16"/>
          <w:color w:val="auto"/>
        </w:rPr>
        <w:t>On July 29, 2005, Wynn Resorts contributed all of the membership interests in Kevyn, LLC to Holdings, and Holdings immediately contributed such interests to the Company. In accordance with SFAS No. 141, “Business Combinations”, the assets and liabilities of Kevyn, LLC, consisting primarily of a 50% interest in PW Automotive, LLC, a Ferrari and Maserati automobile dealership located inside Wynn Las Vegas, were recorded by the Company at the carrying value as of July 29, 2005, and the operating results of Kevyn, LLC are included in the operating statements of the Company from the earliest period presented.</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79"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Company commenced operations with the opening of Wynn Las Vegas on April 28, 2005. The development of the Company’s expansion of Wynn Las Vegas, known as “Encore at Wynn Las Vegas” or “Encore,” is ongoing. For the periods presented prior to April 28, 2005, the Company was a development stage company.</w:t>
      </w:r>
    </w:p>
    <w:p>
      <w:pPr>
        <w:spacing w:after="0" w:line="11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wholly-owned subsidiaries. Investment in the 50%-owned joint venture operating the Ferrari and Maserati automobile dealership is accounted for under the equity method. All significant intercompany accounts and transactions have been eliminated.</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been made. The results for the three and nine months ended September 30, 2005 are not necessarily indicative of results to be expected for the full fiscal year. These financial statements should be read in conjunction with the consolidated financial statements and notes thereto of the Company as of and for the year ended December 31, 2004, included in the Company’s registration statement on Form S-4 filed on April 13, 2005, as amended.</w:t>
      </w:r>
    </w:p>
    <w:p>
      <w:pPr>
        <w:spacing w:after="0" w:line="119"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Certain amounts in the condensed consolidated financial statements for the three and nine months ended September 30, 2004 have been reclassified to conform to the 2005 presentation. The loss on sale of assets of $550,000 for the nine months ended September 30, 2004 and the loss on incidental operations of $732,000 and $911,000 for the three and nine months ended September 30, 2004, respectively, were both reclassified as property charges and other in the accompanying condensed consolidated statement of operations. These reclassifications had no effect on the previously reported net loss.</w:t>
      </w:r>
    </w:p>
    <w:p>
      <w:pPr>
        <w:spacing w:after="0" w:line="121" w:lineRule="exact"/>
        <w:rPr>
          <w:sz w:val="20"/>
          <w:szCs w:val="20"/>
          <w:color w:val="auto"/>
        </w:rPr>
      </w:pPr>
    </w:p>
    <w:p>
      <w:pPr>
        <w:ind w:left="240" w:right="7920" w:hanging="232"/>
        <w:spacing w:after="0" w:line="330" w:lineRule="auto"/>
        <w:tabs>
          <w:tab w:leader="none" w:pos="18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Accounts receivable and credit risk</w:t>
      </w: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September 30, 2005, approximately 57% of the Company’s receivables were due from customers residing in foreign countries. Business or economic conditions or other significant events in these countries could affect the collectibility of such receivables.</w:t>
      </w:r>
    </w:p>
    <w:p>
      <w:pPr>
        <w:spacing w:after="0" w:line="123"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prior experience with collection trends in the casino industry and current economic and business conditions.</w:t>
      </w:r>
    </w:p>
    <w:p>
      <w:pPr>
        <w:spacing w:after="0" w:line="125"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As of September 30, 2005, the Company had total accounts receivable of $55.4 million, net of a reserve for bad debts of $10.4 million. Casino marker receivables, hotel receivables and other receivables as of September 30, 2005 totaled $50.2 million, $9.6 million and $6.0 million, respectively.</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7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2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for both the three and nine months ended September 30, 2005 is primarily included in casino expenses as follows (amounts in thousands):</w:t>
      </w:r>
    </w:p>
    <w:p>
      <w:pPr>
        <w:spacing w:after="0" w:line="1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3660" w:type="dxa"/>
            <w:vAlign w:val="bottom"/>
            <w:gridSpan w:val="3"/>
          </w:tcPr>
          <w:p>
            <w:pPr>
              <w:ind w:left="2840"/>
              <w:spacing w:after="0"/>
              <w:rPr>
                <w:sz w:val="20"/>
                <w:szCs w:val="20"/>
                <w:color w:val="auto"/>
              </w:rPr>
            </w:pPr>
            <w:r>
              <w:rPr>
                <w:rFonts w:ascii="Times New Roman" w:cs="Times New Roman" w:eastAsia="Times New Roman" w:hAnsi="Times New Roman"/>
                <w:sz w:val="14"/>
                <w:szCs w:val="14"/>
                <w:b w:val="1"/>
                <w:bCs w:val="1"/>
                <w:color w:val="auto"/>
                <w:w w:val="93"/>
              </w:rPr>
              <w:t>Three Months</w:t>
            </w:r>
          </w:p>
        </w:tc>
        <w:tc>
          <w:tcPr>
            <w:tcW w:w="78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3660" w:type="dxa"/>
            <w:vAlign w:val="bottom"/>
            <w:gridSpan w:val="3"/>
          </w:tcPr>
          <w:p>
            <w:pPr>
              <w:ind w:left="28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1620" w:type="dxa"/>
            <w:vAlign w:val="bottom"/>
            <w:gridSpan w:val="3"/>
          </w:tcPr>
          <w:p>
            <w:pPr>
              <w:jc w:val="center"/>
              <w:ind w:left="679"/>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2005</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Rooms</w:t>
            </w:r>
          </w:p>
        </w:tc>
        <w:tc>
          <w:tcPr>
            <w:tcW w:w="3000" w:type="dxa"/>
            <w:vAlign w:val="bottom"/>
            <w:gridSpan w:val="2"/>
            <w:shd w:val="clear" w:color="auto" w:fill="CCEEFF"/>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Food &amp; beverage</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52705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79" w:lineRule="exact"/>
        <w:rPr>
          <w:sz w:val="20"/>
          <w:szCs w:val="20"/>
          <w:color w:val="auto"/>
        </w:rPr>
      </w:pPr>
    </w:p>
    <w:p>
      <w:pPr>
        <w:ind w:right="200" w:firstLine="456"/>
        <w:spacing w:after="0" w:line="287" w:lineRule="auto"/>
        <w:rPr>
          <w:sz w:val="20"/>
          <w:szCs w:val="20"/>
          <w:color w:val="auto"/>
        </w:rPr>
      </w:pPr>
      <w:r>
        <w:rPr>
          <w:rFonts w:ascii="Times New Roman" w:cs="Times New Roman" w:eastAsia="Times New Roman" w:hAnsi="Times New Roman"/>
          <w:sz w:val="16"/>
          <w:szCs w:val="16"/>
          <w:color w:val="auto"/>
        </w:rPr>
        <w:t>The Company expenses advertising costs the first time the advertising runs. Advertising expenses incurred in development periods are included in preopening expenses. Since the opening of Wynn Las Vegas on April 28, 2005, advertising costs relating to Wynn Las Vegas have been included in general and administrative expenses, while any advertising expenses relating to Encore would be included in preopening expenses. Total advertising expenses were</w:t>
      </w:r>
    </w:p>
    <w:p>
      <w:pPr>
        <w:spacing w:after="0" w:line="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$3.2 million and $14.2 million, respectively, for the three and nine months ended September 30, 2005. Advertising expenses were $736,000 and $1.8 million, respectively, for the three and nine months ended September 30, 2004.</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7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December 2004, the Financial Accounting Standards Board (“FASB”) issued Statement of Financial Accounting Standards (“SFAS”) No. 123(R), “Share Based Payment.” SFAS No. 123(R) is a revision of SFAS No. 123, “Accounting for Stock-Based Compensation” and supercedes Accounting Principles Board (“APB”) Opinion No. 25, “Accounting for Stock Issued to Employees,” and related interpretations. This statement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This statement, according to SEC rule, as amended, is effective January 1, 2006. The Company is currently evaluating the methodology to be used in measuring the fair value of stock-based compensation awards, as well as the impact that adoption of this statement will have on its consolidated financial position and results of operations.</w:t>
      </w:r>
    </w:p>
    <w:p>
      <w:pPr>
        <w:spacing w:after="0" w:line="128"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In May 2005, FASB issued SFAS No. 154,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SFAS No. 154 requires retrospective application to prior periods’ financial statements of changes in accounting principle. It also requires that the new accounting principle be applied to the balances of assets and liabilities as of the beginning of the earliest period for which retrospective application is practicable and that a corresponding adjustment be made to the opening balance of retained earnings for that period rather than being reported in an income statement. The statement will be effective for accounting changes and corrections of errors made in fiscal years beginning after December 15, 2005. The Company does not expect the adoption of SFAS No. 154 to have a material effect on its consolidated financial position or results of operations.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Employee Stock-Based Compensation</w:t>
      </w:r>
    </w:p>
    <w:p>
      <w:pPr>
        <w:spacing w:after="0" w:line="7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Company applies the provisions of Emerging Issues Task Force (“EITF”) 00-23, “Options Granted to Employees of Entities under Common Control” and records the value of equity instruments granted by Wynn Resorts to employees of the Company in the Company’s consolidated financial statements as a capital contribution.</w:t>
      </w:r>
    </w:p>
    <w:p>
      <w:pPr>
        <w:spacing w:after="0" w:line="11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As permitted by SFAS No. 148, “Accounting for Stock-Based Compensation – Transition and Disclosure, an amendment of SFAS No. 123,” the Company continues to apply the provisions of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 value recognition provisions of SFAS No. 123 to stock-based employee compensation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20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0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as reported</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$(3,931)</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0"/>
              </w:rPr>
              <w:t>$ (12,470)</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0"/>
              </w:rPr>
              <w:t>$ (55,702)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(54,270)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Less: total stock-based employee compensation determined under the fair-value based method</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 all awards</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(1,341)</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(814)</w:t>
            </w:r>
          </w:p>
        </w:tc>
        <w:tc>
          <w:tcPr>
            <w:tcW w:w="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(3,362)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Proforma net loss</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$(5,272)</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0"/>
              </w:rPr>
              <w:t>$ (13,284)</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0"/>
              </w:rPr>
              <w:t>$ (59,064)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(56,468)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jc w:val="center"/>
        <w:ind w:right="9180"/>
        <w:spacing w:after="0"/>
        <w:rPr>
          <w:sz w:val="20"/>
          <w:szCs w:val="20"/>
          <w:color w:val="auto"/>
        </w:rPr>
      </w:pPr>
      <w:r>
        <w:rPr>
          <w:rFonts w:ascii="Times New Roman" w:cs="Times New Roman" w:eastAsia="Times New Roman" w:hAnsi="Times New Roman"/>
          <w:sz w:val="16"/>
          <w:szCs w:val="16"/>
          <w:b w:val="1"/>
          <w:bCs w:val="1"/>
          <w:color w:val="auto"/>
        </w:rPr>
        <w:t>4. Related Party Transactions</w:t>
      </w:r>
    </w:p>
    <w:p>
      <w:pPr>
        <w:spacing w:after="0" w:line="100" w:lineRule="exact"/>
        <w:rPr>
          <w:sz w:val="20"/>
          <w:szCs w:val="20"/>
          <w:color w:val="auto"/>
        </w:rPr>
      </w:pPr>
    </w:p>
    <w:p>
      <w:pPr>
        <w:jc w:val="center"/>
        <w:ind w:right="9200"/>
        <w:spacing w:after="0"/>
        <w:rPr>
          <w:sz w:val="20"/>
          <w:szCs w:val="20"/>
          <w:color w:val="auto"/>
        </w:rPr>
      </w:pPr>
      <w:r>
        <w:rPr>
          <w:rFonts w:ascii="Times New Roman" w:cs="Times New Roman" w:eastAsia="Times New Roman" w:hAnsi="Times New Roman"/>
          <w:sz w:val="18"/>
          <w:szCs w:val="18"/>
          <w:i w:val="1"/>
          <w:iCs w:val="1"/>
          <w:color w:val="auto"/>
        </w:rPr>
        <w:t>Amounts Due to Officers</w:t>
      </w:r>
    </w:p>
    <w:p>
      <w:pPr>
        <w:spacing w:after="0" w:line="79" w:lineRule="exact"/>
        <w:rPr>
          <w:sz w:val="20"/>
          <w:szCs w:val="20"/>
          <w:color w:val="auto"/>
        </w:rPr>
      </w:pPr>
    </w:p>
    <w:p>
      <w:pPr>
        <w:ind w:right="180" w:firstLine="456"/>
        <w:spacing w:after="0" w:line="301" w:lineRule="auto"/>
        <w:rPr>
          <w:sz w:val="20"/>
          <w:szCs w:val="20"/>
          <w:color w:val="auto"/>
        </w:rPr>
      </w:pPr>
      <w:r>
        <w:rPr>
          <w:rFonts w:ascii="Times New Roman" w:cs="Times New Roman" w:eastAsia="Times New Roman" w:hAnsi="Times New Roman"/>
          <w:sz w:val="16"/>
          <w:szCs w:val="16"/>
          <w:color w:val="auto"/>
        </w:rPr>
        <w:t>The Company periodically provides services to Stephen A. Wynn, Chairman of the Board of Directors and Chief Executive Officer (“Mr. Wynn”), and certain other officers of the Company, including the personal use of corporate aircraft and household employees, construction work and other personal services. Mr. Wynn and other officers have deposits with the Company to prepay any such items, which are replenished on an ongoing basis as needed. At September 30, 2005 and December 31, 2004, the Company’s net liability to Mr. Wynn and other officers was approximately $22,000 and $71,000, respectively.</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Wynn Collection</w:t>
      </w:r>
    </w:p>
    <w:p>
      <w:pPr>
        <w:spacing w:after="0" w:line="79" w:lineRule="exact"/>
        <w:rPr>
          <w:sz w:val="20"/>
          <w:szCs w:val="20"/>
          <w:color w:val="auto"/>
        </w:rPr>
      </w:pPr>
    </w:p>
    <w:p>
      <w:pPr>
        <w:ind w:right="240" w:firstLine="456"/>
        <w:spacing w:after="0" w:line="253" w:lineRule="auto"/>
        <w:rPr>
          <w:sz w:val="20"/>
          <w:szCs w:val="20"/>
          <w:color w:val="auto"/>
        </w:rPr>
      </w:pPr>
      <w:r>
        <w:rPr>
          <w:rFonts w:ascii="Times New Roman" w:cs="Times New Roman" w:eastAsia="Times New Roman" w:hAnsi="Times New Roman"/>
          <w:sz w:val="18"/>
          <w:szCs w:val="18"/>
          <w:color w:val="auto"/>
        </w:rPr>
        <w:t>On April 28, 2005, the Company opened a gallery displaying The Wynn Collection, a collection of fine art owned by Mr. Wynn and his wife, Elaine P. Wynn (“Mrs. Wynn”), who is also a director of Wynn Resorts. From April 28, 2005 through June 29, 2005, Mr. and Mrs. Wynn leased The Wynn Collection to the Company for an annual fee of one dollar ($1). The Company retained all revenues from the public display of The Wynn Collection and the related merchandising revenues and was responsible for all the expenses incurred in exhibiting and safeguarding the collection. On June 30, 2005, the terms of the Art Rental and Licensing Agreement (the “Art Agreement”) were amended. Under the terms of the new Art Agreement Mr. and Mrs. Wynn lease The Wynn Collection to Wynn Gallery, LLC, a subsidiary of Wynn Resorts, through June 30, 2015, for an annual fee of one dollar ($1). Wynn Gallery, LLC is entitled to retain all revenues from the public display of The Wynn Collection and the related merchandising revenues, and is responsible for all expenses incurred in exhibiting and safeguarding The Wynn Collection, including the cost of insurance (including terrorism insurance) and taxes relating to the rental of The Wynn Collection. After specified notice periods, Wynn Gallery, LLC or Mr. and Mrs. Wynn may terminate the lease. Subject to certain notice restrictions, Mr. and Mrs. Wynn have the right to remove or replace any or all of the works of art displayed in the art gallery.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Furthermore, under an Art Gallery Lease, Wynn Gallery, LLC leases from Wynn Las Vegas, LLC, the space in the Wynn Las Vegas casino resort in which The Wynn Collection is displayed. The maximum term of the lease is ten years, and monthly rent is $11,342 (the “Base Rent”) plus 50% of the net profits of the art gallery to the extent such amount exceeds the Base Rent. In addition, under the Art Gallery Lease, Wynn Las Vegas, LLC will provide certain services to Wynn Gallery, LLC in connection with the operation of the art gallery, including utilities, cleaning, pest control, personnel services and insurance coverage. In consideration for these services, Wynn Gallery, LLC will pay Wynn Las Vegas, LLC an amount equal to its out-of-pocket expenses incurred in providing such services plus a fee equal to 5% of such expenses.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“Wynn” Surname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August 6, 2004, Holdings entered into agreements with Mr. Wynn that confirm and clarify the Holdings’ rights to use the “Wynn” name and</w:t>
      </w:r>
    </w:p>
    <w:p>
      <w:pPr>
        <w:spacing w:after="0" w:line="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Mr. Wynn’s persona in connection with its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On December 14, 2004, the Company and Holdings entered into a license agreement relating to the Company’s use of Mr. Wynn’s name and persona.</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Villa Suite Lease</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Effective July 1, 2005, Mr. and Mrs. Wynn lease from year to year a villa suite in the Wynn Las Vegas resort as their personal residence. Rent is determined each year by the Audit Committee of the Board of Directors of Wynn Resorts (the “Audit Committee”), and is based on the fair market value of the use of the suite accommodations. Based on a third-party appraisal, the Audit Committee set the rental for the first lease year at $580,000. All services for, and maintenance of, the suite are included in the rental, with certain exceptions.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Note Receivable from Wynn Resorts, Limited</w:t>
      </w:r>
    </w:p>
    <w:p>
      <w:pPr>
        <w:spacing w:after="0" w:line="79"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On August 15, 2005, the Company borrowed $80.0 million under its revolving credit facility. The proceeds were loaned to Wynn Resorts as part of the financing of Wynn Resorts’ casino resort facility currently under construction in the Macau Special Administrative Region of the People’s Republic of China (“Macau”), known as “Wynn Macau”. Interest is payable semi-annually at 7.5% per annum. Unpaid principal and interest is due at maturity on August 15, 2012.</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Amounts Due to Affiliates</w:t>
      </w:r>
    </w:p>
    <w:p>
      <w:pPr>
        <w:spacing w:after="0" w:line="7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As of September 30, 2005, the Company’s net due to affiliates was primarily comprised of construction payables of $24.3 million, construction retention of $26.5 million, a management fee of $6.8 million (equal to 1.5% of revenues and payable upon meeting certain leverage ratios as specified in the documents governing the Company’s credit facilities) and other operating liabilities (primarily corporate allocations discussed below) of $11.8 million, respectively. As of December 31, 2004, the Company’s net due to affiliates was primarily comprised of construction payables of $64.4 million, construction retention of $58.7 million and other operating liabilities of $18.7 million.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Corporate Allocations</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During the three and nine month periods ended September 30, 2005 and 2004, the accompanying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The allocation methods include specific identification, relative cost, square footage and headcount. However, Wynn Resorts maintains corporate offices at Wynn Las Vegas without charge from the Company. The Company intends to settle these corporate allocation charges with Wynn Resorts on a periodic basis.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Charges and Other</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charges and other for the three and nine month periods ended September 30, 2005 and 2004, consist of the following (amounts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160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6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8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3"/>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160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60" w:type="dxa"/>
            <w:vAlign w:val="bottom"/>
          </w:tcPr>
          <w:p>
            <w:pPr>
              <w:spacing w:after="0"/>
              <w:rPr>
                <w:sz w:val="22"/>
                <w:szCs w:val="22"/>
                <w:color w:val="auto"/>
              </w:rPr>
            </w:pPr>
          </w:p>
        </w:tc>
        <w:tc>
          <w:tcPr>
            <w:tcW w:w="5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340" w:type="dxa"/>
            <w:vAlign w:val="bottom"/>
          </w:tcPr>
          <w:p>
            <w:pPr>
              <w:spacing w:after="0"/>
              <w:rPr>
                <w:sz w:val="22"/>
                <w:szCs w:val="22"/>
                <w:color w:val="auto"/>
              </w:rPr>
            </w:pPr>
          </w:p>
        </w:tc>
        <w:tc>
          <w:tcPr>
            <w:tcW w:w="5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office abandonment charge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$3,070</w:t>
            </w:r>
          </w:p>
        </w:tc>
        <w:tc>
          <w:tcPr>
            <w:tcW w:w="3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$3,070</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 to be disposed of</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Loss from incidental operations</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732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911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property charges and other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$5,936</w:t>
            </w:r>
          </w:p>
        </w:tc>
        <w:tc>
          <w:tcPr>
            <w:tcW w:w="3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$6,047</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1,461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3558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as of September 30, 2005 and December 31, 2004, consist of the following (amounts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00" w:type="dxa"/>
            <w:vAlign w:val="bottom"/>
          </w:tcPr>
          <w:p>
            <w:pPr>
              <w:spacing w:after="0"/>
              <w:rPr>
                <w:sz w:val="13"/>
                <w:szCs w:val="13"/>
                <w:color w:val="auto"/>
              </w:rPr>
            </w:pPr>
          </w:p>
        </w:tc>
        <w:tc>
          <w:tcPr>
            <w:tcW w:w="11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20" w:type="dxa"/>
            <w:vAlign w:val="bottom"/>
          </w:tcPr>
          <w:p>
            <w:pPr>
              <w:spacing w:after="0"/>
              <w:rPr>
                <w:sz w:val="13"/>
                <w:szCs w:val="13"/>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598,929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1,159,170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Airplanes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575,982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1,448,328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2,395,027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1,858,522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(60,028)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2,334,999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1,854,882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56134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1340" cy="29845"/>
                    </a:xfrm>
                    <a:prstGeom prst="rect">
                      <a:avLst/>
                    </a:prstGeom>
                    <a:noFill/>
                  </pic:spPr>
                </pic:pic>
              </a:graphicData>
            </a:graphic>
          </wp:anchor>
        </w:drawing>
      </w:r>
    </w:p>
    <w:p>
      <w:pPr>
        <w:spacing w:after="0" w:line="219"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Construction in progress includes interest and other costs capitalized in conjunction with the Wynn Las Vegas and Encore projects. Capitalization of interest and other costs relating to Wynn Las Vegas ceased upon completion and opening of Wynn Las Vegas; however, costs, including interest, relating to the Encore project will continue to be capitalized. In addition, costs related to periodic enhancements and refinements of Wynn Las Vegas, including interest, are recorded as construction in progress until related work is completed and placed into use at the property.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debt as of September 30, 2005 and December 31, 2004, consists of the following (amounts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3"/>
                <w:szCs w:val="13"/>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First Mortgage Notes, due December 1, 2014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6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$400.0 million Delay Draw Term Loan Facility due December 14, 2011; Interest at LIBOR plus 2.125% (approximately</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5.985% and 4.575%, respectively)</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$600.0 million Revolving Credit Facility due December 14, 2009; Interest at LIBOR plus 2.25% (approximately 6.11%)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 Aircraft due May 24, 2010; interest at LIBOR plus 2.375% (approximately 5.865%)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12% Second Mortgage Notes, net of original issue discount of approximately $463,000 and $531,000, respectively, due</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November 1, 2010; effective interest at approximately 12.9%</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1,834,429</w:t>
            </w:r>
          </w:p>
        </w:tc>
        <w:tc>
          <w:tcPr>
            <w:tcW w:w="6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 Credit Facilities</w:t>
      </w:r>
    </w:p>
    <w:p>
      <w:pPr>
        <w:spacing w:after="0" w:line="79" w:lineRule="exact"/>
        <w:rPr>
          <w:sz w:val="20"/>
          <w:szCs w:val="20"/>
          <w:color w:val="auto"/>
        </w:rPr>
      </w:pPr>
    </w:p>
    <w:p>
      <w:pPr>
        <w:ind w:right="220" w:firstLine="456"/>
        <w:spacing w:after="0" w:line="339" w:lineRule="auto"/>
        <w:rPr>
          <w:sz w:val="20"/>
          <w:szCs w:val="20"/>
          <w:color w:val="auto"/>
        </w:rPr>
      </w:pPr>
      <w:r>
        <w:rPr>
          <w:rFonts w:ascii="Times New Roman" w:cs="Times New Roman" w:eastAsia="Times New Roman" w:hAnsi="Times New Roman"/>
          <w:sz w:val="16"/>
          <w:szCs w:val="16"/>
          <w:color w:val="auto"/>
        </w:rPr>
        <w:t>The Company borrowed the remaining $373.4 million available under its delay draw term loan facility during the first quarter of 2005, as required under the agreements governing its credit facilities. The total $400.0 million of proceeds funded a portion of the total cost of the construction of Wynn Las Vegas.</w:t>
      </w:r>
    </w:p>
    <w:p>
      <w:pPr>
        <w:spacing w:after="0" w:line="61"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As originally intended, on August 15, 2005 The Company borrowed $80.0 million of the $600.0 million available under its revolving credit facility to provide a portion of the financing for Wynn Macau. Wynn Las Vegas, LLC also pays, quarterly in arrears, 0.75% per annum on unborrowed amounts available under the revolving credit facility.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2005, the Company is in compliance with all of the covenants governing its credit facilities.</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Note Payable - Aircraft</w:t>
      </w:r>
    </w:p>
    <w:p>
      <w:pPr>
        <w:spacing w:after="0" w:line="7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On May 24, 2005, the Company borrowed an aggregate amount of $44.75 million under term loans which terminate and are payable in full on May 24, 2010. The term loans are secured by a first priority security interest in the Company’s corporate aircraft. Principal and interest is payable quarterly, and interest is calculated at the London Interbank Offered Rate (“LIBOR”) plus a margin of 2.375%. In addition to scheduled amortization payments, the Company is required to prepay the loans if certain events of loss with respect to the aircraft occur. Beginning on December 31, 2006, the Company may prepay all or any portion of the loans subject to a minimum prepayment of $10.0 million.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 Interest Rate Swaps</w:t>
      </w:r>
    </w:p>
    <w:p>
      <w:pPr>
        <w:spacing w:after="0" w:line="79"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On December 14, 2004, the Company terminated two interest rate swaps. As a result, it received approximately $9.6 million in settlement of the related assets, which is being amortized from accumulated other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comprehensive income to reduce interest expense over the original contract life of the two interest rate swaps. Approximately $1.2 million and $3.6 million was amortized against interest expense during the three and nine months ended September 30, 2005.</w:t>
      </w:r>
    </w:p>
    <w:p>
      <w:pPr>
        <w:spacing w:after="0" w:line="10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Also on December 14, 2004, the Company entered into two new interest rate swap arrangements to hedge the underlying interest rate risk on the $400.0 million of term loan borrowings outstanding under the new credit facilities, which bear interest at LIBOR plus 2.125%. Under each of these two new interest rate swap arrangements, the Company receives payments at a variable rate of LIBOR and pays a fixed rate of 3.793% on the $200 million notional amount set forth in each of the swap instruments through December 2008. The interest rate swaps are expected to be effective as hedging instruments as long as sufficient term loan borrowings are outstanding, and effectively fix the interest rate on these borrowings at approximately 5.918%. Any ineffectiveness will increase the Company’s recorded interest expense in the consolidated financial statements.</w:t>
      </w:r>
    </w:p>
    <w:p>
      <w:pPr>
        <w:spacing w:after="0" w:line="126" w:lineRule="exact"/>
        <w:rPr>
          <w:sz w:val="20"/>
          <w:szCs w:val="20"/>
          <w:color w:val="auto"/>
        </w:rPr>
      </w:pPr>
    </w:p>
    <w:p>
      <w:pPr>
        <w:ind w:right="280" w:firstLine="456"/>
        <w:spacing w:after="0" w:line="255" w:lineRule="auto"/>
        <w:rPr>
          <w:sz w:val="20"/>
          <w:szCs w:val="20"/>
          <w:color w:val="auto"/>
        </w:rPr>
      </w:pPr>
      <w:r>
        <w:rPr>
          <w:rFonts w:ascii="Times New Roman" w:cs="Times New Roman" w:eastAsia="Times New Roman" w:hAnsi="Times New Roman"/>
          <w:sz w:val="18"/>
          <w:szCs w:val="18"/>
          <w:color w:val="auto"/>
        </w:rPr>
        <w:t>As of September 30, 2005, the Company recorded in other assets the fair value of the net effect of the two new interest rate swaps of approximately $8.6 million, an increase of $8.0 million compared to the value of $583,000 at December 31, 2004. Because there has been no ineffectiveness in the hedging relationship, the corresponding change in fair value of equal amount is reported in other comprehensive income.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124" w:lineRule="exact"/>
        <w:rPr>
          <w:sz w:val="20"/>
          <w:szCs w:val="20"/>
          <w:color w:val="auto"/>
        </w:rPr>
      </w:pPr>
    </w:p>
    <w:p>
      <w:pPr>
        <w:ind w:left="240" w:right="8740" w:hanging="232"/>
        <w:spacing w:after="0" w:line="328" w:lineRule="auto"/>
        <w:tabs>
          <w:tab w:leader="none" w:pos="18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Wynn Las Vegas</w:t>
      </w:r>
    </w:p>
    <w:p>
      <w:pPr>
        <w:spacing w:after="0" w:line="1" w:lineRule="exact"/>
        <w:rPr>
          <w:sz w:val="20"/>
          <w:szCs w:val="20"/>
          <w:color w:val="auto"/>
        </w:rPr>
      </w:pPr>
    </w:p>
    <w:p>
      <w:pPr>
        <w:ind w:right="1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Construction. </w:t>
      </w:r>
      <w:r>
        <w:rPr>
          <w:rFonts w:ascii="Times New Roman" w:cs="Times New Roman" w:eastAsia="Times New Roman" w:hAnsi="Times New Roman"/>
          <w:sz w:val="18"/>
          <w:szCs w:val="18"/>
          <w:color w:val="auto"/>
        </w:rPr>
        <w:t>On April 28, 2005, Wynn Las Vegas opened to the public. The total project cost is expected to be in the range of $2.72 to $2.75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consistent with large-scale construction projects, determination of the final Wynn Las Vegas project cost is subject to a complete accounting, which the Company expects to occur in the fourth quarter of 2005.</w:t>
      </w:r>
    </w:p>
    <w:p>
      <w:pPr>
        <w:spacing w:after="0" w:line="11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Through September 30, 2005, the Company had funded approximately $2.7 billion of Wynn Las Vegas project costs. As of September 30, 2005, the Company had certain restricted cash balances for Wynn Las Vegas, including $30.0 million of a completion guarantee account (which must be retained for Encore for a completion guarantee if the budget, plans and specifications for Encore are approved) and a $30.0 million liquidity reserve, and availability under its credit facilities. Such balances and availability will be sufficient to pay the final project costs of Wynn Las Vegas.</w:t>
      </w:r>
    </w:p>
    <w:p>
      <w:pPr>
        <w:spacing w:after="0" w:line="121"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Encore Development. </w:t>
      </w:r>
      <w:r>
        <w:rPr>
          <w:rFonts w:ascii="Times New Roman" w:cs="Times New Roman" w:eastAsia="Times New Roman" w:hAnsi="Times New Roman"/>
          <w:sz w:val="18"/>
          <w:szCs w:val="18"/>
          <w:color w:val="auto"/>
        </w:rPr>
        <w:t>Due to the strong demand for Wynn Las Vegas, the continued strength in the Las Vegas market, and the Company’s desire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maximize the potential of its substantial real estate assets, the Company continues to evaluate Encore as part of its overall master plan. As a result, the Company has refined Encore to feature an approximately 2,000-room hotel tower fully integrated with Wynn Las Vegas, consisting of approximately 150 suites and approximately 1,850 guest rooms. Encore also is expected to include additional casino gaming and entertainment venues, restaurants, nightclubs, swimming pools, a spa and salon, convention and meeting space, and retail outlets. The Company expects Encore to open in the second half of 2008.</w:t>
      </w:r>
    </w:p>
    <w:p>
      <w:pPr>
        <w:spacing w:after="0" w:line="123" w:lineRule="exact"/>
        <w:rPr>
          <w:sz w:val="20"/>
          <w:szCs w:val="20"/>
          <w:color w:val="auto"/>
        </w:rPr>
      </w:pPr>
    </w:p>
    <w:p>
      <w:pPr>
        <w:ind w:right="60" w:firstLine="456"/>
        <w:spacing w:after="0" w:line="231" w:lineRule="auto"/>
        <w:rPr>
          <w:sz w:val="20"/>
          <w:szCs w:val="20"/>
          <w:color w:val="auto"/>
        </w:rPr>
      </w:pPr>
      <w:r>
        <w:rPr>
          <w:rFonts w:ascii="Times New Roman" w:cs="Times New Roman" w:eastAsia="Times New Roman" w:hAnsi="Times New Roman"/>
          <w:sz w:val="18"/>
          <w:szCs w:val="18"/>
          <w:color w:val="auto"/>
        </w:rPr>
        <w:t xml:space="preserve">In June 2005, the Company received the necessary consents from the holders of its 6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First Mortgage Notes due 2014 (“First Mortgage Notes”) and the Company’s lenders to extend the deadline for approval of the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budget, plans and specifications for Encore (the “Encore Budget, Plans and Specifications”) from June 30, 2005 to December 31, 2005 (which may be further extended to March 31, 2006 upon receiving further approvals), and to extend the outside date for completion of Encore from March 31, 2008 to December 31, 2008.</w:t>
      </w:r>
    </w:p>
    <w:p>
      <w:pPr>
        <w:spacing w:after="0" w:line="11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Although the budget has not been finalized and must be approved by Wynn Resorts’ Board of Directors, the Company expects that the remaining proceeds from the First Mortgage Notes, together with availability under its existing credit facilities and cash flow from the operations of Wynn Las Vegas, will be sufficient to pay for expenditures of up to $1.4 billion on the Encore project without incurring additional debt or receiving additional capital contributions. The availability of notes proceeds and funds under the credit agreement in excess of $100.0 million is subject to approval of the Encore Budget, Plans and Specifications by a majority of arrangers or lenders. Once the Company has finalized the scope and plans for Encore, it will seek the necessary approvals from its lenders.</w:t>
      </w:r>
    </w:p>
    <w:p>
      <w:pPr>
        <w:spacing w:after="0" w:line="124"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Entertainment Productions. </w:t>
      </w:r>
      <w:r>
        <w:rPr>
          <w:rFonts w:ascii="Times New Roman" w:cs="Times New Roman" w:eastAsia="Times New Roman" w:hAnsi="Times New Roman"/>
          <w:sz w:val="18"/>
          <w:szCs w:val="18"/>
          <w:color w:val="auto"/>
        </w:rPr>
        <w:t>The Company entered into long-term agreements for the licensing, creation, development and production of “Le Rêve, A Small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 of Imperfect Dreams,” the water-based production show, which opened concurrently with Wynn Las Vegas on April 28, 2005.</w:t>
      </w:r>
    </w:p>
    <w:p>
      <w:pPr>
        <w:spacing w:after="0" w:line="105" w:lineRule="exact"/>
        <w:rPr>
          <w:sz w:val="20"/>
          <w:szCs w:val="20"/>
          <w:color w:val="auto"/>
        </w:rPr>
      </w:pPr>
    </w:p>
    <w:p>
      <w:pPr>
        <w:jc w:val="both"/>
        <w:ind w:right="740" w:firstLine="456"/>
        <w:spacing w:after="0" w:line="262" w:lineRule="auto"/>
        <w:rPr>
          <w:sz w:val="20"/>
          <w:szCs w:val="20"/>
          <w:color w:val="auto"/>
        </w:rPr>
      </w:pPr>
      <w:r>
        <w:rPr>
          <w:rFonts w:ascii="Times New Roman" w:cs="Times New Roman" w:eastAsia="Times New Roman" w:hAnsi="Times New Roman"/>
          <w:sz w:val="18"/>
          <w:szCs w:val="18"/>
          <w:color w:val="auto"/>
        </w:rPr>
        <w:t>The Company also purchased the rights to stage “Avenue Q,” the Tony Award-winning musical production and entered into a production services agreement for all production services related to the show. In August 2005, “Avenue Q” opened to the public in Wynn Las Vegas’ second showroom, the Broadway Theater.</w:t>
      </w:r>
    </w:p>
    <w:p>
      <w:pPr>
        <w:spacing w:after="0" w:line="119"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Under the agreements relating to “Le Rêve” and “Avenue Q,” the Company is required to make payments to the creators and producers of each show based upon certain criteria including net ticket sales or profits.</w:t>
      </w:r>
    </w:p>
    <w:p>
      <w:pPr>
        <w:spacing w:after="0" w:line="10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On July 20, 2005, the Company entered into an agreement with Spamalot, LLC to produce and present “Monty Python’s Spamalot” in a new theater to be constructed at Wynn Las Vegas. The new theater is expected to be adjacent to the existing Wynn and Broadway theaters and will include a retail store, food and beverage facilities and a themed “Spamalot Environment.” Under the agreement, the Company is responsible for construction of the theater and related facilities, as well as advancing the initial production costs. The Company expects that these costs, together with certain rights fees, will exceed $50 million. The construction cost and completion date for the theater, and the opening date for the production have not yet been determined.</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7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Company is the lessor under leases for five retail outlets (including a Ferrari and Maserati automobile dealership operated through a joint venture 50% owned indirectly by Wynn Las Vegas, LLC and a Brioni men’s clothing store operated through a joint venture 50% owned indirectly by Wynn Resorts) and entered into license and distribution agreements for six additional retail outlets. Each of these retail outlets opened concurrently with the opening of Wynn Las Vegas. In connection with these arrangements, Wynn Las Vegas provided some of the retail tenants an allowance for improvements. These improvement allowances were included in the budgeted costs to construct Wynn Las Vegas.</w:t>
      </w:r>
    </w:p>
    <w:p>
      <w:pPr>
        <w:spacing w:after="0" w:line="125"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Company is also the lessee under several leases for office space, warehouse facilities, the land underlying the Company’s aircraft hangar and certain office equipment.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Self-insurance</w:t>
      </w:r>
    </w:p>
    <w:p>
      <w:pPr>
        <w:spacing w:after="0" w:line="79"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Company and its subsidiaries are covered under a self-insured medical plan up to a maximum of $200,000 per year for each insured person. Amounts in excess of these thresholds are covered by the Company’s insurance programs, subject to customary policy limits.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has entered into employment agreements with several executive officers, other members of management and certain key employees. These agreements generally have three- to five-year terms, indicate a base salary,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does not have any material litigation as of September 30, 2005.</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Information</w:t>
      </w:r>
    </w:p>
    <w:p>
      <w:pPr>
        <w:spacing w:after="0" w:line="79"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The Company monitors its operations by reviewing the earnings before interest, taxes, depreciation and amortization for the Wynn Las Vegas casino resort, as adjusted for preopening expenses and certain other items (“Adjusted Property EBITDA”). Wynn Las Vegas opened on April 28, 2005. The Company currently operates only one segment. Following is the Company’s segmented operating results: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7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123,049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221,764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287,451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(36,266)</w:t>
            </w:r>
          </w:p>
        </w:tc>
        <w:tc>
          <w:tcPr>
            <w:tcW w:w="100" w:type="dxa"/>
            <w:vAlign w:val="bottom"/>
          </w:tcPr>
          <w:p>
            <w:pPr>
              <w:spacing w:after="0"/>
              <w:rPr>
                <w:sz w:val="19"/>
                <w:szCs w:val="19"/>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(61,200)</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251,185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Property EBITDA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Las Vegas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Preopening expenses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(11,356)</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(67,427)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(35,614)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(61,182)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Property charges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(5,936)</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Management fees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Corporate allocations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tcPr>
          <w:p>
            <w:pPr>
              <w:spacing w:after="0"/>
              <w:rPr>
                <w:sz w:val="18"/>
                <w:szCs w:val="18"/>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(51,309)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4"/>
              </w:rPr>
              <w:t>(12,958)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(148,342)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(30,367)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4"/>
              </w:rPr>
              <w:t>(12,958)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(16,402)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(30,367)</w:t>
            </w:r>
          </w:p>
        </w:tc>
        <w:tc>
          <w:tcPr>
            <w:tcW w:w="0" w:type="dxa"/>
            <w:vAlign w:val="bottom"/>
          </w:tcPr>
          <w:p>
            <w:pPr>
              <w:spacing w:after="0"/>
              <w:rPr>
                <w:sz w:val="1"/>
                <w:szCs w:val="1"/>
                <w:color w:val="auto"/>
              </w:rPr>
            </w:pPr>
          </w:p>
        </w:tc>
      </w:tr>
      <w:tr>
        <w:trPr>
          <w:trHeight w:val="28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non-operating costs and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488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(30,849)</w:t>
            </w:r>
          </w:p>
        </w:tc>
        <w:tc>
          <w:tcPr>
            <w:tcW w:w="100" w:type="dxa"/>
            <w:vAlign w:val="bottom"/>
          </w:tcPr>
          <w:p>
            <w:pPr>
              <w:spacing w:after="0"/>
              <w:rPr>
                <w:sz w:val="18"/>
                <w:szCs w:val="18"/>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(52,157)</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(25,628)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(25,827)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488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(39,300)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4"/>
              </w:rPr>
              <w:t>(12,470)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(55,702)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(54,270)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-3337560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-3337560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-3337560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-3337560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-3337560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-3337560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-3337560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-3337560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-3337560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-3337560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-3337560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-3337560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-172720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-172720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-172720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-172720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-172720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-172720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-172720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-172720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-172720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ind w:left="460" w:right="80" w:hanging="452"/>
        <w:spacing w:after="0" w:line="254"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earnings before interest, taxes, depreciation and amortization, preopening expenses, property charges and other, management fees, corporate allocations and other non operating income and expenses. Management uses Adjusted Property EBITDA as the primary measure of the operating performance of Wynn Las Vegas and to compare the operating performance of Wynn Las Vegas with those of its competitors. Adjusted Property EBITDA should not be construed as an alternative to operating income, as an indicator of the Company’s performance, as an alternative to cash flows from operating activities, as a measure of liquidity, or as any other measure determined in accordance with generally accepted accounting principles in the United States. The Company has significant uses of cash flows, including capital expenditures, preopening costs, interest payments and debt principal repayments, which are not reflected in Adjusted Property EBITDA. Also, other companies may calculate Adjusted Property EBITDA in a different manner than the Company.</w:t>
      </w:r>
    </w:p>
    <w:p>
      <w:pPr>
        <w:sectPr>
          <w:pgSz w:w="11900" w:h="16838" w:orient="portrait"/>
          <w:cols w:equalWidth="0" w:num="1">
            <w:col w:w="11420"/>
          </w:cols>
          <w:pgMar w:left="240" w:top="455"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both"/>
        <w:ind w:left="240" w:right="9680" w:hanging="232"/>
        <w:spacing w:after="0" w:line="371" w:lineRule="auto"/>
        <w:tabs>
          <w:tab w:leader="none" w:pos="275"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Subsequent Events </w:t>
      </w:r>
      <w:r>
        <w:rPr>
          <w:rFonts w:ascii="Times New Roman" w:cs="Times New Roman" w:eastAsia="Times New Roman" w:hAnsi="Times New Roman"/>
          <w:sz w:val="16"/>
          <w:szCs w:val="16"/>
          <w:i w:val="1"/>
          <w:iCs w:val="1"/>
          <w:color w:val="auto"/>
        </w:rPr>
        <w:t>Revolver Repayment</w:t>
      </w: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On October 24, 2005, the Company repaid the $80.0 million principal balance outstanding under its revolving credit facility. The amount that was repaid may be reborrowed.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Consolidating Financial Information of Guarantors and Issuers</w:t>
      </w:r>
    </w:p>
    <w:p>
      <w:pPr>
        <w:spacing w:after="0" w:line="79"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The following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September 30, 2005 and December 31, 2004, and for the three and nine months ended September 30, 2005 and 2004.</w:t>
      </w:r>
    </w:p>
    <w:p>
      <w:pPr>
        <w:spacing w:after="0" w:line="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45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CONSOLIDATING BALANCE SHEET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5"/>
                <w:szCs w:val="15"/>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6"/>
              </w:rPr>
              <w:t>Entries</w:t>
            </w: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207,666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59,816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55,396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33,355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14,606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370,839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261,341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Receivable from Wynn Resorts, Limited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80,767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4"/>
              </w:rPr>
              <w:t>2,166,576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168,423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2,334,999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rights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62,589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89,923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3,039,429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179,127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3,263,398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and construction payables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23,688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interest</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29,627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26,721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26,180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Customer deposits and other related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34,744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Due to affiliates</w:t>
            </w:r>
          </w:p>
        </w:tc>
        <w:tc>
          <w:tcPr>
            <w:tcW w:w="8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(116,174)</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130,247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24,786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130,671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4"/>
              </w:rPr>
              <w:t>1,789,679</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1,834,429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1,821,314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175,421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2,045,283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Contributed capital</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1,445,276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(12,530)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1,445,276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14,431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(241,592)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(8,824)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member’s equity</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1,218,115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1,218,115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3,039,429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179,127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3,263,398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-4048125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-4048125</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-4048125</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-4048125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-4048125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-4048125</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-4048125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-4048125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-4048125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-4048125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-4048125</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-4048125</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-4048125</wp:posOffset>
            </wp:positionV>
            <wp:extent cx="53594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-325755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-325755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-325755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-325755</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CONSOLIDATING BALANCE SHEET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00" w:type="dxa"/>
            <w:vAlign w:val="bottom"/>
          </w:tcPr>
          <w:p>
            <w:pPr>
              <w:spacing w:after="0"/>
              <w:rPr>
                <w:sz w:val="15"/>
                <w:szCs w:val="15"/>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25,692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115,301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106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144,934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228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613,246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1,692,228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162,654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1,854,882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Water rights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62,370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(7,426)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54,026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972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2,575,486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169,998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(7,426)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2,788,101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and construction payables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interest</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112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7,286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307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Customer deposits and other related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Due to affiliates</w:t>
            </w: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122,274</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154,334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507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4"/>
              </w:rPr>
              <w:t>1,336,175</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1,336,175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8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(192,550)</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163,560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1,298,819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164,067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1,511,434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Contributed capital</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1,452,550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(11,922)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1,452,550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(185,890)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member’s equity</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1,276,667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(7,426)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1,276,667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2,575,486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169,998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(7,426)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2,788,101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-4048125</wp:posOffset>
            </wp:positionV>
            <wp:extent cx="53594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-4048125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-4048125</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-4048125</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-4048125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-4048125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-4048125</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-4048125</wp:posOffset>
            </wp:positionV>
            <wp:extent cx="46736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-4048125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-4048125</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-4048125</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-325755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-325755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-325755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-325755</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Nonguarantor</w:t>
            </w:r>
          </w:p>
        </w:tc>
        <w:tc>
          <w:tcPr>
            <w:tcW w:w="48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9"/>
              </w:rPr>
              <w:t>Issuers</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1520" w:type="dxa"/>
            <w:vAlign w:val="bottom"/>
            <w:gridSpan w:val="2"/>
          </w:tcPr>
          <w:p>
            <w:pPr>
              <w:jc w:val="center"/>
              <w:ind w:left="13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123,049</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123,049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revenues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287,451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287,451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(36,266)</w:t>
            </w:r>
          </w:p>
        </w:tc>
        <w:tc>
          <w:tcPr>
            <w:tcW w:w="180" w:type="dxa"/>
            <w:vAlign w:val="bottom"/>
          </w:tcPr>
          <w:p>
            <w:pPr>
              <w:spacing w:after="0"/>
              <w:rPr>
                <w:sz w:val="19"/>
                <w:szCs w:val="19"/>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(36,266)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251,185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251,185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Pre-opening costs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228,828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706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229,534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(loss) from subsidiaries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(759)</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245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759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21,598</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759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380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(30,171)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(25,529)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380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20" w:type="dxa"/>
            <w:vAlign w:val="bottom"/>
            <w:gridSpan w:val="2"/>
            <w:shd w:val="clear" w:color="auto" w:fill="CCEEFF"/>
          </w:tcPr>
          <w:p>
            <w:pPr>
              <w:jc w:val="center"/>
              <w:ind w:left="13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(3,931)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380</w:t>
            </w:r>
          </w:p>
        </w:tc>
        <w:tc>
          <w:tcPr>
            <w:tcW w:w="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759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100" w:type="dxa"/>
            <w:vAlign w:val="bottom"/>
            <w:gridSpan w:val="3"/>
          </w:tcPr>
          <w:p>
            <w:pPr>
              <w:jc w:val="center"/>
              <w:ind w:left="712"/>
              <w:spacing w:after="0"/>
              <w:rPr>
                <w:sz w:val="20"/>
                <w:szCs w:val="20"/>
                <w:color w:val="auto"/>
              </w:rPr>
            </w:pPr>
            <w:r>
              <w:rPr>
                <w:rFonts w:ascii="Times New Roman" w:cs="Times New Roman" w:eastAsia="Times New Roman" w:hAnsi="Times New Roman"/>
                <w:sz w:val="18"/>
                <w:szCs w:val="18"/>
                <w:color w:val="auto"/>
                <w:w w:val="99"/>
              </w:rPr>
              <w:t>20</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-325755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-325755</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-325755</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-325755</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-325755</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-325755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Nonguarantor</w:t>
            </w:r>
          </w:p>
        </w:tc>
        <w:tc>
          <w:tcPr>
            <w:tcW w:w="56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revenues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00" w:type="dxa"/>
            <w:vAlign w:val="bottom"/>
          </w:tcPr>
          <w:p>
            <w:pPr>
              <w:spacing w:after="0"/>
              <w:rPr>
                <w:sz w:val="19"/>
                <w:szCs w:val="19"/>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460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409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671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732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(loss) from subsidiaries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557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4"/>
              </w:rPr>
              <w:t>(12,752)</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351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(12,958)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282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206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tcPr>
          <w:p>
            <w:pPr>
              <w:spacing w:after="0"/>
              <w:rPr>
                <w:sz w:val="19"/>
                <w:szCs w:val="19"/>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282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206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4"/>
              </w:rPr>
              <w:t>(12,470)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351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206</w:t>
            </w: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(12,470)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-325755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-325755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-325755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-325755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-325755</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Nonguarantor</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Eliminating</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24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$221,764</w:t>
            </w:r>
          </w:p>
        </w:tc>
        <w:tc>
          <w:tcPr>
            <w:tcW w:w="30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$221,764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109,266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revenues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2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(61,200)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(61,200)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95,669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76,184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Pre-opening costs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67,427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466,809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(loss) from subsidiaries</w:t>
            </w:r>
          </w:p>
        </w:tc>
        <w:tc>
          <w:tcPr>
            <w:tcW w:w="2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(16,394)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937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(51,227)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3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937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(55,702)</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937</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(55,702)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60" w:type="dxa"/>
            <w:vAlign w:val="bottom"/>
            <w:gridSpan w:val="2"/>
          </w:tcPr>
          <w:p>
            <w:pPr>
              <w:jc w:val="right"/>
              <w:ind w:right="442"/>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-325755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-325755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-325755</wp:posOffset>
            </wp:positionV>
            <wp:extent cx="48450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-325755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45847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Eliminating</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revenues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00" w:type="dxa"/>
            <w:vAlign w:val="bottom"/>
          </w:tcPr>
          <w:p>
            <w:pPr>
              <w:spacing w:after="0"/>
              <w:rPr>
                <w:sz w:val="19"/>
                <w:szCs w:val="19"/>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904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240</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561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(loss) from subsidiaries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4"/>
              </w:rPr>
              <w:t>(29,896)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(30,367)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471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4"/>
              </w:rPr>
              <w:t>(25,628)</w:t>
            </w:r>
          </w:p>
        </w:tc>
        <w:tc>
          <w:tcPr>
            <w:tcW w:w="180" w:type="dxa"/>
            <w:vAlign w:val="bottom"/>
          </w:tcPr>
          <w:p>
            <w:pPr>
              <w:spacing w:after="0"/>
              <w:rPr>
                <w:sz w:val="19"/>
                <w:szCs w:val="19"/>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(25,628)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4"/>
              </w:rPr>
              <w:t>(24,374)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471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4"/>
              </w:rPr>
              <w:t>(54,270)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475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(54,270)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-325755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-325755</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-325755</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-325755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-325755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CONSOLIDATING STATEMENTS OF CASH FLOWS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Guarantor</w:t>
            </w:r>
          </w:p>
        </w:tc>
        <w:tc>
          <w:tcPr>
            <w:tcW w:w="1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3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(55,702)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(2,833)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937</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1,896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(loss) to net cash (used in)</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and writeoff of deferred financing costs and OID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(income) loss from subsidiaries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Incidental operations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(66,007)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and Prepaid expenses</w:t>
            </w:r>
          </w:p>
        </w:tc>
        <w:tc>
          <w:tcPr>
            <w:tcW w:w="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(44,927)</w:t>
            </w:r>
          </w:p>
        </w:tc>
        <w:tc>
          <w:tcPr>
            <w:tcW w:w="1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937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 net of construction payables</w:t>
            </w:r>
          </w:p>
        </w:tc>
        <w:tc>
          <w:tcPr>
            <w:tcW w:w="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(621,099)</w:t>
            </w:r>
          </w:p>
        </w:tc>
        <w:tc>
          <w:tcPr>
            <w:tcW w:w="1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(8,572)</w:t>
            </w: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(629,671)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407,390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8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Note Receivable from Wynn Resorts, Ltd</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(80,767)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(24,873)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(to) from affiliates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(32,705)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80" w:type="dxa"/>
            <w:vAlign w:val="bottom"/>
          </w:tcPr>
          <w:p>
            <w:pPr>
              <w:spacing w:after="0"/>
              <w:rPr>
                <w:sz w:val="19"/>
                <w:szCs w:val="19"/>
                <w:color w:val="auto"/>
              </w:rPr>
            </w:pP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(297,928)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(43,787)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(342,652)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(19,000)</w:t>
            </w: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472,436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on long-term liabilities</w:t>
            </w:r>
          </w:p>
        </w:tc>
        <w:tc>
          <w:tcPr>
            <w:tcW w:w="8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(7,454)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445,982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181,974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207,666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-325755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-325755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-325755</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-325755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-325755</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-325755</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48450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 WYNN RESORTS, LIMITED)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CONSOLIDATING STATEMENTS OF CASH FLOWS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gridSpan w:val="3"/>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Guarantor</w:t>
            </w:r>
          </w:p>
        </w:tc>
        <w:tc>
          <w:tcPr>
            <w:tcW w:w="14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3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2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w w:val="96"/>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(54,270)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8"/>
              </w:rPr>
              <w:t>475</w:t>
            </w:r>
          </w:p>
        </w:tc>
        <w:tc>
          <w:tcPr>
            <w:tcW w:w="6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(loss) to net cash (used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 provided by operating activities:</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200"/>
              <w:spacing w:after="0" w:line="201" w:lineRule="exact"/>
              <w:rPr>
                <w:sz w:val="20"/>
                <w:szCs w:val="20"/>
                <w:color w:val="auto"/>
              </w:rPr>
            </w:pPr>
            <w:r>
              <w:rPr>
                <w:rFonts w:ascii="Times New Roman" w:cs="Times New Roman" w:eastAsia="Times New Roman" w:hAnsi="Times New Roman"/>
                <w:sz w:val="18"/>
                <w:szCs w:val="18"/>
                <w:color w:val="auto"/>
              </w:rPr>
              <w:t>Amortization of deferred financing costs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and OID</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19,534</w:t>
            </w: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Incidental operations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loss from subsidiaries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10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 and prepaid expenses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8,387</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(27,473)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475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 net of construction payables</w:t>
            </w:r>
          </w:p>
        </w:tc>
        <w:tc>
          <w:tcPr>
            <w:tcW w:w="10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w w:val="93"/>
              </w:rPr>
              <w:t>(572,054)</w:t>
            </w: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(46,570)</w:t>
            </w: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(618,624)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225,920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(23,712)</w:t>
            </w: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(to) from affiliates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200,742</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3"/>
              </w:rPr>
              <w:t>(169,104)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(1,767)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(171,346)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322,555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3"/>
              </w:rPr>
              <w:t>(122,420)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(122,420)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200,135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18,236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21,794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-325755</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-325755</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-325755</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-325755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-325755</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consolidated financial statements and the condensed notes thereto included elsewhere in this Quarterly Report on Form 10-Q. Unless the context otherwise requires, all references herein to the “Company,” “we,” “us” or “our,” or similar terms, refer to Wynn Las Vegas, LLC, a Nevada corporation and its consolidated subsidiaries, including for periods when the Company was named Hotel A, LLC.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79" w:lineRule="exact"/>
        <w:rPr>
          <w:sz w:val="20"/>
          <w:szCs w:val="20"/>
          <w:color w:val="auto"/>
        </w:rPr>
      </w:pPr>
    </w:p>
    <w:p>
      <w:pPr>
        <w:ind w:firstLine="456"/>
        <w:spacing w:after="0" w:line="285" w:lineRule="auto"/>
        <w:rPr>
          <w:sz w:val="20"/>
          <w:szCs w:val="20"/>
          <w:color w:val="auto"/>
        </w:rPr>
      </w:pPr>
      <w:r>
        <w:rPr>
          <w:rFonts w:ascii="Times New Roman" w:cs="Times New Roman" w:eastAsia="Times New Roman" w:hAnsi="Times New Roman"/>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conditions precedent to funding under the agreement governing the disbursement of the proceeds of certain of our debt offerings and borrowings under our credit facilities, competition in the casino/hotel and resorts industries, our intention to fund a substantial portion of the development and construction costs of Encore at Wynn Las Vegas with anticipated cash flows generated at our Wynn Las Vegas casino resort, new development and construction activities of competitors, our lack of operating history, our dependence on Stephen A. Wynn and existing management, our dependence on one property for all of our cash flow,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avian flu, or the impact of a natural disaster, such as the tsunami which struck southeast Asia in December 2004, may have on the travel and leisure industry, and the consequences of the war in Iraq and other military conflicts in the Middle East and any future security alerts and/or terrorist attacks. Further information on potential factors that could affect our financial condition, results of operations and business are included in our filings with the Securities and Exchange Commission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7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We are a developer, owner and operator of casino resorts. Wynn Las Vegas, our first casino resort in Las Vegas, Nevada, opened on April 28, 2005. Until the opening of Wynn Las Vegas, we were a development stage company.</w:t>
      </w:r>
    </w:p>
    <w:p>
      <w:pPr>
        <w:spacing w:after="0" w:line="106"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Wynn Las Vegas occupies approximately 217 acres of land fronting the Las Vegas Strip and utilizes approximately 18 additional acres across Sands Avenue for employee parking. The resort offers 2,716 rooms and suites, an approximately 111,000 square foot casino, 22 food and beverage outlets, an 18-hole golf course, approximately 223,000 square feet of meeting space, a Ferrari and Maserati automobile dealership and approximately 76,000 square feet of retail space. Efforts to further enhance and refine Wynn Las Vegas in response to market demands and customer preferences are ongoing.</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As part of our overall master plan, we continue to evaluate the previously announced expansion of Wynn Las Vegas, known as “Encore at Wynn Las Vegas” or “Encore.” As a result, we have refined Encore to currently feature an approximately 2,000-room hotel tower fully integrated with Wynn Las Vegas, consisting of approximately 150 suites and approximately 1,850 guest rooms as well as additional casino gaming and entertainment venues, restaurants, nightclubs, swimming pools, a spa and salon, convention and meeting space, and retail outlets. We expect Encore to open in the second half of 2008. As part of Encore, we are developing an additional theater to be called “The Grail Theater” and to be constructed adjacent to our existing Wynn and Broadway theaters at Wynn Las Vegas for the Tony Award winning musical, “Monty Python’s Spamalot”. The Grail Theater will include a retail store, food and beverage facilities and a themed “Spamalot Environment.” The construction cost and completion date for the theater, and the opening date for the production, have not yet been determined.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offer gaming, hotel accommodations, dining, entertainment, retail shopping, convention services and other amenities at Wynn Las Vegas. The quality of the non-gaming amenities combined with our goal of providing an unparalleled total resort experience to our guests is expected to drive a premium in our non-gaming revenues. Consequently, we believe that revenues from our gaming activities will comprise a lower percentage of our total revenues than for many of our competitors.</w:t>
      </w:r>
    </w:p>
    <w:p>
      <w:pPr>
        <w:spacing w:after="0" w:line="12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are currently reliant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w:t>
      </w:r>
    </w:p>
    <w:p>
      <w:pPr>
        <w:spacing w:after="0" w:line="123"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We opened Wynn Las Vegas on April 28, 2005 and operated the casino resort for 156 days during the nine-month period ended September 30, 2005. Prior to opening Wynn Las Vegas, we had not commenced operations, nor generated any significant revenues. Because the quarter ended September 30, 2005 is our first full quarter of operations (except for the </w:t>
      </w:r>
      <w:r>
        <w:rPr>
          <w:rFonts w:ascii="Times New Roman" w:cs="Times New Roman" w:eastAsia="Times New Roman" w:hAnsi="Times New Roman"/>
          <w:sz w:val="18"/>
          <w:szCs w:val="18"/>
          <w:i w:val="1"/>
          <w:iCs w:val="1"/>
          <w:color w:val="auto"/>
        </w:rPr>
        <w:t>Avenue Q</w:t>
      </w:r>
      <w:r>
        <w:rPr>
          <w:rFonts w:ascii="Times New Roman" w:cs="Times New Roman" w:eastAsia="Times New Roman" w:hAnsi="Times New Roman"/>
          <w:sz w:val="18"/>
          <w:szCs w:val="18"/>
          <w:color w:val="auto"/>
        </w:rPr>
        <w:t xml:space="preserve"> show in our Broadway Theater, which opened in late August 2005), we believe that our results of operations for the nine-month periods ended September 30, 2005 and 2004 are not indicative of future results.</w:t>
      </w:r>
    </w:p>
    <w:p>
      <w:pPr>
        <w:spacing w:after="0" w:line="123"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Our net loss for the three months ended September 30, 2005 was $3.9 million, which represents a $8.5 million or 68% decrease from the net loss of $12.5 million for the quarter ended September 30, 2004. Our net loss for the nine months ended September 30, 2005 was $55.7 million, which represents a $1.4 million or 3% increase from the net loss of $54.3 million for the nine months ended September 30, 2004.</w:t>
      </w:r>
    </w:p>
    <w:p>
      <w:pPr>
        <w:spacing w:after="0" w:line="11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expect that our preopening expenses, which were a significant contributor to the net losses incurred for the nine months ended September 30, 2005 and 2004, will decrease in the near term. We will no longer incur preopening expenses associated with Wynn Las Vegas (excluding Encore). However, preopening expenses relating to Encore will increase as the scope and plans for Encore are completed.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Financial results for the three and nine months ended September 30, 2005 compared to the three and nine months ended September 30, 2004.</w:t>
      </w:r>
    </w:p>
    <w:p>
      <w:pPr>
        <w:spacing w:after="0" w:line="16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our financial results and reconciles Wynn Las Vegas’ Adjusted Property EBITDA (as defined below) to our consolidated net loss for the periods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7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123,049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221,764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287,451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(36,266)</w:t>
            </w:r>
          </w:p>
        </w:tc>
        <w:tc>
          <w:tcPr>
            <w:tcW w:w="100" w:type="dxa"/>
            <w:vAlign w:val="bottom"/>
          </w:tcPr>
          <w:p>
            <w:pPr>
              <w:spacing w:after="0"/>
              <w:rPr>
                <w:sz w:val="19"/>
                <w:szCs w:val="19"/>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(61,200)</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251,185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Property EBITDA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Las Vegas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Preopening expenses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(11,356)</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(67,427)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(35,614)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(61,182)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Property charges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(5,936)</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Management fees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Corporate allocations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tcPr>
          <w:p>
            <w:pPr>
              <w:spacing w:after="0"/>
              <w:rPr>
                <w:sz w:val="18"/>
                <w:szCs w:val="18"/>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(51,309)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4"/>
              </w:rPr>
              <w:t>(12,958)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(148,342)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(30,367)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4"/>
              </w:rPr>
              <w:t>(12,958)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(16,402)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(30,367)</w:t>
            </w:r>
          </w:p>
        </w:tc>
        <w:tc>
          <w:tcPr>
            <w:tcW w:w="0" w:type="dxa"/>
            <w:vAlign w:val="bottom"/>
          </w:tcPr>
          <w:p>
            <w:pPr>
              <w:spacing w:after="0"/>
              <w:rPr>
                <w:sz w:val="1"/>
                <w:szCs w:val="1"/>
                <w:color w:val="auto"/>
              </w:rPr>
            </w:pPr>
          </w:p>
        </w:tc>
      </w:tr>
      <w:tr>
        <w:trPr>
          <w:trHeight w:val="28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non-operating costs and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488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(30,849)</w:t>
            </w:r>
          </w:p>
        </w:tc>
        <w:tc>
          <w:tcPr>
            <w:tcW w:w="100" w:type="dxa"/>
            <w:vAlign w:val="bottom"/>
          </w:tcPr>
          <w:p>
            <w:pPr>
              <w:spacing w:after="0"/>
              <w:rPr>
                <w:sz w:val="18"/>
                <w:szCs w:val="18"/>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(52,157)</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(25,628)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(25,827)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488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(39,300)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4"/>
              </w:rPr>
              <w:t>(12,470)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(55,702)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(54,270)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-3337560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-3337560</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-3337560</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-3337560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-3337560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-3337560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-3337560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-3337560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-3337560</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-3337560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-3337560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-3337560</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-172720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-172720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-172720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-172720</wp:posOffset>
            </wp:positionV>
            <wp:extent cx="44132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-172720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-172720</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-172720</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ind w:left="460" w:right="60" w:hanging="452"/>
        <w:spacing w:after="0" w:line="254"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earnings before interest, taxes, depreciation and amortization, pre-opening expenses, property charges and other, management fees, corporate allocations and other non operating income and expenses. Management uses Adjusted Property EBITDA as the primary measure of the operating performance of Wynn Las Vegas and to compare the operating performance of Wynn Las Vegas with those of its competitors. Adjusted Property EBITDA should not be construed as an alternative to operating income, as an indicator of the Company’s performance, as an alternative to cash flows from operating activities, as a measure of liquidity, or as any other measure determined in accordance with generally accepted accounting principles in the United States. The Company has significant uses of cash flows, including capital expenditures, propening costs interest payments and debt principal repayments, which are not reflected in Adjusted Property EBITDA. Also, other companies may calculate Adjusted Property EBITDA in a different manner than the Company.</w:t>
      </w:r>
    </w:p>
    <w:p>
      <w:pPr>
        <w:spacing w:after="0" w:line="125"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three months ended September 30, 2005 and the 156 days of operations during the nine months ended September 30, 2005 have no comparisons to prior periods as we were solely a development stage company prior to the opening of Wynn Las Vegas on April 28, 2005.</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79"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Wynn Las Vegas’ net gaming revenues were $123.0 million for the three months ended September 30, 2005, and $221.8 million for the 156 days of operations during the nine months ended September 30, 2005.</w:t>
      </w:r>
    </w:p>
    <w:p>
      <w:pPr>
        <w:spacing w:after="0" w:line="106"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During both the three and the nine month periods ended September 30, 2005, the average table games win percentage (before discounts) was within the expected range of 18% to 22%, and the slot win percentage was within the expected range of between 5% to 6% of handle.</w:t>
      </w:r>
    </w:p>
    <w:p>
      <w:pPr>
        <w:spacing w:after="0" w:line="106"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2005, room revenues were approximately $61.4 million. Average daily rate (“ADR”) and occupancy for that period were $264 and 93.0%, respectively, generating revenues per available room (“REVPAR”) of $246. Other non-gaming revenues included food and beverage revenues of approximately $61.2 million, retail revenues of approximately $16.9 million, entertainment revenues of approximately $14.0 million, and other revenues from outlets including the spa and salon of approximately $10.9 million.</w:t>
      </w:r>
    </w:p>
    <w:p>
      <w:pPr>
        <w:spacing w:after="0" w:line="12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 the 156 days of operations during the nine months ended September 30, 2005, room revenues were approximately $106.0 million. ADR and occupancy for that period were $272 and 91.8%, respectively, generating REVPAR of $250. Other non-gaming revenues included food and beverage revenues of approximately $109.3 million, retail revenues of approximately $33.8 million, entertainment revenues of approximately $23.6 million, and other revenues from outlets including the spa and salon of approximately $19.1 million.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Adjusted Property EBITDA</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Wynn Las Vegas’ adjusted EBITDA was approximately $73.2 million for the three months ended September 30, 2005 and was approximately $131.9 million for the 156 days of operations during the nine months ended September 30, 2005. Included in adjusted EBITDA are direct departmental expenses not present in the corresponding 2004 periods. During the three months ended September 30, 2005, these departmental expenses include casino expenses of $53.4 million, rooms expenses of $16.1 million, food and beverage expenses of $42.5 million, and entertainment, retail and other expenses of $28.4 million. During the 156 days of operations during the nine months ended September 30, 2005, these departmental expenses include casino expenses of $95.7 million, rooms expenses of $27.9 million, food and beverage expenses of $76.2 million, and entertainment, retail and other expenses of $48.7 million. Operating efficiencies continue to improve, as the number of full-time equivalent employees has decreased from an average of 9,600 in the quarter ending June 30, 2005, to 8,200 in the quarter ending September 30, 2005.</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Preopening expenses</w:t>
      </w:r>
    </w:p>
    <w:p>
      <w:pPr>
        <w:spacing w:after="0" w:line="7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Wynn Las Vegas’ preopening expenses decreased by $9.8 million or 86% for the three months ended September 30, 2005 compared to the three months ended September 2004, as a result of the resort opening in the second quarter of 2005. Preopening expenses for Wynn Las Vegas ceased upon opening the hotel; however, preopening expenses relating to Encore continue. During the nine months ended September 30, 2005 compared to September 30, 2004, however, preopening expenses increased by $40.8 million or 153% due primarily to a substantial increase in staffing required in the period immediately before the opening of Wynn Las Vegas.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Wynn Las Vegas’ depreciation and amortization increased by $34.7 million and $58.9 million for the three and nine-month periods ended September 30, 2005, compared to the same periods in 2004, as a result of the opening of the resort. During construction of Wynn Las Vegas, costs incurred in the construction of the buildings, improvements to land and the purchases of assets for use in operations were capitalized. Once the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resort opened and these assets were placed into service, we began recognizing the associated depreciation expenses. The depreciation expenses will continue throughout the estimated useful lives of these assets.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Property charges and other</w:t>
      </w:r>
    </w:p>
    <w:p>
      <w:pPr>
        <w:spacing w:after="0" w:line="7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continually evaluate market demand and customer preferences for our amenities and service offerings. Accordingly, we began to make enhancements and refinements to Wynn Las Vegas in the third quarter of 2005. Included in property charges and other for the three and nine months ended September 30, 2005 is approximately $2.9 million of costs relating to assets replaced or refurbished to enhance the resort. Also included in property charges for the three and nine months ended September 30, 2005 is approximately $3.0 million of expense relating to the abandonment of improvements made to the temporary offices utilized during part of the construction and opening the resort. There were no comparable property charges incurred during 2004.</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Management fees and allocations</w:t>
      </w:r>
    </w:p>
    <w:p>
      <w:pPr>
        <w:spacing w:after="0" w:line="79"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Since opening Wynn Las Vegas, management fees payable to Wynn Resorts for certain corporate management services have been charged and accrued at 1.5% of revenues. These fees will be paid upon Wynn Las Vegas, LLC meeting certain leverage ratios and satisfying certain other criteria set forth in a management agreement we entered into in connection with our credit facilities. Other allocations include certain corporate overhead charged to Wynn Las Vegas.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non-operating costs and expenses</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Interest income increased by $4.5 million and $11.1 million, respectively, for the three and nine months ended September 30, 2005, compared to 2004, due primarily to the significant increase in the amount of average cash balances available and invested from free cash flow of Wynn Las Vegas, the remaining proceeds of our 6-5/8% First Mortgage Notes due 2014 (the “First Mortgage Notes”) and borrowings under our credit facilities that were invested during the three and nine months ended September 30, 2005, compared to the same periods in 2004. In addition, interest rates have increased since 2004, thus increasing our interest income for the 2005 periods compared to 2004.</w:t>
      </w:r>
    </w:p>
    <w:p>
      <w:pPr>
        <w:spacing w:after="0" w:line="12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Interest expense, net, increased by $30.8 million and $52.2 million for the three and nine months ended September 30, 2005, compared to 2004, due primarily to the significant decrease in the amount of interest capitalized. During the construction of Wynn Las Vegas, the majority of interest costs were capitalized. Upon the opening of Wynn Las Vegas, a substantial portion of our assets previously under construction were placed into service, and the majority of our interest cost was thereafter expensed.</w:t>
      </w:r>
    </w:p>
    <w:p>
      <w:pPr>
        <w:spacing w:after="0" w:line="123"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Also, during 2004, we recorded a $25.6 million loss on the early retirement of $122.4 million of the original $370.0 million of 12% Second Mortgage Notes due 2010 (the “Second Mortgage Notes”). This loss resulted from the write-off of associated deferred financing costs and original issue discount, as well as a 12% redemption premium, on the Second Mortgage Notes. Most of the remaining principal amount of the Second Mortgage Notes have since been repurchased.</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79"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Comprehensive income of approximately $6.1 million and $8.0 million, respectively for the three and nine month periods ended September 30, 2005 increased from the comprehensive losses of $8.9 million and $2.9 million, respectively, for the three and nine months ended September 30, 2004, due to the changes in the fair value of our interest rate swaps outstanding during each of those periods. We seek to manage the interest rate risk associated with our variable rate borrowings, through balancing fixed-rate and variable-rate borrowings and the use of derivative financial instruments. Our interest rate swaps have been designated by us as cash flow hedges in accordance with prevailing accounting regulations. As of September 30, 2005 and December 31, 2004, we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recorded approximately $8.6 million and $583,000 in other assets, respectively, to reflect their fair value. These fair value amounts approximate the amount we would pay or receive if these contracts were settled at these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Cash flows from operations</w:t>
      </w:r>
    </w:p>
    <w:p>
      <w:pPr>
        <w:spacing w:after="0" w:line="7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operating cash flows are primarily affected by our operating income, interest paid and non-cash charges included in operating income. We believe that cash flows from operations for the nine months ended September 30, 2005, are not indicative of future results, primarily because of the preopening expenses that were incurred in connection with the opening of Wynn Las Vegas and included in the nine months ended September 30, 2005 and 2004. Cash provided by operations for the nine months ended September 30, 2005 was approximately $34.1 million and cash used in operations for the nine months ended September 30, 2004 was approximately $25.2 million.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7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At September 30, 2005, we had approximately $579.8 million of cash and cash equivalents and restricted cash and investments, of which $207.7 million was available for our unrestricted use. We also had approximately $372.1 million in restricted cash and investments from the proceeds of our debt and equity financings. This amount is restricted for the final project costs of Wynn Las Vegas and the development and construction of Encore. Included in this amount is $80.0 million restricted for a Wynn Las Vegas liquidity reserve and completion guarantee ($30.0 million of which must be retained for Encore for a completion guarantee if the budget, plans and specifications for Encore (the “Encore Budget, Plans and Specifications”) are approved), is restricted for the remaining costs of Wynn Las Vegas and the construction, development and preopening expenses of Encore. Cash equivalents are comprised of investments in overnight money market funds. Restricted investments are kept in money market funds or relatively short-term, government-backed, marketable debt securities as required by agreements governing the Company’s debt facilities.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Construction and Development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Wynn Las Vegas</w:t>
      </w:r>
    </w:p>
    <w:p>
      <w:pPr>
        <w:spacing w:after="0" w:line="79"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Construction of Wynn Las Vegas was virtually complete by the opening on April 28, 2005. Certain minor construction, consisting primarily of punchlist items and the Broadway Theater, continued subsequent to opening. As of September 30, 2005, the Broadway Theater was complete and the punchlist had been virtually completed. However, a final accounting has not yet been made. Based on information available to us at September 30, 2005, the total cost of Wynn Las Vegas is expected to be in the range of $2.72 to $2.75 billion. This includes the cost of acquiring approximately 235 acres of land, costs of design and construction, capitalized interest, pre-opening expenses, financing fees and construction contingencies, but excluding the incremental cost for Encore (other than the land for Encore). Through September 30, 2005, we had funded approximately $2.7 billion of Wynn Las Vegas project costs primarily from a combination of contributed capital, proceeds from sales of our common stock, proceeds from the issuance of the Second Mortgage Notes which were discharged in December 2004, proceeds from the issuance of First Mortgage Notes, and a portion of the borrowings under our credit facilities. We have sufficient cash balances, including our completion guarantee and liquidity reserve, as well as availability under our credit facilities, to pay for all of the costs of the Wynn Las Vegas project.</w:t>
      </w:r>
    </w:p>
    <w:p>
      <w:pPr>
        <w:spacing w:after="0" w:line="99"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Since opening Wynn Las Vegas, we have been evaluating customer reactions to the property and our service offerings and in response have commenced certain enhancements and refinements to Wynn Las Vegas. As a result, we have begun to incur capital expenditures relating to these enhancements and refinements. Under our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credit facilities we are permitted to make a maximum of $40.0 million of capital expenditures for Wynn Las Vegas in 2005, and $80.0 million of capital expenditures in 2006; provided that such limitations shall be increased by the amount of any capital contributions made by Wynn Resorts and applied to such capital expenditures.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Encore at Wynn Las Vegas</w:t>
      </w:r>
    </w:p>
    <w:p>
      <w:pPr>
        <w:spacing w:after="0" w:line="7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Due to the strong demand for Wynn Las Vegas, the continued strength in the Las Vegas market, and our desire to maximize the potential of our substantial real estate assets, we continue to evaluate Encore as part of our overall master plan. As a result, we have refined Encore to currently feature an approximately 2,000-room hotel tower fully integrated with Wynn Las Vegas, consisting of approximately 150 suites and approximately 1,850 guest rooms, as well as additional entertainment venues, restaurants, nightclubs, swimming pools, casino gaming, a spa and salon, convention and meeting space, and retail outlets. We expect Encore to open in the second half of 2008.</w:t>
      </w:r>
    </w:p>
    <w:p>
      <w:pPr>
        <w:spacing w:after="0" w:line="125"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In June 2005, we received the necessary consents from the holders of our First Mortgage Notes and our lenders to extend the deadline for approval of the budget, plans and specifications for Encore (the “Encore Budget, Plans and Specifications”) from June 30, 2005 to December 31, 2005 (which may be further extended to March 31, 2006 upon receiving further approvals), and to extend the outside date for completion of Encore from March 31, 2008 to December 31, 2008.</w:t>
      </w:r>
    </w:p>
    <w:p>
      <w:pPr>
        <w:spacing w:after="0" w:line="12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Although the budget has not been finalized and must be approved by Wynn Resorts’ Board of Directors, we expect that the remaining proceeds from the First Mortgage Notes, together with availability under our existing credit facilities and cash flow from the operations of Wynn Las Vegas, will be sufficient to pay for expenditures of up to $1.4 billion on the Encore project without incurring additional debt or receiving additional capital contributions from Wynn Resorts. The availability of notes proceeds and funds under the credit agreement in excess of $100.0 million is subject to approval of the Encore Budget, Plans and Specifications by a majority of arrangers or lenders. Once the Company has finalized the scope and plans for Encore, it will seek the necessary approvals from its lenders.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Financing Activity</w:t>
      </w:r>
    </w:p>
    <w:p>
      <w:pPr>
        <w:spacing w:after="0" w:line="7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December 14, 2004, we completed a series of transactions that refinanced our debt structure and raised additional funds we anticipate will be needed to develop Encore. The closing of the refinancing was the culmination of a series of transactions designed to facilitate the development of Encore, lower our overall cost of borrowing, and achieve an enhanced degree of financial maturity. In addition, it provided us with the financial flexibility to continue to develop our real estate assets.</w:t>
      </w:r>
    </w:p>
    <w:p>
      <w:pPr>
        <w:spacing w:after="0" w:line="12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borrowed the remaining $373.4 million available under the delay draw term loan facility during the first quarter of 2005, as was required under the agreements governing the credit facilities. The total $400 million of proceeds of the delay draw term loan facility are being used as a portion of the total financing of Wynn Las Vegas.</w:t>
      </w:r>
    </w:p>
    <w:p>
      <w:pPr>
        <w:spacing w:after="0" w:line="119"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As originally intended, on August 15, 2005, we borrowed $80.0 million of the $600.0 million available under our revolving credit facility and loaned the money to Wynn Resorts to provide a portion of the financing for Wynn Macau. We repaid this borrowing on October 25, 2005. The amount that was repaid may be reborrowed.</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costs of Wynn Las Vegas are paid for with funds from the following sources and in the following order of priority:</w:t>
      </w:r>
    </w:p>
    <w:p>
      <w:pPr>
        <w:spacing w:after="0" w:line="77" w:lineRule="exact"/>
        <w:rPr>
          <w:sz w:val="20"/>
          <w:szCs w:val="20"/>
          <w:color w:val="auto"/>
        </w:rPr>
      </w:pPr>
    </w:p>
    <w:p>
      <w:pPr>
        <w:ind w:left="780" w:right="380" w:hanging="326"/>
        <w:spacing w:after="0" w:line="275"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by using any proceeds from the First Mortgage Notes, and the proceeds of borrowings under the credit facilities, until exhaustion of the First Mortgage Notes proceeds, with amounts funded 66.67% from notes proceeds and 33.33% from the new credit facilities;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by using proceeds of additional borrowings under our credit facilities; and</w:t>
      </w:r>
    </w:p>
    <w:p>
      <w:pPr>
        <w:spacing w:after="0" w:line="103" w:lineRule="exact"/>
        <w:rPr>
          <w:rFonts w:ascii="Times New Roman" w:cs="Times New Roman" w:eastAsia="Times New Roman" w:hAnsi="Times New Roman"/>
          <w:sz w:val="18"/>
          <w:szCs w:val="18"/>
          <w:color w:val="auto"/>
        </w:rPr>
      </w:pPr>
    </w:p>
    <w:p>
      <w:pPr>
        <w:ind w:left="780" w:right="48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by using the funds made available to us on a gradual basis from the $30 million available of the $50 million completion guarantee deposit account and the $30 million liquidity reserve account.</w:t>
      </w:r>
    </w:p>
    <w:p>
      <w:pPr>
        <w:spacing w:after="0" w:line="10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Through September 30, 2005, we had funded approximately $60.7 million of costs associated with the design and predevelopment of Encore (including $35.1 million since December 14, 2004). Until such time as the Encore Budget, Plans and Specifications have been submitted by us and approved by a majority of the arrangers or a majority of the lenders under the agreement governing the disbursement of funds for Wynn Las Vegas and Encore, we may make additional disbursements of up to $64.9 million to pay for development costs for Encore. If the Encore Budget, Plans and Specifications are approved by December 31, 2005 (which may be further extended to March 31, 2006 upon receiving certain approvals), then we expect to fund construction of Encore with remaining proceeds of the First Mortgage Notes, borrowings under our credit facilities and future cash flows from the operations of Wynn Las Vegas. We will fund the costs of development and construction of Encore pursuant to the disbursement agreement, with funds utilized in the same order of priority as indicated above for Wynn Las Vegas. If the Encore Budget, Plans and Specifications are not approved by December 31, 2005 (or March 31, 2006, if further extended), then the amount available under the new credit facilities, and the amount of indebtedness that the indenture for the First Mortgage Notes will permit us to incur for this purpose, will be reduced by $550.0 million.</w:t>
      </w:r>
    </w:p>
    <w:p>
      <w:pPr>
        <w:spacing w:after="0" w:line="127"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We also entered into two interest rate swaps in December 2004 to hedge a portion of the underlying interest rate risk on future borrowings under our credit facilities. See Item 3. “Quantitative and Qualitative Disclosures About Market Risk,” below.</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79"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On May 24, 2005, we borrowed an aggregate amount of $44.75 million under two term loans secured by a corporate aircraft. The loans mature on May 24, 2010. Principal and interest is payable quarterly, and interest is calculated at LIBOR plus a margin of 2.375%. In addition to scheduled amortization payments, we are required to prepay the loans if certain events of loss with respect to the aircraft occur. Beginning December 31, 2006, we may prepay all or any portion of the loans, subject to a minimum prepayment of $10.0 million.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79"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We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until Wynn Las Vegas has been completed and certain other financial and non-financial criteria have been satisfied. In addition our other credit facilities contain similar restrictions.</w:t>
      </w:r>
    </w:p>
    <w:p>
      <w:pPr>
        <w:spacing w:after="0" w:line="123" w:lineRule="exact"/>
        <w:rPr>
          <w:sz w:val="20"/>
          <w:szCs w:val="20"/>
          <w:color w:val="auto"/>
        </w:rPr>
      </w:pPr>
    </w:p>
    <w:p>
      <w:pPr>
        <w:ind w:right="320" w:firstLine="456"/>
        <w:spacing w:after="0" w:line="296" w:lineRule="auto"/>
        <w:rPr>
          <w:sz w:val="20"/>
          <w:szCs w:val="20"/>
          <w:color w:val="auto"/>
        </w:rPr>
      </w:pPr>
      <w:r>
        <w:rPr>
          <w:rFonts w:ascii="Times New Roman" w:cs="Times New Roman" w:eastAsia="Times New Roman" w:hAnsi="Times New Roman"/>
          <w:sz w:val="16"/>
          <w:szCs w:val="16"/>
          <w:color w:val="auto"/>
        </w:rPr>
        <w:t>If completion of Encore is delayed, then our debt service obligations accruing prior to the actual opening of Encore will increase correspondingly. We intend to fund the operations and capital requirements of Wynn Las Vegas from operating cash flow and remaining availability under our credit facilities. We cannot assure you, however, that Wynn Las Vegas will generate sufficient cash flow from operations or that future borrowings available to us under our credit facilities will be sufficient to enable us to service and repay our indebtedness and to fund its other liquidity needs. We may refinance all or a portion of our indebtedness on or before maturity. We cannot assure you that we will be able to refinance any of the indebtedness on acceptable terms or at all.</w:t>
      </w:r>
    </w:p>
    <w:p>
      <w:pPr>
        <w:spacing w:after="0" w:line="94"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Furthermore, new business developments or other unforeseen events may occur, resulting in the need to raise additional funds. We continue to explore opportunities to develop additional gaming or related businesses utilizing our substantial real estate holdings in Las Vegas. There can be no assurances regarding the business prospects with respect to any other opportunity. Any such development would require us to obtain additional financing.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7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Construction and Development Estimates</w:t>
      </w:r>
    </w:p>
    <w:p>
      <w:pPr>
        <w:spacing w:after="0" w:line="79"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During construction, direct costs such as those incurred for the design and construction of Wynn Las Vegas and Encore, including applicable portions of interest, are capitalized. Accordingly, the recorded amounts of property and equipment increase significantly during the construction periods. Depreciation expense related to capitalized construction costs is recognized when the related assets are put in service. Accordingly, upon opening, we began recognizing depreciation on the fixed assets of Wynn Las Vegas. Depreciation expense is recognized in our financial statements based on the straight-line method over the estimated useful lives of the corresponding assets as follows:</w:t>
      </w:r>
    </w:p>
    <w:p>
      <w:pPr>
        <w:sectPr>
          <w:pgSz w:w="11900" w:h="16838" w:orient="portrait"/>
          <w:cols w:equalWidth="0" w:num="1">
            <w:col w:w="11380"/>
          </w:cols>
          <w:pgMar w:left="240" w:top="455" w:right="279" w:bottom="1440" w:gutter="0" w:footer="0" w:header="0"/>
        </w:sectPr>
      </w:pPr>
    </w:p>
    <w:p>
      <w:pPr>
        <w:spacing w:after="0" w:line="1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Buildings and improvements</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Parking garage</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Airplanes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Furniture, fixtures, equipment and land improvements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years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 to 20 years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to 20 years</w:t>
      </w:r>
    </w:p>
    <w:p>
      <w:pPr>
        <w:spacing w:after="0" w:line="168" w:lineRule="exact"/>
        <w:rPr>
          <w:sz w:val="20"/>
          <w:szCs w:val="20"/>
          <w:color w:val="auto"/>
        </w:rPr>
      </w:pPr>
    </w:p>
    <w:p>
      <w:pPr>
        <w:sectPr>
          <w:pgSz w:w="11900" w:h="16838" w:orient="portrait"/>
          <w:cols w:equalWidth="0" w:num="2">
            <w:col w:w="8380" w:space="720"/>
            <w:col w:w="2280"/>
          </w:cols>
          <w:pgMar w:left="240" w:top="455" w:right="279" w:bottom="1440" w:gutter="0" w:footer="0" w:header="0"/>
          <w:type w:val="continuous"/>
        </w:sect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remaining estimated useful lives of assets are periodically reviewed. A charge resulting from a change in the estimated period of benefit is accounted for in the period of change as a change in accounting estimate under Accounting Principles Board (“APB”) No. 20, “Accounting Changes”.</w:t>
      </w:r>
    </w:p>
    <w:p>
      <w:pPr>
        <w:spacing w:after="0" w:line="106"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Costs of building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106"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In addition, during construction and development, preopening or start-up costs are expensed when incurred. Significant costs were incurred and charged to preopening expenses through the second quarter of 2005, as anticipated. Although Wynn Las Vegas opened on April 28, 2005, start-up costs relating to Encore will continue to be charged to preopening expenses.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Allowance for Estimated Doubtful Accounts Receivable</w:t>
      </w:r>
    </w:p>
    <w:p>
      <w:pPr>
        <w:spacing w:after="0" w:line="79"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maintain a reserve for bad debts. The provision for doubtful accounts, an operating expense, increases the reserve for bad debts. Write-offs decrease the reserve. We evaluate the reserve for bad debts based on a specific review of customer accounts as well as management’s prior experience with collection trends in the casino industry and current economic and business conditions.</w:t>
      </w:r>
    </w:p>
    <w:p>
      <w:pPr>
        <w:spacing w:after="0" w:line="11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substantial portion of our outstanding receivables relates to casino credit play. Credit play represents a significant portion of the table games volume at Wynn Las Vegas. We maintain strict controls over the issuance of markers and aggressively pursue collection from those customers who fail to pay their marker balances timely. These collection efforts may include the mailing of statements and delinquency notices, personal contacts, the use of outside collection agencies, and civil litigation and criminal proceedings. Markers are generally legally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455" w:right="27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enforceable instruments in the United States. Markers are not legally enforceable instruments in some foreign countries, but the United States assets of foreign customers may be used to satisfy judgments entered in the United States. At September 30, 2005, approximately 57% of our casino accounts receivable were owed by customers from foreign countries. The collectibility of markers given by foreign customers is affected by a number of factors including changes in currency exchange rates and economic conditions in the customers’ home countries.</w:t>
      </w:r>
    </w:p>
    <w:p>
      <w:pPr>
        <w:spacing w:after="0" w:line="123"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As our customer payment experience evolves, we will continue to refine our estimated reserve for bad debts. Accordingly, the associated provision for doubtful accounts charge may fluctuate as shown by the relative amounts charged for the three and nine months ended September 30, 2005 of $2.0 million and $10.6 million, respectively.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Accruals</w:t>
      </w:r>
    </w:p>
    <w:p>
      <w:pPr>
        <w:spacing w:after="0" w:line="7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79"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In December 2004, the Financial Accounting Standards Board (“FASB”) issued Statement of Financial Accounting Standards (“SFAS”) No. 123(R), “Share Based Payment.” This statement is a revision of SFAS No. 123, “Accounting for Stock-Based Compensation” and supercedes APB Opinion No. 25, “Accounting for Stock Issued to Employees,” and related interpretations. SFAS No. 123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This statement, according to SEC rule, as amended, is effective January 1, 2006. We are currently evaluating the methodology to be used in measuring the fair value of stock-based compensation awards, as well as the impact that adoption of this statement will have on our consolidated financial position and results of operations.</w:t>
      </w:r>
    </w:p>
    <w:p>
      <w:pPr>
        <w:spacing w:after="0" w:line="9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May 2005, FASB issued SFAS No. 154, “Accounting Changes and Error Corrections”. SFAS No. 154 requires retrospective application to prior periods’ financial statements of changes in accounting principle. It also requires that the new accounting principle be applied to the balances of assets and liabilities as of the beginning of the earliest period for which retrospective application is practicable and that a corresponding adjustment be made to the opening balance of retained earnings for that period rather than being reported in an income statement. The statement will be effective for accounting changes and corrections of errors made in fiscal years beginning after December 15, 2005. We do not expect the adoption of SFAS No. 154 to have a material effect on our consolidated financial position or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Rate Risks</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our debt facilities that bear interest based on floating rates. We attempt to manage interest rate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84"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On December 14, 2004, concurrent with refinancing our indebtedness, we terminated the two interest rate swaps we had previously entered into as required under the terms of our original financing documents. As a result of the termination, we received approximately $9.6 million in settlement of the related assets, which is being amortized from accumulated other comprehensive income to reduce interest expense over the original contract life of the two interest rate swaps. Approximately $1.2 million and $3.6 million was amortized against interest expense during the three and nine months ended September 30, 2005, respectively.</w:t>
      </w:r>
    </w:p>
    <w:p>
      <w:pPr>
        <w:spacing w:after="0" w:line="9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refinancing, we entered into two new interest rate swap arrangements to hedge the underlying interest rate risk on the $400.0 million of term loan borrowings outstanding under our credit facilities, which bear interest at LIBOR plus 2.125%. Under each of these two interest rate swap arrangements, we receive payments at a variable rate of LIBOR and pay a fixed rate of 3.793% on $200 million notional amount set forth in each of the swap instruments through December 2008. The interest rate swaps are expected to be effective as hedging instruments as long as sufficient term loan borrowings are outstanding, and effectively fix the interest rate on these borrowings at approximately 5.918%. Any ineffectiveness will increase our recorded interest expense in the consolidated financial statements.</w:t>
      </w:r>
    </w:p>
    <w:p>
      <w:pPr>
        <w:spacing w:after="0" w:line="126"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As of September 30, 2005, we recorded in other assets the fair value of the net effect of the two new interest rate swaps of approximately $8.6 million, an increase of $8.0 million compared to the value of $583,000 at December 31, 2004. Because there has been no ineffectiveness in the hedging relationship, the corresponding change in fair value of equal amount is reported in other comprehensive income for the year ended December 31, 2004. The fair value approximates the amount we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79" w:lineRule="exact"/>
        <w:rPr>
          <w:sz w:val="20"/>
          <w:szCs w:val="20"/>
          <w:color w:val="auto"/>
        </w:rPr>
      </w:pPr>
    </w:p>
    <w:p>
      <w:pPr>
        <w:ind w:right="300" w:firstLine="456"/>
        <w:spacing w:after="0" w:line="339" w:lineRule="auto"/>
        <w:rPr>
          <w:sz w:val="20"/>
          <w:szCs w:val="20"/>
          <w:color w:val="auto"/>
        </w:rPr>
      </w:pPr>
      <w:r>
        <w:rPr>
          <w:rFonts w:ascii="Times New Roman" w:cs="Times New Roman" w:eastAsia="Times New Roman" w:hAnsi="Times New Roman"/>
          <w:sz w:val="16"/>
          <w:szCs w:val="16"/>
          <w:color w:val="auto"/>
        </w:rPr>
        <w:t>Although we hedge a significant portion of our floating-rate debt, a 1% increase in the LIBOR would have increased our interest cost by approximately $217,000 and $280,000 for the three and nine months ended September 30, 2005, based upon the average amounts outstanding during those periods.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77" w:lineRule="exact"/>
        <w:rPr>
          <w:sz w:val="20"/>
          <w:szCs w:val="20"/>
          <w:color w:val="auto"/>
        </w:rPr>
      </w:pPr>
    </w:p>
    <w:p>
      <w:pPr>
        <w:ind w:firstLine="464"/>
        <w:spacing w:after="0" w:line="254"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64"/>
        <w:spacing w:after="0" w:line="264" w:lineRule="auto"/>
        <w:tabs>
          <w:tab w:leader="none" w:pos="7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Internal Control Over Financial Reporting. </w:t>
      </w:r>
      <w:r>
        <w:rPr>
          <w:rFonts w:ascii="Times New Roman" w:cs="Times New Roman" w:eastAsia="Times New Roman" w:hAnsi="Times New Roman"/>
          <w:sz w:val="18"/>
          <w:szCs w:val="18"/>
          <w:color w:val="auto"/>
        </w:rPr>
        <w:t>There have not been any changes in the Company’s internal control over financial reporting (as such term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does not have any material litigation as of September 30, 2005.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7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Restrictions imposed by our debt instruments significantly restrict us, subject to certain exceptions for allocable corporate overhead and management fees, from declaring or paying dividends or distributions. Specifically, we and certain of our subsidiaries are restricted under the indenture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Exhibits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0420" w:type="dxa"/>
            <w:vAlign w:val="bottom"/>
            <w:gridSpan w:val="3"/>
          </w:tcPr>
          <w:p>
            <w:pPr>
              <w:ind w:left="4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12"/>
        </w:trPr>
        <w:tc>
          <w:tcPr>
            <w:tcW w:w="8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280" w:type="dxa"/>
            <w:vAlign w:val="bottom"/>
          </w:tcPr>
          <w:p>
            <w:pPr>
              <w:spacing w:after="0"/>
              <w:rPr>
                <w:sz w:val="24"/>
                <w:szCs w:val="24"/>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r>
      <w:tr>
        <w:trPr>
          <w:trHeight w:val="316"/>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3.1</w:t>
            </w:r>
          </w:p>
        </w:tc>
        <w:tc>
          <w:tcPr>
            <w:tcW w:w="104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Second Amended and Restated Articles of Organization of Wynn Las Vegas, LLC. (1)</w:t>
            </w:r>
          </w:p>
        </w:tc>
      </w:tr>
      <w:tr>
        <w:trPr>
          <w:trHeight w:val="324"/>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3.2</w:t>
            </w:r>
          </w:p>
        </w:tc>
        <w:tc>
          <w:tcPr>
            <w:tcW w:w="104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Second Amended and Restated Operating Agreement of Wynn Las Vegas, LLC. (1)</w:t>
            </w:r>
          </w:p>
        </w:tc>
      </w:tr>
      <w:tr>
        <w:trPr>
          <w:trHeight w:val="324"/>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10.1</w:t>
            </w:r>
          </w:p>
        </w:tc>
        <w:tc>
          <w:tcPr>
            <w:tcW w:w="104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Employment Agreement, dated as of August 31, 2005, between Wynn Las Vegas, LLC and Andrew Pascal. (2)</w:t>
            </w:r>
          </w:p>
        </w:tc>
      </w:tr>
      <w:tr>
        <w:trPr>
          <w:trHeight w:val="312"/>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10.4</w:t>
            </w:r>
          </w:p>
        </w:tc>
        <w:tc>
          <w:tcPr>
            <w:tcW w:w="104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Second Amendment to Credit Agreement, dated as of June 29, 2005, among Wynn Las Vegas, LLC, the Wynn Amendment Parties (as</w:t>
            </w:r>
          </w:p>
        </w:tc>
      </w:tr>
      <w:tr>
        <w:trPr>
          <w:trHeight w:val="228"/>
        </w:trPr>
        <w:tc>
          <w:tcPr>
            <w:tcW w:w="880" w:type="dxa"/>
            <w:vAlign w:val="bottom"/>
          </w:tcPr>
          <w:p>
            <w:pPr>
              <w:spacing w:after="0"/>
              <w:rPr>
                <w:sz w:val="19"/>
                <w:szCs w:val="19"/>
                <w:color w:val="auto"/>
              </w:rPr>
            </w:pPr>
          </w:p>
        </w:tc>
        <w:tc>
          <w:tcPr>
            <w:tcW w:w="104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defined therein) and Deutsche Bank Trust Company Americas, as administrative agent on behalf of the Lenders (as defined therein). (3)</w:t>
            </w:r>
          </w:p>
        </w:tc>
      </w:tr>
      <w:tr>
        <w:trPr>
          <w:trHeight w:val="312"/>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*31.1</w:t>
            </w:r>
          </w:p>
        </w:tc>
        <w:tc>
          <w:tcPr>
            <w:tcW w:w="104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Certification of Chief Executive Officer of Periodic Report Pursuant to Rule 13a – 14(a) and</w:t>
            </w:r>
          </w:p>
        </w:tc>
      </w:tr>
      <w:tr>
        <w:trPr>
          <w:trHeight w:val="228"/>
        </w:trPr>
        <w:tc>
          <w:tcPr>
            <w:tcW w:w="880" w:type="dxa"/>
            <w:vAlign w:val="bottom"/>
          </w:tcPr>
          <w:p>
            <w:pPr>
              <w:spacing w:after="0"/>
              <w:rPr>
                <w:sz w:val="19"/>
                <w:szCs w:val="19"/>
                <w:color w:val="auto"/>
              </w:rPr>
            </w:pPr>
          </w:p>
        </w:tc>
        <w:tc>
          <w:tcPr>
            <w:tcW w:w="104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Rule 15d – 14(a).</w:t>
            </w:r>
          </w:p>
        </w:tc>
      </w:tr>
      <w:tr>
        <w:trPr>
          <w:trHeight w:val="312"/>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*31.2</w:t>
            </w:r>
          </w:p>
        </w:tc>
        <w:tc>
          <w:tcPr>
            <w:tcW w:w="104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Certification of Chief Financial Officer of Periodic Report Pursuant to Rule 13a – 14(a) and</w:t>
            </w:r>
          </w:p>
        </w:tc>
      </w:tr>
      <w:tr>
        <w:trPr>
          <w:trHeight w:val="228"/>
        </w:trPr>
        <w:tc>
          <w:tcPr>
            <w:tcW w:w="880" w:type="dxa"/>
            <w:vAlign w:val="bottom"/>
          </w:tcPr>
          <w:p>
            <w:pPr>
              <w:spacing w:after="0"/>
              <w:rPr>
                <w:sz w:val="19"/>
                <w:szCs w:val="19"/>
                <w:color w:val="auto"/>
              </w:rPr>
            </w:pPr>
          </w:p>
        </w:tc>
        <w:tc>
          <w:tcPr>
            <w:tcW w:w="104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Rule 15d – 14(a).</w:t>
            </w:r>
          </w:p>
        </w:tc>
      </w:tr>
      <w:tr>
        <w:trPr>
          <w:trHeight w:val="324"/>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*32.1</w:t>
            </w:r>
          </w:p>
        </w:tc>
        <w:tc>
          <w:tcPr>
            <w:tcW w:w="104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460" w:hanging="408"/>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460" w:right="18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Registration Statement on Form S-4 (File No. 333-124052) filed by the Registrant on April 13, 2005 and incorporated herein by reference.</w:t>
      </w: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Current Report on Form 8-K filed by the Registrant on September 1, 2005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Current Report on Form 8-K/A filed by the Registrant on September 29, 2005 and incorporated herein by reference.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227" w:lineRule="exact"/>
        <w:rPr>
          <w:sz w:val="20"/>
          <w:szCs w:val="20"/>
          <w:color w:val="auto"/>
        </w:rPr>
      </w:pPr>
    </w:p>
    <w:p>
      <w:pPr>
        <w:spacing w:after="0"/>
        <w:tabs>
          <w:tab w:leader="none" w:pos="5480" w:val="left"/>
          <w:tab w:leader="none" w:pos="8080" w:val="left"/>
        </w:tabs>
        <w:rPr>
          <w:sz w:val="20"/>
          <w:szCs w:val="20"/>
          <w:color w:val="auto"/>
        </w:rPr>
      </w:pPr>
      <w:r>
        <w:rPr>
          <w:rFonts w:ascii="Times New Roman" w:cs="Times New Roman" w:eastAsia="Times New Roman" w:hAnsi="Times New Roman"/>
          <w:sz w:val="18"/>
          <w:szCs w:val="18"/>
          <w:color w:val="auto"/>
        </w:rPr>
        <w:t>Dated: November 14, 2005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David R. Sisk</w:t>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David R. Sisk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-100330</wp:posOffset>
            </wp:positionV>
            <wp:extent cx="354203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940"/>
        <w:spacing w:after="0" w:line="227" w:lineRule="auto"/>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1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40"/>
          </w:cols>
          <w:pgMar w:left="240" w:top="455" w:right="11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 – 14(a) and Rule 15d – 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Pascal, certify that:</w:t>
      </w:r>
    </w:p>
    <w:p>
      <w:pPr>
        <w:spacing w:after="0" w:line="77"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Las Vegas, LLC;</w:t>
      </w:r>
    </w:p>
    <w:p>
      <w:pPr>
        <w:spacing w:after="0" w:line="76" w:lineRule="exact"/>
        <w:rPr>
          <w:rFonts w:ascii="Times New Roman" w:cs="Times New Roman" w:eastAsia="Times New Roman" w:hAnsi="Times New Roman"/>
          <w:sz w:val="18"/>
          <w:szCs w:val="18"/>
          <w:color w:val="auto"/>
        </w:rPr>
      </w:pPr>
    </w:p>
    <w:p>
      <w:pPr>
        <w:ind w:left="460" w:right="260" w:hanging="452"/>
        <w:spacing w:after="0" w:line="325" w:lineRule="auto"/>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5"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2005</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Andrew Pascal</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Operating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 – 14(a) and Rule 15d – 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 Sisk, certify that:</w:t>
      </w:r>
    </w:p>
    <w:p>
      <w:pPr>
        <w:spacing w:after="0" w:line="77"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Las Vegas, LLC;</w:t>
      </w:r>
    </w:p>
    <w:p>
      <w:pPr>
        <w:spacing w:after="0" w:line="76" w:lineRule="exact"/>
        <w:rPr>
          <w:rFonts w:ascii="Times New Roman" w:cs="Times New Roman" w:eastAsia="Times New Roman" w:hAnsi="Times New Roman"/>
          <w:sz w:val="18"/>
          <w:szCs w:val="18"/>
          <w:color w:val="auto"/>
        </w:rPr>
      </w:pPr>
    </w:p>
    <w:p>
      <w:pPr>
        <w:ind w:left="460" w:right="260" w:hanging="452"/>
        <w:spacing w:after="0" w:line="325" w:lineRule="auto"/>
        <w:tabs>
          <w:tab w:leader="none" w:pos="4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5"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2005</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R. Sisk</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R. Sisk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420"/>
          </w:cols>
          <w:pgMar w:left="240" w:top="123"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Las Vegas, LLC (the “Company”) for the quarter ended September 30, 2005 as filed with the Securities and Exchange Commission on the date hereof (the “Report”), Andrew Pascal, as Chief Operating Officer of the Company and David R. Sisk, as Chief Financial Officer of the Company, each hereby certifies, pursuant to 18 U.S.C. Section 1350, as adopted pursuant to Section 906 of the Sarbanes-Oxley Act of 2002, that, to the best of his knowledge:</w:t>
      </w:r>
    </w:p>
    <w:p>
      <w:pPr>
        <w:spacing w:after="0" w:line="42"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Pascal</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Borders>
              <w:top w:val="single" w:sz="8" w:color="auto"/>
            </w:tcBorders>
          </w:tcPr>
          <w:p>
            <w:pPr>
              <w:ind w:left="100"/>
              <w:spacing w:after="0" w:line="197" w:lineRule="exact"/>
              <w:rPr>
                <w:sz w:val="20"/>
                <w:szCs w:val="20"/>
                <w:color w:val="auto"/>
              </w:rPr>
            </w:pPr>
            <w:r>
              <w:rPr>
                <w:rFonts w:ascii="Times New Roman" w:cs="Times New Roman" w:eastAsia="Times New Roman" w:hAnsi="Times New Roman"/>
                <w:sz w:val="18"/>
                <w:szCs w:val="18"/>
                <w:color w:val="auto"/>
              </w:rPr>
              <w:t>Andrew Pascal</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16"/>
        </w:trPr>
        <w:tc>
          <w:tcPr>
            <w:tcW w:w="5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14, 2005</w:t>
            </w:r>
          </w:p>
        </w:tc>
      </w:tr>
      <w:tr>
        <w:trPr>
          <w:trHeight w:val="433"/>
        </w:trPr>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R. Sisk</w:t>
            </w:r>
          </w:p>
        </w:tc>
      </w:tr>
      <w:tr>
        <w:trPr>
          <w:trHeight w:val="196"/>
        </w:trPr>
        <w:tc>
          <w:tcPr>
            <w:tcW w:w="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David R. Sisk</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16"/>
        </w:trPr>
        <w:tc>
          <w:tcPr>
            <w:tcW w:w="5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14, 2005</w:t>
            </w:r>
          </w:p>
        </w:tc>
      </w:tr>
    </w:tbl>
    <w:p>
      <w:pPr>
        <w:spacing w:after="0" w:line="1" w:lineRule="exact"/>
        <w:rPr>
          <w:sz w:val="20"/>
          <w:szCs w:val="20"/>
          <w:color w:val="auto"/>
        </w:rPr>
      </w:pP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8"/>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0"/>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2019-12-15T08:18:35Z</dcterms:created>
  <dcterms:modified xsi:type="dcterms:W3CDTF">2019-12-15T08:18:35Z</dcterms:modified>
</cp:coreProperties>
</file>