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ind w:left="680" w:right="60" w:hanging="641"/>
        <w:spacing w:after="0" w:line="234"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Arial" w:cs="Arial" w:eastAsia="Arial" w:hAnsi="Arial"/>
                <w:sz w:val="18"/>
                <w:szCs w:val="18"/>
                <w:b w:val="1"/>
                <w:bCs w:val="1"/>
                <w:color w:val="auto"/>
                <w:w w:val="92"/>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Arial" w:cs="Arial" w:eastAsia="Arial" w:hAnsi="Arial"/>
                <w:sz w:val="18"/>
                <w:szCs w:val="18"/>
                <w:b w:val="1"/>
                <w:bCs w:val="1"/>
                <w:color w:val="auto"/>
                <w:w w:val="8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83"/>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Arial" w:cs="Arial" w:eastAsia="Arial" w:hAnsi="Arial"/>
                <w:sz w:val="43"/>
                <w:szCs w:val="43"/>
                <w:b w:val="1"/>
                <w:bCs w:val="1"/>
                <w:color w:val="auto"/>
              </w:rPr>
              <w:t>WYNN RESORTS, LIMITED</w:t>
            </w:r>
          </w:p>
        </w:tc>
      </w:tr>
      <w:tr>
        <w:trPr>
          <w:trHeight w:val="234"/>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7"/>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gridSpan w:val="4"/>
          </w:tcPr>
          <w:p>
            <w:pPr>
              <w:jc w:val="center"/>
              <w:ind w:right="88"/>
              <w:spacing w:after="0"/>
              <w:rPr>
                <w:sz w:val="20"/>
                <w:szCs w:val="20"/>
                <w:color w:val="auto"/>
              </w:rPr>
            </w:pPr>
            <w:r>
              <w:rPr>
                <w:rFonts w:ascii="Arial" w:cs="Arial" w:eastAsia="Arial" w:hAnsi="Arial"/>
                <w:sz w:val="18"/>
                <w:szCs w:val="18"/>
                <w:b w:val="1"/>
                <w:bCs w:val="1"/>
                <w:color w:val="auto"/>
                <w:w w:val="91"/>
              </w:rPr>
              <w:t>46-0484987</w:t>
            </w:r>
          </w:p>
        </w:tc>
      </w:tr>
      <w:tr>
        <w:trPr>
          <w:trHeight w:val="144"/>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gridSpan w:val="5"/>
          </w:tcPr>
          <w:p>
            <w:pPr>
              <w:jc w:val="center"/>
              <w:ind w:left="1628"/>
              <w:spacing w:after="0"/>
              <w:rPr>
                <w:sz w:val="20"/>
                <w:szCs w:val="20"/>
                <w:color w:val="auto"/>
              </w:rPr>
            </w:pPr>
            <w:r>
              <w:rPr>
                <w:rFonts w:ascii="Arial" w:cs="Arial" w:eastAsia="Arial" w:hAnsi="Arial"/>
                <w:sz w:val="18"/>
                <w:szCs w:val="18"/>
                <w:b w:val="1"/>
                <w:bCs w:val="1"/>
                <w:color w:val="auto"/>
                <w:w w:val="90"/>
              </w:rPr>
              <w:t>(702) 770-7555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80"/>
        </w:trPr>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r>
      <w:tr>
        <w:trPr>
          <w:trHeight w:val="28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74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86"/>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1"/>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color w:val="auto"/>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company"</w:t>
            </w:r>
          </w:p>
        </w:tc>
        <w:tc>
          <w:tcPr>
            <w:tcW w:w="540" w:type="dxa"/>
            <w:vAlign w:val="bottom"/>
          </w:tcPr>
          <w:p>
            <w:pPr>
              <w:ind w:left="100"/>
              <w:spacing w:after="0"/>
              <w:rPr>
                <w:sz w:val="20"/>
                <w:szCs w:val="20"/>
                <w:color w:val="auto"/>
              </w:rPr>
            </w:pPr>
            <w:r>
              <w:rPr>
                <w:rFonts w:ascii="Arial" w:cs="Arial" w:eastAsia="Arial" w:hAnsi="Arial"/>
                <w:sz w:val="18"/>
                <w:szCs w:val="18"/>
                <w:color w:val="auto"/>
              </w:rPr>
              <w:t>in</w:t>
            </w:r>
          </w:p>
        </w:tc>
        <w:tc>
          <w:tcPr>
            <w:tcW w:w="1800" w:type="dxa"/>
            <w:vAlign w:val="bottom"/>
          </w:tcPr>
          <w:p>
            <w:pPr>
              <w:ind w:left="860"/>
              <w:spacing w:after="0"/>
              <w:rPr>
                <w:sz w:val="20"/>
                <w:szCs w:val="20"/>
                <w:color w:val="auto"/>
              </w:rPr>
            </w:pPr>
            <w:r>
              <w:rPr>
                <w:rFonts w:ascii="Arial" w:cs="Arial" w:eastAsia="Arial" w:hAnsi="Arial"/>
                <w:sz w:val="18"/>
                <w:szCs w:val="18"/>
                <w:color w:val="auto"/>
              </w:rPr>
              <w:t>Rule</w:t>
            </w:r>
          </w:p>
        </w:tc>
        <w:tc>
          <w:tcPr>
            <w:tcW w:w="1580" w:type="dxa"/>
            <w:vAlign w:val="bottom"/>
          </w:tcPr>
          <w:p>
            <w:pPr>
              <w:ind w:left="580"/>
              <w:spacing w:after="0"/>
              <w:rPr>
                <w:sz w:val="20"/>
                <w:szCs w:val="20"/>
                <w:color w:val="auto"/>
              </w:rPr>
            </w:pPr>
            <w:r>
              <w:rPr>
                <w:rFonts w:ascii="Arial" w:cs="Arial" w:eastAsia="Arial" w:hAnsi="Arial"/>
                <w:sz w:val="18"/>
                <w:szCs w:val="18"/>
                <w:color w:val="auto"/>
              </w:rPr>
              <w:t>12b-2</w:t>
            </w:r>
          </w:p>
        </w:tc>
        <w:tc>
          <w:tcPr>
            <w:tcW w:w="1320" w:type="dxa"/>
            <w:vAlign w:val="bottom"/>
          </w:tcPr>
          <w:p>
            <w:pPr>
              <w:ind w:left="600"/>
              <w:spacing w:after="0"/>
              <w:rPr>
                <w:sz w:val="20"/>
                <w:szCs w:val="20"/>
                <w:color w:val="auto"/>
              </w:rPr>
            </w:pPr>
            <w:r>
              <w:rPr>
                <w:rFonts w:ascii="Arial" w:cs="Arial" w:eastAsia="Arial" w:hAnsi="Arial"/>
                <w:sz w:val="18"/>
                <w:szCs w:val="18"/>
                <w:color w:val="auto"/>
              </w:rPr>
              <w:t>of</w:t>
            </w:r>
          </w:p>
        </w:tc>
        <w:tc>
          <w:tcPr>
            <w:tcW w:w="1020" w:type="dxa"/>
            <w:vAlign w:val="bottom"/>
          </w:tcPr>
          <w:p>
            <w:pPr>
              <w:ind w:left="600"/>
              <w:spacing w:after="0"/>
              <w:rPr>
                <w:sz w:val="20"/>
                <w:szCs w:val="20"/>
                <w:color w:val="auto"/>
              </w:rPr>
            </w:pPr>
            <w:r>
              <w:rPr>
                <w:rFonts w:ascii="Arial" w:cs="Arial" w:eastAsia="Arial" w:hAnsi="Arial"/>
                <w:sz w:val="18"/>
                <w:szCs w:val="18"/>
                <w:color w:val="auto"/>
              </w:rPr>
              <w:t>the</w:t>
            </w:r>
          </w:p>
        </w:tc>
        <w:tc>
          <w:tcPr>
            <w:tcW w:w="2520" w:type="dxa"/>
            <w:vAlign w:val="bottom"/>
          </w:tcPr>
          <w:p>
            <w:pPr>
              <w:ind w:left="960"/>
              <w:spacing w:after="0"/>
              <w:rPr>
                <w:sz w:val="20"/>
                <w:szCs w:val="20"/>
                <w:color w:val="auto"/>
              </w:rPr>
            </w:pPr>
            <w:r>
              <w:rPr>
                <w:rFonts w:ascii="Arial" w:cs="Arial" w:eastAsia="Arial" w:hAnsi="Arial"/>
                <w:sz w:val="18"/>
                <w:szCs w:val="18"/>
                <w:color w:val="auto"/>
              </w:rPr>
              <w:t>Exchange</w:t>
            </w:r>
          </w:p>
        </w:tc>
        <w:tc>
          <w:tcPr>
            <w:tcW w:w="640" w:type="dxa"/>
            <w:vAlign w:val="bottom"/>
          </w:tcPr>
          <w:p>
            <w:pPr>
              <w:ind w:left="340"/>
              <w:spacing w:after="0"/>
              <w:rPr>
                <w:sz w:val="20"/>
                <w:szCs w:val="20"/>
                <w:color w:val="auto"/>
              </w:rPr>
            </w:pPr>
            <w:r>
              <w:rPr>
                <w:rFonts w:ascii="Arial" w:cs="Arial" w:eastAsia="Arial" w:hAnsi="Arial"/>
                <w:sz w:val="18"/>
                <w:szCs w:val="18"/>
                <w:color w:val="auto"/>
                <w:w w:val="90"/>
              </w:rPr>
              <w:t>Act.</w:t>
            </w:r>
          </w:p>
        </w:tc>
        <w:tc>
          <w:tcPr>
            <w:tcW w:w="0" w:type="dxa"/>
            <w:vAlign w:val="bottom"/>
          </w:tcPr>
          <w:p>
            <w:pPr>
              <w:spacing w:after="0"/>
              <w:rPr>
                <w:sz w:val="1"/>
                <w:szCs w:val="1"/>
                <w:color w:val="auto"/>
              </w:rPr>
            </w:pPr>
          </w:p>
        </w:tc>
      </w:tr>
      <w:tr>
        <w:trPr>
          <w:trHeight w:val="188"/>
        </w:trPr>
        <w:tc>
          <w:tcPr>
            <w:tcW w:w="1820" w:type="dxa"/>
            <w:vAlign w:val="bottom"/>
          </w:tcPr>
          <w:p>
            <w:pPr>
              <w:ind w:left="480"/>
              <w:spacing w:after="0" w:line="189" w:lineRule="exact"/>
              <w:rPr>
                <w:sz w:val="20"/>
                <w:szCs w:val="20"/>
                <w:color w:val="auto"/>
              </w:rPr>
            </w:pPr>
            <w:r>
              <w:rPr>
                <w:rFonts w:ascii="Arial" w:cs="Arial" w:eastAsia="Arial" w:hAnsi="Arial"/>
                <w:sz w:val="18"/>
                <w:szCs w:val="18"/>
                <w:color w:val="auto"/>
                <w:w w:val="91"/>
              </w:rPr>
              <w:t>Large accelerated</w:t>
            </w:r>
          </w:p>
        </w:tc>
        <w:tc>
          <w:tcPr>
            <w:tcW w:w="540" w:type="dxa"/>
            <w:vAlign w:val="bottom"/>
          </w:tcPr>
          <w:p>
            <w:pPr>
              <w:spacing w:after="0"/>
              <w:rPr>
                <w:sz w:val="16"/>
                <w:szCs w:val="16"/>
                <w:color w:val="auto"/>
              </w:rPr>
            </w:pPr>
          </w:p>
        </w:tc>
        <w:tc>
          <w:tcPr>
            <w:tcW w:w="18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64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1820" w:type="dxa"/>
            <w:vAlign w:val="bottom"/>
          </w:tcPr>
          <w:p>
            <w:pPr>
              <w:ind w:left="20"/>
              <w:spacing w:after="0" w:line="196" w:lineRule="exact"/>
              <w:rPr>
                <w:sz w:val="20"/>
                <w:szCs w:val="20"/>
                <w:color w:val="auto"/>
              </w:rPr>
            </w:pPr>
            <w:r>
              <w:rPr>
                <w:rFonts w:ascii="Arial" w:cs="Arial" w:eastAsia="Arial" w:hAnsi="Arial"/>
                <w:sz w:val="18"/>
                <w:szCs w:val="18"/>
                <w:color w:val="auto"/>
              </w:rPr>
              <w:t>filer</w:t>
            </w:r>
          </w:p>
        </w:tc>
        <w:tc>
          <w:tcPr>
            <w:tcW w:w="54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480"/>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jc w:val="both"/>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8720" w:type="dxa"/>
            <w:vAlign w:val="bottom"/>
            <w:gridSpan w:val="3"/>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230"/>
        </w:trPr>
        <w:tc>
          <w:tcPr>
            <w:tcW w:w="11240" w:type="dxa"/>
            <w:vAlign w:val="bottom"/>
            <w:gridSpan w:val="6"/>
          </w:tcPr>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176"/>
        </w:trPr>
        <w:tc>
          <w:tcPr>
            <w:tcW w:w="2020" w:type="dxa"/>
            <w:vAlign w:val="bottom"/>
          </w:tcPr>
          <w:p>
            <w:pPr>
              <w:spacing w:after="0"/>
              <w:rPr>
                <w:sz w:val="15"/>
                <w:szCs w:val="15"/>
                <w:color w:val="auto"/>
              </w:rPr>
            </w:pPr>
          </w:p>
        </w:tc>
        <w:tc>
          <w:tcPr>
            <w:tcW w:w="6700" w:type="dxa"/>
            <w:vAlign w:val="bottom"/>
            <w:gridSpan w:val="2"/>
          </w:tcPr>
          <w:p>
            <w:pPr>
              <w:jc w:val="center"/>
              <w:ind w:right="6380"/>
              <w:spacing w:after="0"/>
              <w:rPr>
                <w:sz w:val="20"/>
                <w:szCs w:val="20"/>
                <w:color w:val="auto"/>
              </w:rPr>
            </w:pPr>
            <w:r>
              <w:rPr>
                <w:rFonts w:ascii="Arial" w:cs="Arial" w:eastAsia="Arial" w:hAnsi="Arial"/>
                <w:sz w:val="14"/>
                <w:szCs w:val="14"/>
                <w:b w:val="1"/>
                <w:bCs w:val="1"/>
                <w:color w:val="auto"/>
                <w:w w:val="85"/>
              </w:rPr>
              <w:t>Class</w:t>
            </w:r>
          </w:p>
        </w:tc>
        <w:tc>
          <w:tcPr>
            <w:tcW w:w="252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95"/>
              </w:rPr>
              <w:t>Outstanding at May 3, 2022</w:t>
            </w:r>
          </w:p>
        </w:tc>
      </w:tr>
      <w:tr>
        <w:trPr>
          <w:trHeight w:val="20"/>
        </w:trPr>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0"/>
        </w:trPr>
        <w:tc>
          <w:tcPr>
            <w:tcW w:w="8720" w:type="dxa"/>
            <w:vAlign w:val="bottom"/>
            <w:gridSpan w:val="3"/>
          </w:tcPr>
          <w:p>
            <w:pPr>
              <w:jc w:val="center"/>
              <w:ind w:right="4340"/>
              <w:spacing w:after="0"/>
              <w:rPr>
                <w:sz w:val="20"/>
                <w:szCs w:val="20"/>
                <w:color w:val="auto"/>
              </w:rPr>
            </w:pPr>
            <w:r>
              <w:rPr>
                <w:rFonts w:ascii="Arial" w:cs="Arial" w:eastAsia="Arial" w:hAnsi="Arial"/>
                <w:sz w:val="18"/>
                <w:szCs w:val="18"/>
                <w:color w:val="auto"/>
                <w:w w:val="90"/>
              </w:rPr>
              <w:t>Common stock, par value $0.01</w:t>
            </w:r>
          </w:p>
        </w:tc>
        <w:tc>
          <w:tcPr>
            <w:tcW w:w="2180" w:type="dxa"/>
            <w:vAlign w:val="bottom"/>
            <w:gridSpan w:val="2"/>
          </w:tcPr>
          <w:p>
            <w:pPr>
              <w:jc w:val="right"/>
              <w:ind w:right="420"/>
              <w:spacing w:after="0"/>
              <w:rPr>
                <w:sz w:val="20"/>
                <w:szCs w:val="20"/>
                <w:color w:val="auto"/>
              </w:rPr>
            </w:pPr>
            <w:r>
              <w:rPr>
                <w:rFonts w:ascii="Arial" w:cs="Arial" w:eastAsia="Arial" w:hAnsi="Arial"/>
                <w:sz w:val="18"/>
                <w:szCs w:val="18"/>
                <w:color w:val="auto"/>
              </w:rPr>
              <w:t>115,964,950</w:t>
            </w:r>
          </w:p>
        </w:tc>
        <w:tc>
          <w:tcPr>
            <w:tcW w:w="340" w:type="dxa"/>
            <w:vAlign w:val="bottom"/>
          </w:tcPr>
          <w:p>
            <w:pPr>
              <w:spacing w:after="0"/>
              <w:rPr>
                <w:sz w:val="21"/>
                <w:szCs w:val="21"/>
                <w:color w:val="auto"/>
              </w:rPr>
            </w:pPr>
          </w:p>
        </w:tc>
      </w:tr>
      <w:tr>
        <w:trPr>
          <w:trHeight w:val="776"/>
        </w:trPr>
        <w:tc>
          <w:tcPr>
            <w:tcW w:w="2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180" w:type="dxa"/>
            <w:vAlign w:val="bottom"/>
            <w:gridSpan w:val="13"/>
          </w:tcPr>
          <w:p>
            <w:pPr>
              <w:ind w:left="8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10180" w:type="dxa"/>
            <w:vAlign w:val="bottom"/>
            <w:gridSpan w:val="13"/>
          </w:tcPr>
          <w:p>
            <w:pPr>
              <w:ind w:left="800"/>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March 31, 2022 (unaudited) and December 31, 2021</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 - Three Months Ended March 31, 2022 and 2021</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1"/>
          </w:tcPr>
          <w:p>
            <w:pPr>
              <w:spacing w:after="0"/>
              <w:rPr>
                <w:rFonts w:ascii="Arial" w:cs="Arial" w:eastAsia="Arial" w:hAnsi="Arial"/>
                <w:sz w:val="18"/>
                <w:szCs w:val="18"/>
                <w:color w:val="0000FF"/>
                <w:w w:val="96"/>
              </w:rPr>
            </w:pPr>
            <w:hyperlink w:anchor="page4">
              <w:r>
                <w:rPr>
                  <w:rFonts w:ascii="Arial" w:cs="Arial" w:eastAsia="Arial" w:hAnsi="Arial"/>
                  <w:sz w:val="18"/>
                  <w:szCs w:val="18"/>
                  <w:color w:val="0000FF"/>
                  <w:w w:val="96"/>
                </w:rPr>
                <w:t>Condensed Consolidated Statements of Comprehensive Loss (unaudited) - Three Months Ended March 31, 2022 and</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2021</w:t>
              </w:r>
            </w:hyperlink>
          </w:p>
        </w:tc>
        <w:tc>
          <w:tcPr>
            <w:tcW w:w="8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1"/>
          </w:tcPr>
          <w:p>
            <w:pPr>
              <w:spacing w:after="0"/>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Statements of Stockholders’ Deficit (unaudited) - Three Months Ended March 31, 2022 and</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2021</w:t>
              </w:r>
            </w:hyperlink>
          </w:p>
        </w:tc>
        <w:tc>
          <w:tcPr>
            <w:tcW w:w="8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80" w:type="dxa"/>
            <w:vAlign w:val="bottom"/>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Cash Flows (unaudited) - Three Months Ended March 31, 2022 and 2021</w:t>
              </w:r>
            </w:hyperlink>
          </w:p>
        </w:tc>
        <w:tc>
          <w:tcPr>
            <w:tcW w:w="960" w:type="dxa"/>
            <w:vAlign w:val="bottom"/>
            <w:gridSpan w:val="3"/>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gridSpan w:val="1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20">
              <w:r>
                <w:rPr>
                  <w:rFonts w:ascii="Arial" w:cs="Arial" w:eastAsia="Arial" w:hAnsi="Arial"/>
                  <w:sz w:val="18"/>
                  <w:szCs w:val="18"/>
                  <w:color w:val="0000FF"/>
                  <w:w w:val="87"/>
                </w:rPr>
                <w:t>Item 2.</w:t>
              </w:r>
            </w:hyperlink>
          </w:p>
        </w:tc>
        <w:tc>
          <w:tcPr>
            <w:tcW w:w="10180" w:type="dxa"/>
            <w:vAlign w:val="bottom"/>
            <w:gridSpan w:val="13"/>
          </w:tcPr>
          <w:p>
            <w:pPr>
              <w:ind w:left="800"/>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0">
              <w:r>
                <w:rPr>
                  <w:rFonts w:ascii="Arial" w:cs="Arial" w:eastAsia="Arial" w:hAnsi="Arial"/>
                  <w:sz w:val="18"/>
                  <w:szCs w:val="18"/>
                  <w:color w:val="0000FF"/>
                  <w:w w:val="79"/>
                </w:rPr>
                <w:t>21</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Item 3.</w:t>
              </w:r>
            </w:hyperlink>
          </w:p>
        </w:tc>
        <w:tc>
          <w:tcPr>
            <w:tcW w:w="10180" w:type="dxa"/>
            <w:vAlign w:val="bottom"/>
            <w:gridSpan w:val="13"/>
          </w:tcPr>
          <w:p>
            <w:pPr>
              <w:ind w:left="800"/>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36">
              <w:r>
                <w:rPr>
                  <w:rFonts w:ascii="Arial" w:cs="Arial" w:eastAsia="Arial" w:hAnsi="Arial"/>
                  <w:sz w:val="18"/>
                  <w:szCs w:val="18"/>
                  <w:color w:val="0000FF"/>
                  <w:w w:val="87"/>
                </w:rPr>
                <w:t>Item 4.</w:t>
              </w:r>
            </w:hyperlink>
          </w:p>
        </w:tc>
        <w:tc>
          <w:tcPr>
            <w:tcW w:w="10180" w:type="dxa"/>
            <w:vAlign w:val="bottom"/>
            <w:gridSpan w:val="13"/>
          </w:tcPr>
          <w:p>
            <w:pPr>
              <w:ind w:left="800"/>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10000" w:type="dxa"/>
            <w:vAlign w:val="bottom"/>
            <w:gridSpan w:val="8"/>
          </w:tcPr>
          <w:p>
            <w:pPr>
              <w:ind w:left="62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0"/>
                <w:szCs w:val="20"/>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rFonts w:ascii="Arial" w:cs="Arial" w:eastAsia="Arial" w:hAnsi="Arial"/>
                <w:sz w:val="18"/>
                <w:szCs w:val="18"/>
                <w:color w:val="0000FF"/>
                <w:w w:val="83"/>
              </w:rPr>
            </w:pPr>
            <w:hyperlink w:anchor="page38">
              <w:r>
                <w:rPr>
                  <w:rFonts w:ascii="Arial" w:cs="Arial" w:eastAsia="Arial" w:hAnsi="Arial"/>
                  <w:sz w:val="18"/>
                  <w:szCs w:val="18"/>
                  <w:color w:val="0000FF"/>
                  <w:w w:val="83"/>
                </w:rPr>
                <w:t>Item 1.</w:t>
              </w:r>
            </w:hyperlink>
          </w:p>
        </w:tc>
        <w:tc>
          <w:tcPr>
            <w:tcW w:w="180" w:type="dxa"/>
            <w:vAlign w:val="bottom"/>
            <w:gridSpan w:val="2"/>
          </w:tcPr>
          <w:p>
            <w:pPr>
              <w:spacing w:after="0"/>
              <w:rPr>
                <w:sz w:val="16"/>
                <w:szCs w:val="16"/>
                <w:color w:val="auto"/>
              </w:rPr>
            </w:pPr>
          </w:p>
        </w:tc>
        <w:tc>
          <w:tcPr>
            <w:tcW w:w="10000" w:type="dxa"/>
            <w:vAlign w:val="bottom"/>
            <w:gridSpan w:val="8"/>
          </w:tcPr>
          <w:p>
            <w:pPr>
              <w:ind w:left="620"/>
              <w:spacing w:after="0" w:line="190" w:lineRule="exact"/>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180" w:type="dxa"/>
            <w:vAlign w:val="bottom"/>
          </w:tcPr>
          <w:p>
            <w:pPr>
              <w:jc w:val="right"/>
              <w:spacing w:after="0" w:line="190"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Item 1A.</w:t>
              </w:r>
            </w:hyperlink>
          </w:p>
        </w:tc>
        <w:tc>
          <w:tcPr>
            <w:tcW w:w="10000" w:type="dxa"/>
            <w:vAlign w:val="bottom"/>
            <w:gridSpan w:val="8"/>
          </w:tcPr>
          <w:p>
            <w:pPr>
              <w:ind w:left="620"/>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2.</w:t>
              </w:r>
            </w:hyperlink>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0" w:type="dxa"/>
            <w:vAlign w:val="bottom"/>
            <w:gridSpan w:val="8"/>
          </w:tcPr>
          <w:p>
            <w:pPr>
              <w:ind w:left="620"/>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 xml:space="preserve">Item </w:t>
              </w:r>
            </w:hyperlink>
            <w:r>
              <w:rPr>
                <w:rFonts w:ascii="Arial" w:cs="Arial" w:eastAsia="Arial" w:hAnsi="Arial"/>
                <w:sz w:val="18"/>
                <w:szCs w:val="18"/>
                <w:color w:val="0000FF"/>
                <w:w w:val="83"/>
              </w:rPr>
              <w:t>3.</w:t>
            </w:r>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rFonts w:ascii="Arial" w:cs="Arial" w:eastAsia="Arial" w:hAnsi="Arial"/>
                <w:sz w:val="18"/>
                <w:szCs w:val="18"/>
                <w:color w:val="0000FF"/>
              </w:rPr>
            </w:pPr>
            <w:hyperlink w:anchor="page38">
              <w:r>
                <w:rPr>
                  <w:rFonts w:ascii="Arial" w:cs="Arial" w:eastAsia="Arial" w:hAnsi="Arial"/>
                  <w:sz w:val="18"/>
                  <w:szCs w:val="18"/>
                  <w:color w:val="0000FF"/>
                </w:rPr>
                <w:t>Default Upon Senior Securities</w:t>
              </w:r>
            </w:hyperlink>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4.</w:t>
              </w:r>
            </w:hyperlink>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rFonts w:ascii="Arial" w:cs="Arial" w:eastAsia="Arial" w:hAnsi="Arial"/>
                <w:sz w:val="18"/>
                <w:szCs w:val="18"/>
                <w:color w:val="0000FF"/>
              </w:rPr>
            </w:pPr>
            <w:hyperlink w:anchor="page38">
              <w:r>
                <w:rPr>
                  <w:rFonts w:ascii="Arial" w:cs="Arial" w:eastAsia="Arial" w:hAnsi="Arial"/>
                  <w:sz w:val="18"/>
                  <w:szCs w:val="18"/>
                  <w:color w:val="0000FF"/>
                </w:rPr>
                <w:t>Mine Safety Disclosures</w:t>
              </w:r>
            </w:hyperlink>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5.</w:t>
              </w:r>
            </w:hyperlink>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3"/>
              </w:rPr>
            </w:pPr>
            <w:hyperlink w:anchor="page38">
              <w:r>
                <w:rPr>
                  <w:rFonts w:ascii="Arial" w:cs="Arial" w:eastAsia="Arial" w:hAnsi="Arial"/>
                  <w:sz w:val="18"/>
                  <w:szCs w:val="18"/>
                  <w:color w:val="0000FF"/>
                  <w:w w:val="83"/>
                </w:rPr>
                <w:t>Item 6.</w:t>
              </w:r>
            </w:hyperlink>
          </w:p>
        </w:tc>
        <w:tc>
          <w:tcPr>
            <w:tcW w:w="180" w:type="dxa"/>
            <w:vAlign w:val="bottom"/>
            <w:gridSpan w:val="2"/>
          </w:tcPr>
          <w:p>
            <w:pPr>
              <w:spacing w:after="0"/>
              <w:rPr>
                <w:sz w:val="18"/>
                <w:szCs w:val="18"/>
                <w:color w:val="auto"/>
              </w:rPr>
            </w:pPr>
          </w:p>
        </w:tc>
        <w:tc>
          <w:tcPr>
            <w:tcW w:w="10000" w:type="dxa"/>
            <w:vAlign w:val="bottom"/>
            <w:gridSpan w:val="8"/>
          </w:tcPr>
          <w:p>
            <w:pPr>
              <w:ind w:left="62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180" w:type="dxa"/>
            <w:vAlign w:val="bottom"/>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39</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Signature</w:t>
              </w:r>
            </w:hyperlink>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40" w:type="dxa"/>
            <w:vAlign w:val="bottom"/>
          </w:tcPr>
          <w:p>
            <w:pPr>
              <w:jc w:val="right"/>
              <w:ind w:right="141"/>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7"/>
        </w:trPr>
        <w:tc>
          <w:tcPr>
            <w:tcW w:w="79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2,317,352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2,522,530</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4,896</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 of $100,101 and $111,319</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199,463</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72,244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69,967</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79,061</w:t>
            </w:r>
          </w:p>
        </w:tc>
        <w:tc>
          <w:tcPr>
            <w:tcW w:w="0" w:type="dxa"/>
            <w:vAlign w:val="bottom"/>
          </w:tcPr>
          <w:p>
            <w:pPr>
              <w:spacing w:after="0"/>
              <w:rPr>
                <w:sz w:val="1"/>
                <w:szCs w:val="1"/>
                <w:color w:val="auto"/>
              </w:rPr>
            </w:pPr>
          </w:p>
        </w:tc>
      </w:tr>
      <w:tr>
        <w:trPr>
          <w:trHeight w:val="196"/>
        </w:trPr>
        <w:tc>
          <w:tcPr>
            <w:tcW w:w="7940" w:type="dxa"/>
            <w:vAlign w:val="bottom"/>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2,665,607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2,875,917</w:t>
            </w: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8,670,727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8,765,308</w:t>
            </w:r>
          </w:p>
        </w:tc>
        <w:tc>
          <w:tcPr>
            <w:tcW w:w="0" w:type="dxa"/>
            <w:vAlign w:val="bottom"/>
          </w:tcPr>
          <w:p>
            <w:pPr>
              <w:spacing w:after="0"/>
              <w:rPr>
                <w:sz w:val="1"/>
                <w:szCs w:val="1"/>
                <w:color w:val="auto"/>
              </w:rPr>
            </w:pPr>
          </w:p>
        </w:tc>
      </w:tr>
      <w:tr>
        <w:trPr>
          <w:trHeight w:val="201"/>
        </w:trPr>
        <w:tc>
          <w:tcPr>
            <w:tcW w:w="79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3,641</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307,578</w:t>
            </w:r>
          </w:p>
        </w:tc>
        <w:tc>
          <w:tcPr>
            <w:tcW w:w="0" w:type="dxa"/>
            <w:vAlign w:val="bottom"/>
          </w:tcPr>
          <w:p>
            <w:pPr>
              <w:spacing w:after="0"/>
              <w:rPr>
                <w:sz w:val="1"/>
                <w:szCs w:val="1"/>
                <w:color w:val="auto"/>
              </w:rPr>
            </w:pPr>
          </w:p>
        </w:tc>
      </w:tr>
      <w:tr>
        <w:trPr>
          <w:trHeight w:val="201"/>
        </w:trPr>
        <w:tc>
          <w:tcPr>
            <w:tcW w:w="794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363,891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371,365</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203,466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207,017</w:t>
            </w:r>
          </w:p>
        </w:tc>
        <w:tc>
          <w:tcPr>
            <w:tcW w:w="0" w:type="dxa"/>
            <w:vAlign w:val="bottom"/>
          </w:tcPr>
          <w:p>
            <w:pPr>
              <w:spacing w:after="0"/>
              <w:rPr>
                <w:sz w:val="1"/>
                <w:szCs w:val="1"/>
                <w:color w:val="auto"/>
              </w:rPr>
            </w:pPr>
          </w:p>
        </w:tc>
      </w:tr>
      <w:tr>
        <w:trPr>
          <w:trHeight w:val="196"/>
        </w:trPr>
        <w:tc>
          <w:tcPr>
            <w:tcW w:w="794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12,179,310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12,530,826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4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DEFICIT</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and construction payables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170,542</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Customer deposits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423,859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436,388</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Gaming taxes payable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73,173</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142,490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206,225</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132,877</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218,675</w:t>
            </w:r>
          </w:p>
        </w:tc>
        <w:tc>
          <w:tcPr>
            <w:tcW w:w="0" w:type="dxa"/>
            <w:vAlign w:val="bottom"/>
          </w:tcPr>
          <w:p>
            <w:pPr>
              <w:spacing w:after="0"/>
              <w:rPr>
                <w:sz w:val="1"/>
                <w:szCs w:val="1"/>
                <w:color w:val="auto"/>
              </w:rPr>
            </w:pPr>
          </w:p>
        </w:tc>
      </w:tr>
      <w:tr>
        <w:trPr>
          <w:trHeight w:val="196"/>
        </w:trPr>
        <w:tc>
          <w:tcPr>
            <w:tcW w:w="7940" w:type="dxa"/>
            <w:vAlign w:val="bottom"/>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1,154,246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1,287,880</w:t>
            </w: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11,872,894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11,884,546</w:t>
            </w:r>
          </w:p>
        </w:tc>
        <w:tc>
          <w:tcPr>
            <w:tcW w:w="0" w:type="dxa"/>
            <w:vAlign w:val="bottom"/>
          </w:tcPr>
          <w:p>
            <w:pPr>
              <w:spacing w:after="0"/>
              <w:rPr>
                <w:sz w:val="1"/>
                <w:szCs w:val="1"/>
                <w:color w:val="auto"/>
              </w:rPr>
            </w:pPr>
          </w:p>
        </w:tc>
      </w:tr>
      <w:tr>
        <w:trPr>
          <w:trHeight w:val="201"/>
        </w:trPr>
        <w:tc>
          <w:tcPr>
            <w:tcW w:w="79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113,321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115,187</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72,108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79,428</w:t>
            </w:r>
          </w:p>
        </w:tc>
        <w:tc>
          <w:tcPr>
            <w:tcW w:w="0" w:type="dxa"/>
            <w:vAlign w:val="bottom"/>
          </w:tcPr>
          <w:p>
            <w:pPr>
              <w:spacing w:after="0"/>
              <w:rPr>
                <w:sz w:val="1"/>
                <w:szCs w:val="1"/>
                <w:color w:val="auto"/>
              </w:rPr>
            </w:pPr>
          </w:p>
        </w:tc>
      </w:tr>
      <w:tr>
        <w:trPr>
          <w:trHeight w:val="196"/>
        </w:trPr>
        <w:tc>
          <w:tcPr>
            <w:tcW w:w="7940" w:type="dxa"/>
            <w:vAlign w:val="bottom"/>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13,212,569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13,367,041</w:t>
            </w: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15)</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Stockholders' deficit:</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7940" w:type="dxa"/>
            <w:vAlign w:val="bottom"/>
          </w:tcPr>
          <w:p>
            <w:pPr>
              <w:ind w:left="360"/>
              <w:spacing w:after="0" w:line="148" w:lineRule="exact"/>
              <w:rPr>
                <w:sz w:val="20"/>
                <w:szCs w:val="20"/>
                <w:color w:val="auto"/>
              </w:rPr>
            </w:pPr>
            <w:r>
              <w:rPr>
                <w:rFonts w:ascii="Arial" w:cs="Arial" w:eastAsia="Arial" w:hAnsi="Arial"/>
                <w:sz w:val="16"/>
                <w:szCs w:val="16"/>
                <w:color w:val="auto"/>
                <w:w w:val="96"/>
              </w:rPr>
              <w:t>Common stock, par value $0.01; 400,000,000 shares authorized; 131,789,909 and 131,449,806 shares issued;</w:t>
            </w:r>
          </w:p>
        </w:tc>
        <w:tc>
          <w:tcPr>
            <w:tcW w:w="2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1,314</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115,917,961 and 115,714,943 shares outstanding, respectively</w:t>
            </w: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at cost; 15,871,948 and 15,734,863 shares, respectively</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(1,448,040)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(1,436,373)</w:t>
            </w:r>
          </w:p>
        </w:tc>
        <w:tc>
          <w:tcPr>
            <w:tcW w:w="0" w:type="dxa"/>
            <w:vAlign w:val="bottom"/>
          </w:tcPr>
          <w:p>
            <w:pPr>
              <w:spacing w:after="0"/>
              <w:rPr>
                <w:sz w:val="1"/>
                <w:szCs w:val="1"/>
                <w:color w:val="auto"/>
              </w:rPr>
            </w:pPr>
          </w:p>
        </w:tc>
      </w:tr>
      <w:tr>
        <w:trPr>
          <w:trHeight w:val="201"/>
        </w:trPr>
        <w:tc>
          <w:tcPr>
            <w:tcW w:w="79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3,571,666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3,502,715</w:t>
            </w:r>
          </w:p>
        </w:tc>
        <w:tc>
          <w:tcPr>
            <w:tcW w:w="0" w:type="dxa"/>
            <w:vAlign w:val="bottom"/>
          </w:tcPr>
          <w:p>
            <w:pPr>
              <w:spacing w:after="0"/>
              <w:rPr>
                <w:sz w:val="1"/>
                <w:szCs w:val="1"/>
                <w:color w:val="auto"/>
              </w:rPr>
            </w:pPr>
          </w:p>
        </w:tc>
      </w:tr>
      <w:tr>
        <w:trPr>
          <w:trHeight w:val="204"/>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w:t>
            </w:r>
          </w:p>
        </w:tc>
        <w:tc>
          <w:tcPr>
            <w:tcW w:w="0" w:type="dxa"/>
            <w:vAlign w:val="bottom"/>
          </w:tcPr>
          <w:p>
            <w:pPr>
              <w:spacing w:after="0"/>
              <w:rPr>
                <w:sz w:val="1"/>
                <w:szCs w:val="1"/>
                <w:color w:val="auto"/>
              </w:rPr>
            </w:pPr>
          </w:p>
        </w:tc>
      </w:tr>
      <w:tr>
        <w:trPr>
          <w:trHeight w:val="201"/>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(2,471,285)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(2,288,078)</w:t>
            </w: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Wynn Resorts, Limited stockholders' deficit</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(337,040)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(214,418)</w:t>
            </w:r>
          </w:p>
        </w:tc>
        <w:tc>
          <w:tcPr>
            <w:tcW w:w="0" w:type="dxa"/>
            <w:vAlign w:val="bottom"/>
          </w:tcPr>
          <w:p>
            <w:pPr>
              <w:spacing w:after="0"/>
              <w:rPr>
                <w:sz w:val="1"/>
                <w:szCs w:val="1"/>
                <w:color w:val="auto"/>
              </w:rPr>
            </w:pPr>
          </w:p>
        </w:tc>
      </w:tr>
      <w:tr>
        <w:trPr>
          <w:trHeight w:val="201"/>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(696,219)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(621,797)</w:t>
            </w:r>
          </w:p>
        </w:tc>
        <w:tc>
          <w:tcPr>
            <w:tcW w:w="0" w:type="dxa"/>
            <w:vAlign w:val="bottom"/>
          </w:tcPr>
          <w:p>
            <w:pPr>
              <w:spacing w:after="0"/>
              <w:rPr>
                <w:sz w:val="1"/>
                <w:szCs w:val="1"/>
                <w:color w:val="auto"/>
              </w:rPr>
            </w:pPr>
          </w:p>
        </w:tc>
      </w:tr>
      <w:tr>
        <w:trPr>
          <w:trHeight w:val="197"/>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stockholders' deficit</w:t>
            </w:r>
          </w:p>
        </w:tc>
        <w:tc>
          <w:tcPr>
            <w:tcW w:w="2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(1,033,259)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(836,215)</w:t>
            </w:r>
          </w:p>
        </w:tc>
        <w:tc>
          <w:tcPr>
            <w:tcW w:w="0" w:type="dxa"/>
            <w:vAlign w:val="bottom"/>
          </w:tcPr>
          <w:p>
            <w:pPr>
              <w:spacing w:after="0"/>
              <w:rPr>
                <w:sz w:val="1"/>
                <w:szCs w:val="1"/>
                <w:color w:val="auto"/>
              </w:rPr>
            </w:pPr>
          </w:p>
        </w:tc>
      </w:tr>
      <w:tr>
        <w:trPr>
          <w:trHeight w:val="196"/>
        </w:trPr>
        <w:tc>
          <w:tcPr>
            <w:tcW w:w="794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deficit</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12,179,310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12,530,826</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1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Casino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489,862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516,218</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174,020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68,509</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75,765</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953,334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736,682</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Casino</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324,079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351,966</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146,656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73,948</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w:t>
            </w: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196,780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179,774</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185,121</w:t>
            </w:r>
          </w:p>
        </w:tc>
      </w:tr>
      <w:tr>
        <w:trPr>
          <w:trHeight w:val="229"/>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1,048,199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912,414</w:t>
            </w:r>
          </w:p>
        </w:tc>
      </w:tr>
      <w:tr>
        <w:trPr>
          <w:trHeight w:val="22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(175,732)</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(152,852)</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r>
      <w:tr>
        <w:trPr>
          <w:trHeight w:val="223"/>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Other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(158,605)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(159,954)</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(253,470)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(335,686)</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(254,610)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(336,179)</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(280,978)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Net loss attributable to Wynn Resorts, Limited: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940" w:type="dxa"/>
            <w:vAlign w:val="bottom"/>
          </w:tcPr>
          <w:p>
            <w:pPr>
              <w:ind w:left="6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40" w:type="dxa"/>
            <w:vAlign w:val="bottom"/>
          </w:tcPr>
          <w:p>
            <w:pPr>
              <w:ind w:left="6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111,020</w:t>
            </w:r>
          </w:p>
        </w:tc>
      </w:tr>
      <w:tr>
        <w:trPr>
          <w:trHeight w:val="230"/>
        </w:trPr>
        <w:tc>
          <w:tcPr>
            <w:tcW w:w="7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(336,179)</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before and after tax</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(250,013)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(332,147)</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54,066</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Comprehensive loss attributable to Wynn Resorts, Limited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(180,027)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(278,081)</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w w:val="89"/>
              </w:rPr>
              <w:t>For the Three Months Ended March 31, 2022</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115,714,943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1,314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(1,436,373)</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3,502,715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6,004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(2,288,078)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(214,418)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(621,797)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(836,215)</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(183,324)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(183,324)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(71,286)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(254,610)</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4,597</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3"/>
                <w:szCs w:val="13"/>
                <w:color w:val="auto"/>
              </w:rPr>
              <w:t>419,198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9,288</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w w:val="86"/>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(137,085)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(11,667)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(11,667)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(11,667)</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(9,279)</w:t>
            </w:r>
          </w:p>
        </w:tc>
        <w:tc>
          <w:tcPr>
            <w:tcW w:w="0" w:type="dxa"/>
            <w:vAlign w:val="bottom"/>
          </w:tcPr>
          <w:p>
            <w:pPr>
              <w:spacing w:after="0"/>
              <w:rPr>
                <w:sz w:val="1"/>
                <w:szCs w:val="1"/>
                <w:color w:val="auto"/>
              </w:rPr>
            </w:pPr>
          </w:p>
        </w:tc>
      </w:tr>
      <w:tr>
        <w:trPr>
          <w:trHeight w:val="122"/>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rPr>
              <w:t>Contribution from noncontrolling</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48,559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48,559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1,474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50,033</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interest</w:t>
            </w: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3,369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14,594</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Balances,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115,917,961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1,318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(1,448,040)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3,571,666</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9,301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(2,471,285)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(337,040)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(696,219)</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(1,033,259)</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560"/>
              <w:spacing w:after="0"/>
              <w:rPr>
                <w:sz w:val="20"/>
                <w:szCs w:val="20"/>
                <w:color w:val="auto"/>
              </w:rPr>
            </w:pPr>
            <w:r>
              <w:rPr>
                <w:rFonts w:ascii="Arial" w:cs="Arial" w:eastAsia="Arial" w:hAnsi="Arial"/>
                <w:sz w:val="13"/>
                <w:szCs w:val="13"/>
                <w:b w:val="1"/>
                <w:bCs w:val="1"/>
                <w:color w:val="auto"/>
                <w:w w:val="89"/>
              </w:rPr>
              <w:t>For the Three Months Ended March 31, 2021</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107,888,336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(1,422,531)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2,598,115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(1,532,420)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(737,317)</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(280,978)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(280,978)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(55,201)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(336,179)</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0" w:type="dxa"/>
            <w:vAlign w:val="bottom"/>
          </w:tcPr>
          <w:p>
            <w:pPr>
              <w:spacing w:after="0"/>
              <w:rPr>
                <w:sz w:val="1"/>
                <w:szCs w:val="1"/>
                <w:color w:val="auto"/>
              </w:rPr>
            </w:pPr>
          </w:p>
        </w:tc>
      </w:tr>
      <w:tr>
        <w:trPr>
          <w:trHeight w:val="122"/>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w w:val="90"/>
              </w:rPr>
              <w:t>Issuance of common stock, net of $17.7</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rPr>
              <w:t>million underwriter discounts,</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7,475,000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841,824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841,899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841,899</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commissions and other expenses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60" w:type="dxa"/>
            <w:vAlign w:val="bottom"/>
          </w:tcPr>
          <w:p>
            <w:pPr>
              <w:jc w:val="right"/>
              <w:spacing w:after="0"/>
              <w:rPr>
                <w:sz w:val="20"/>
                <w:szCs w:val="20"/>
                <w:color w:val="auto"/>
              </w:rPr>
            </w:pPr>
            <w:r>
              <w:rPr>
                <w:rFonts w:ascii="Arial" w:cs="Arial" w:eastAsia="Arial" w:hAnsi="Arial"/>
                <w:sz w:val="13"/>
                <w:szCs w:val="13"/>
                <w:color w:val="auto"/>
              </w:rPr>
              <w:t>(13,099)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6"/>
              </w:rPr>
              <w:t>Shares repurchased by the Company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(38,194)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(4,356)</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22,620</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Balances,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115,647,328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1,313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(1,426,887)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3,466,073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6,501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(1,813,317)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233,683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(436,622)</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(202,939)</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r>
      <w:tr>
        <w:trPr>
          <w:trHeight w:val="20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(254,610)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(336,179)</w:t>
            </w: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184,556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185,121</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24,346</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1,322</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credit losses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7,367</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Change in derivatives fair value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(4,409)</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charges and other</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16,710</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Increase (decrease) in cash from changes in: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(22,947)</w:t>
            </w:r>
          </w:p>
        </w:tc>
      </w:tr>
      <w:tr>
        <w:trPr>
          <w:trHeight w:val="213"/>
        </w:trPr>
        <w:tc>
          <w:tcPr>
            <w:tcW w:w="7940" w:type="dxa"/>
            <w:vAlign w:val="bottom"/>
          </w:tcPr>
          <w:p>
            <w:pPr>
              <w:ind w:left="680"/>
              <w:spacing w:after="0"/>
              <w:rPr>
                <w:sz w:val="20"/>
                <w:szCs w:val="20"/>
                <w:color w:val="auto"/>
              </w:rPr>
            </w:pPr>
            <w:r>
              <w:rPr>
                <w:rFonts w:ascii="Arial" w:cs="Arial" w:eastAsia="Arial" w:hAnsi="Arial"/>
                <w:sz w:val="16"/>
                <w:szCs w:val="16"/>
                <w:color w:val="auto"/>
              </w:rPr>
              <w:t>Inventories, prepaid expenses and other</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(21,411)</w:t>
            </w:r>
          </w:p>
        </w:tc>
      </w:tr>
      <w:tr>
        <w:trPr>
          <w:trHeight w:val="219"/>
        </w:trPr>
        <w:tc>
          <w:tcPr>
            <w:tcW w:w="7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Customer deposits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(131,336)</w:t>
            </w:r>
          </w:p>
        </w:tc>
      </w:tr>
      <w:tr>
        <w:trPr>
          <w:trHeight w:val="213"/>
        </w:trPr>
        <w:tc>
          <w:tcPr>
            <w:tcW w:w="79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20,565</w:t>
            </w:r>
          </w:p>
        </w:tc>
      </w:tr>
      <w:tr>
        <w:trPr>
          <w:trHeight w:val="213"/>
        </w:trPr>
        <w:tc>
          <w:tcPr>
            <w:tcW w:w="794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(117,385)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(253,906)</w:t>
            </w:r>
          </w:p>
        </w:tc>
      </w:tr>
      <w:tr>
        <w:trPr>
          <w:trHeight w:val="19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 net of construction payables and retention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(40,270)</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Purchase of intangible and other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(8,500)</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 and other</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7"/>
        </w:trPr>
        <w:tc>
          <w:tcPr>
            <w:tcW w:w="79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(97,215)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(48,636)</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3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50,084</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(1,166,737)</w:t>
            </w:r>
          </w:p>
        </w:tc>
      </w:tr>
      <w:tr>
        <w:trPr>
          <w:trHeight w:val="229"/>
        </w:trPr>
        <w:tc>
          <w:tcPr>
            <w:tcW w:w="7940" w:type="dxa"/>
            <w:vAlign w:val="bottom"/>
          </w:tcPr>
          <w:p>
            <w:pPr>
              <w:ind w:left="360"/>
              <w:spacing w:after="0"/>
              <w:rPr>
                <w:sz w:val="20"/>
                <w:szCs w:val="20"/>
                <w:color w:val="auto"/>
              </w:rPr>
            </w:pPr>
            <w:r>
              <w:rPr>
                <w:rFonts w:ascii="Arial" w:cs="Arial" w:eastAsia="Arial" w:hAnsi="Arial"/>
                <w:sz w:val="16"/>
                <w:szCs w:val="16"/>
                <w:color w:val="auto"/>
              </w:rPr>
              <w:t>Proceeds from issuance of Wynn Resorts, Limited common stock</w:t>
            </w: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841,899</w:t>
            </w: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Finance lease payments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(3,881)</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 to noncontrolling interest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Contribution from noncontrolling interest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paid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3"/>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for debt financing costs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r>
      <w:tr>
        <w:trPr>
          <w:trHeight w:val="213"/>
        </w:trPr>
        <w:tc>
          <w:tcPr>
            <w:tcW w:w="794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(285,440)</w:t>
            </w:r>
          </w:p>
        </w:tc>
      </w:tr>
      <w:tr>
        <w:trPr>
          <w:trHeight w:val="20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b w:val="1"/>
                <w:bCs w:val="1"/>
                <w:color w:val="auto"/>
              </w:rPr>
              <w:t>Decrease in cash, cash equivalents and restricted cash</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(204,653)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(589,113)</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Balance,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2,531,067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3,486,384</w:t>
            </w:r>
          </w:p>
        </w:tc>
      </w:tr>
      <w:tr>
        <w:trPr>
          <w:trHeight w:val="207"/>
        </w:trPr>
        <w:tc>
          <w:tcPr>
            <w:tcW w:w="7940" w:type="dxa"/>
            <w:vAlign w:val="bottom"/>
          </w:tcPr>
          <w:p>
            <w:pPr>
              <w:ind w:left="360"/>
              <w:spacing w:after="0"/>
              <w:rPr>
                <w:sz w:val="20"/>
                <w:szCs w:val="20"/>
                <w:color w:val="auto"/>
              </w:rPr>
            </w:pPr>
            <w:r>
              <w:rPr>
                <w:rFonts w:ascii="Arial" w:cs="Arial" w:eastAsia="Arial" w:hAnsi="Arial"/>
                <w:sz w:val="16"/>
                <w:szCs w:val="16"/>
                <w:b w:val="1"/>
                <w:bCs w:val="1"/>
                <w:color w:val="auto"/>
              </w:rPr>
              <w:t>Balance, 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2,326,414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2,897,271</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7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138,823</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Liability settled with shares of common stock</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6,272</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57,463</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Other liabilities related to intangible assets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5,501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13,748</w:t>
            </w: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Finance lease liabilities arising from obtaining finance lease assets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7,423</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Macau Special Administrative Region ("Macau") of the People's Republic of China ("PRC"),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owns 100% of and operates Encore Boston Harbor, an integrated resort. The Company also holds an approximately 74% interest in, and consolidates, Wynn Interactive Ltd. ("Wynn Interactive"), through which it operates online sports betting and gaming businesses in the United States and the United Kingdom, as well as a social casino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among other things, and the suspension or reduced accessibility of transportation to and from Macau. Although there have been periods during which certain restrictions and conditions were eased by the Macau government to allow for greater visitation and quarantine-free travel to Macau, adverse conditions and evolving conditions created by and in response to the COVID-19 pandemic may cause these restrictions and conditions to be reintroduced.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w:t>
      </w:r>
    </w:p>
    <w:p>
      <w:pPr>
        <w:spacing w:after="0" w:line="2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COVID-19 pandemic has materially impacted and is likely to continue to materially impact our business, financial condition and results of operations. As of March 31, 2022, the Company had total cash and cash equivalents, excluding restricted cash, of $2.32 billion, and had access to $835.6 million of available borrowing capacity from the WRF Revolver and $211.9 million of available borrowing capacity from the WM Cayman II Revolver. As a result of the negative impact the COVID-19 pandemic has had, and will likely continue to have, on our operating income, the Company has suspended its dividend program for the foreseeable future. Given the Company's liquidity position as of March 31, 2022, the Company believes it will be able to support continuing operations and respond to the continuing impact of the COVID-19 pandemic and related economic disruptions.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Gaming Concession</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term of the Company's gaming concession agreement with the Macau government ends on June 26, 2022. If the term of this concession agreement is not extended, renewed or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and scope as of the issue date of the respective senior notes or the date of the facility agreement, for a period of 10 consecutive days or more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21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January 2022, the Macau government published a draft of its proposed revisions to the gaming law which is currently under review by the Macau Legislative Assembly. On March 3, 2022, the Macau government announced its intention to extend the term of Macau’s six gaming concession and subconcession contracts until December 31, 2022 in order to ensure sufficient time to complete the amendment to the Macau gaming law and to conduct a public tender for the awarding of new gaming concessions contracts. The Macau government invited Wynn Resorts (Macau) S.A. ("WRM") to submit a formal request for an extension along with a commitment to pay the Macau government approximately 47.0 million Macau pataca (MOP) (approximately $5.8 million) and provided a bank guarantee to secure the fulfillment of WRM’s payment obligations towards its employees should WRM be unsuccessful in tendering for a new concession contract after its concession expires. WRM submitted a request for an extension of its concession agreement on March 11, 2022, which is subject to approval by the Macau government. The Company is monitoring developments with respect to the Macau government’s concession extension and renewal process, and at this time believes that its concession agreement will be extended and renewed beyond June 26, 2022. If the Company is unable to extend or renew its concession agreement or obtain a new gaming concession agreement, and an election by the WML Senior Note holders to exercise the Special Put Option and the triggering of the Property Mandatory Prepayment Event would have a material adverse effect on the Company's business, financial condition, results of operations, and cash flows.</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months ended March 31, 2022 are not necessarily indicative of results to be expected for any other interim period or the full fiscal year ending December 31, 2022. These condensed consolidated financial statements should be read in conjunction with the consolidated financial statements and notes thereto in the Company's Annual Report on Form 10-K for the year ended December 31,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All significant intercompany accounts and transactions have been eliminated. Certain amounts in the condensed consolidated financial statements for the first quarter of 2021 have been reclassified to be consistent with the current quarter presentation. These reclassifications had no effect on the previously reported net loss or operating loss.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the cost of long-lived assets, fair value estimates of intangible assets and their estimated useful lives, and litigation and contingency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$176.9 million and $212.0 million for the three months ended March 31, 2022 and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("ASU 2020-04"). ASU 2020-04 provides optional expedients and exceptions for applying GAAP to contracts, hedging relationships, and other transactions affected by reference rate reform if certain criteria are met. In response to the concerns about structural risks of interbank offered rates and, particularly, the planned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must be adopted no later than December 1, 2022 with early adoption permitted. The Company is currently assessing the impact the adoption of the new guidance will have on its consolidated financial statements.</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56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r>
      <w:tr>
        <w:trPr>
          <w:trHeight w:val="216"/>
        </w:trPr>
        <w:tc>
          <w:tcPr>
            <w:tcW w:w="71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Cash and cash equivalents:</w:t>
            </w:r>
          </w:p>
        </w:tc>
        <w:tc>
          <w:tcPr>
            <w:tcW w:w="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5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1,765,903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2,021,553</w:t>
            </w:r>
          </w:p>
        </w:tc>
      </w:tr>
      <w:tr>
        <w:trPr>
          <w:trHeight w:val="230"/>
        </w:trPr>
        <w:tc>
          <w:tcPr>
            <w:tcW w:w="7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551,449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500,977</w:t>
            </w:r>
          </w:p>
        </w:tc>
      </w:tr>
      <w:tr>
        <w:trPr>
          <w:trHeight w:val="223"/>
        </w:trPr>
        <w:tc>
          <w:tcPr>
            <w:tcW w:w="7180" w:type="dxa"/>
            <w:vAlign w:val="bottom"/>
          </w:tcPr>
          <w:p>
            <w:pPr>
              <w:ind w:left="660"/>
              <w:spacing w:after="0"/>
              <w:rPr>
                <w:sz w:val="20"/>
                <w:szCs w:val="20"/>
                <w:color w:val="auto"/>
              </w:rPr>
            </w:pPr>
            <w:r>
              <w:rPr>
                <w:rFonts w:ascii="Arial" w:cs="Arial" w:eastAsia="Arial" w:hAnsi="Arial"/>
                <w:sz w:val="18"/>
                <w:szCs w:val="18"/>
                <w:b w:val="1"/>
                <w:bCs w:val="1"/>
                <w:color w:val="auto"/>
              </w:rPr>
              <w:t>Total cash and cash equivalents</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2,317,352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2,522,530</w:t>
            </w:r>
          </w:p>
        </w:tc>
      </w:tr>
      <w:tr>
        <w:trPr>
          <w:trHeight w:val="230"/>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r>
      <w:tr>
        <w:trPr>
          <w:trHeight w:val="228"/>
        </w:trPr>
        <w:tc>
          <w:tcPr>
            <w:tcW w:w="7180" w:type="dxa"/>
            <w:vAlign w:val="bottom"/>
          </w:tcPr>
          <w:p>
            <w:pPr>
              <w:ind w:left="4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2,326,414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2,531,067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wp:posOffset>
            </wp:positionV>
            <wp:extent cx="257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ind w:left="220" w:hanging="194"/>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ind w:left="220" w:hanging="194"/>
        <w:spacing w:after="0" w:line="20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ind w:left="220" w:hanging="194"/>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Restricted cash consists of cash subject to certain contractual restrictions, cash collateral associated with obligations and cash held in a trust in accordance with WML's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-261620</wp:posOffset>
            </wp:positionV>
            <wp:extent cx="2571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560" w:type="dxa"/>
            <w:vAlign w:val="bottom"/>
          </w:tcPr>
          <w:p>
            <w:pPr>
              <w:spacing w:after="0"/>
              <w:rPr>
                <w:sz w:val="16"/>
                <w:szCs w:val="16"/>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2021</w:t>
            </w:r>
          </w:p>
        </w:tc>
      </w:tr>
      <w:tr>
        <w:trPr>
          <w:trHeight w:val="229"/>
        </w:trPr>
        <w:tc>
          <w:tcPr>
            <w:tcW w:w="72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Casino</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191,884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199,030</w:t>
            </w:r>
          </w:p>
        </w:tc>
      </w:tr>
      <w:tr>
        <w:trPr>
          <w:trHeight w:val="230"/>
        </w:trPr>
        <w:tc>
          <w:tcPr>
            <w:tcW w:w="7220" w:type="dxa"/>
            <w:vAlign w:val="bottom"/>
          </w:tcPr>
          <w:p>
            <w:pPr>
              <w:ind w:left="440"/>
              <w:spacing w:after="0"/>
              <w:rPr>
                <w:sz w:val="20"/>
                <w:szCs w:val="20"/>
                <w:color w:val="auto"/>
              </w:rPr>
            </w:pPr>
            <w:r>
              <w:rPr>
                <w:rFonts w:ascii="Arial" w:cs="Arial" w:eastAsia="Arial" w:hAnsi="Arial"/>
                <w:sz w:val="18"/>
                <w:szCs w:val="18"/>
                <w:color w:val="auto"/>
              </w:rPr>
              <w:t>Hotel</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36,749</w:t>
            </w:r>
          </w:p>
        </w:tc>
      </w:tr>
      <w:tr>
        <w:trPr>
          <w:trHeight w:val="230"/>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75,003</w:t>
            </w:r>
          </w:p>
        </w:tc>
      </w:tr>
      <w:tr>
        <w:trPr>
          <w:trHeight w:val="223"/>
        </w:trPr>
        <w:tc>
          <w:tcPr>
            <w:tcW w:w="7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287,108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310,782</w:t>
            </w:r>
          </w:p>
        </w:tc>
      </w:tr>
      <w:tr>
        <w:trPr>
          <w:trHeight w:val="229"/>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allowance for credit losses</w:t>
            </w: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(111,319)</w:t>
            </w:r>
          </w:p>
        </w:tc>
      </w:tr>
      <w:tr>
        <w:trPr>
          <w:trHeight w:val="223"/>
        </w:trPr>
        <w:tc>
          <w:tcPr>
            <w:tcW w:w="7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187,007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199,463</w:t>
            </w:r>
          </w:p>
        </w:tc>
      </w:tr>
      <w:tr>
        <w:trPr>
          <w:trHeight w:val="20"/>
        </w:trPr>
        <w:tc>
          <w:tcPr>
            <w:tcW w:w="7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2022 and December 31, 2021, approximately 70.2% and 70.3%,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Company’s allowance for casino credit losses was 50.0% and 53.7% of gross casino receivables as of March 31, 2022 and December 31, 2021,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1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periods presented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7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100,329</w:t>
            </w:r>
          </w:p>
        </w:tc>
        <w:tc>
          <w:tcPr>
            <w:tcW w:w="0" w:type="dxa"/>
            <w:vAlign w:val="bottom"/>
          </w:tcPr>
          <w:p>
            <w:pPr>
              <w:spacing w:after="0"/>
              <w:rPr>
                <w:sz w:val="1"/>
                <w:szCs w:val="1"/>
                <w:color w:val="auto"/>
              </w:rPr>
            </w:pP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7,367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29"/>
        </w:trPr>
        <w:tc>
          <w:tcPr>
            <w:tcW w:w="794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 off</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102,412</w:t>
            </w:r>
          </w:p>
        </w:tc>
        <w:tc>
          <w:tcPr>
            <w:tcW w:w="0" w:type="dxa"/>
            <w:vAlign w:val="bottom"/>
          </w:tcPr>
          <w:p>
            <w:pPr>
              <w:spacing w:after="0"/>
              <w:rPr>
                <w:sz w:val="1"/>
                <w:szCs w:val="1"/>
                <w:color w:val="auto"/>
              </w:rPr>
            </w:pPr>
          </w:p>
        </w:tc>
      </w:tr>
      <w:tr>
        <w:trPr>
          <w:trHeight w:val="21"/>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94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29"/>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9,785,514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1,281,292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1,278,010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3,067,793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Airplanes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250,378</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14,500,099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14,492,318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(5,829,372)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(5,727,010)</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8,670,727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8,765,308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2022 and December 31, 2021, construction in progress consisted primarily of costs capitalized for various capital enhancements at the Company's properties, including the Wynn Las Vegas room remodel.</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expense for the three months ended March 31, 2022 and 2021 was $176.3 million and $177.7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 Real Estate Sale and Leaseback</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February 14, 2022, Wynn MA, LLC, the owner and operator of Encore Boston Harbor and an indirect, wholly owned subsidiary of WRL (“Wynn MA”), entered into a sale-leaseback arrangement with respect to certain real estate assets related to Encore Boston Harbor. Upon closing of the related transactions, which are currently expected to take place in the fourth quarter of 2022 subject to the receipt of required regulatory approvals and customary closing conditions, the Company expects to receive cash consideration of approximately $1.7 billion in exchange for the sale of such real estate assets to an unrelated third party, and to concurrently enter into a master lease agreement whereby Wynn MA and certain of its affiliates will lease such real estate assets for the purpose of continuing to operate the Encore Boston Harbor property. The master lease agreement provides for an initial annual rent of $100.0 million for a term of 30 years with one 30-year renewal option, subject to certain annual rent escalations. The Company expects to use the cash proceeds from the sale of the real estate assets for general corporate purposes, which may include the repayment of certain debt obligations.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movement in the Company's goodwill balance that occurred during the periods presented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r>
      <w:tr>
        <w:trPr>
          <w:trHeight w:val="187"/>
        </w:trPr>
        <w:tc>
          <w:tcPr>
            <w:tcW w:w="7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144,095</w:t>
            </w:r>
          </w:p>
        </w:tc>
      </w:tr>
      <w:tr>
        <w:trPr>
          <w:trHeight w:val="229"/>
        </w:trPr>
        <w:tc>
          <w:tcPr>
            <w:tcW w:w="794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1,312</w:t>
            </w:r>
          </w:p>
        </w:tc>
      </w:tr>
      <w:tr>
        <w:trPr>
          <w:trHeight w:val="230"/>
        </w:trPr>
        <w:tc>
          <w:tcPr>
            <w:tcW w:w="7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145,407</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March 31, 2022, as a result of changes in forecasts and other industry-specific factors, the Company identified interim indicators of impairment related to the goodwill assigned to the reporting units comprising Wynn Interactive. After revisiting the estimated fair value of those reporting units based on a combination of the income and market approaches, the Company recognized impairment of $30.3 million, which is recorded in Property charges and other in the accompanying Condensed Consolidated Statements of Operations.</w:t>
      </w:r>
    </w:p>
    <w:p>
      <w:pPr>
        <w:spacing w:after="0" w:line="19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7 -</w:t>
      </w:r>
      <w:r>
        <w:rPr>
          <w:sz w:val="20"/>
          <w:szCs w:val="20"/>
          <w:color w:val="auto"/>
        </w:rPr>
        <w:tab/>
      </w:r>
      <w:r>
        <w:rPr>
          <w:rFonts w:ascii="Arial" w:cs="Arial" w:eastAsia="Arial" w:hAnsi="Arial"/>
          <w:sz w:val="16"/>
          <w:szCs w:val="16"/>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Arial" w:cs="Arial" w:eastAsia="Arial" w:hAnsi="Arial"/>
                <w:sz w:val="14"/>
                <w:szCs w:val="14"/>
                <w:b w:val="1"/>
                <w:bCs w:val="1"/>
                <w:color w:val="auto"/>
                <w:w w:val="95"/>
              </w:rPr>
              <w:t>December 31, 2021</w:t>
            </w:r>
          </w:p>
        </w:tc>
      </w:tr>
      <w:tr>
        <w:trPr>
          <w:trHeight w:val="216"/>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 xml:space="preserve">WM Cayman II Revolver, due 2025 </w:t>
            </w:r>
            <w:r>
              <w:rPr>
                <w:rFonts w:ascii="Arial" w:cs="Arial" w:eastAsia="Arial" w:hAnsi="Arial"/>
                <w:sz w:val="14"/>
                <w:szCs w:val="14"/>
                <w:color w:val="auto"/>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1,283,922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1,287,766</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4 7/8% Senior Notes, due 2024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WML 5 1/2% Senior Notes, due 2026</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2027</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WML 5 5/8% Senior Notes, due 2028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1,350,000</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1/8% Senior Notes, due 2029</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57"/>
        </w:trPr>
        <w:tc>
          <w:tcPr>
            <w:tcW w:w="7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(2)</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WRF Term Loan, due 2024</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887,500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WLV 4 1/4% Senior Notes, due 2023</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1/2% Senior Notes, due 2025</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WLV 5 1/4% Senior Notes, due 2027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880,000</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7 3/4% Senior Notes, due 2025</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WRF 5 1/8% Senior Notes, due 2029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r>
      <w:tr>
        <w:trPr>
          <w:trHeight w:val="223"/>
        </w:trPr>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11,983,922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12,000,266</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(65,720)</w:t>
            </w:r>
          </w:p>
        </w:tc>
      </w:tr>
      <w:tr>
        <w:trPr>
          <w:trHeight w:val="223"/>
        </w:trPr>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11,922,894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11,934,546</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11,872,894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11,884,546</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both"/>
        <w:ind w:left="260" w:hanging="252"/>
        <w:spacing w:after="0" w:line="245"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borrowings under the WM Cayman II Revolver bear interest at LIBOR or HIBOR plus a margin of 1.875% to 2.875% per annum based on WM Cayman II’s leverage ratio on a consolidated basis. Approximately $268.2 million and $1.02 billion of the WM Cayman II Revolver bears interest at a rate of LIBOR plus 2.625% per year and HIBOR plus 2.625% per year, respectively. As of March 31, 2022, the weighted average interest rate was approximately 2.96%. As of March 31, 2022, the available borrowing capacity under the WM Cayman II Revolver was $211.9 million.</w:t>
      </w:r>
    </w:p>
    <w:p>
      <w:pPr>
        <w:spacing w:after="0" w:line="2" w:lineRule="exact"/>
        <w:rPr>
          <w:rFonts w:ascii="Arial" w:cs="Arial" w:eastAsia="Arial" w:hAnsi="Arial"/>
          <w:sz w:val="14"/>
          <w:szCs w:val="14"/>
          <w:color w:val="auto"/>
        </w:rPr>
      </w:pPr>
    </w:p>
    <w:p>
      <w:pPr>
        <w:ind w:left="260" w:hanging="252"/>
        <w:spacing w:after="0" w:line="241" w:lineRule="auto"/>
        <w:tabs>
          <w:tab w:leader="none" w:pos="23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March 31, 2022, the weighted average interest rate was approximately 2.21%. Additionally, as of March 31, 2022, the available borrowing capacity under the WRF Revolver was $835.6 million, net of $14.4 million in outstanding letters of credit.</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March 31, 2022, the effective interest rate was 2.70%.</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Cayman II Revolver Amendment</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Arial" w:cs="Arial" w:eastAsia="Arial" w:hAnsi="Arial"/>
          <w:sz w:val="18"/>
          <w:szCs w:val="18"/>
          <w:color w:val="242424"/>
        </w:rPr>
        <w:t>WML</w:t>
      </w:r>
      <w:r>
        <w:rPr>
          <w:rFonts w:ascii="Arial" w:cs="Arial" w:eastAsia="Arial" w:hAnsi="Arial"/>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2022, management believes the Company was in compliance with all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March 31, 2022 and December 31, 2021, was approximately $11.34 billion and $11.72 billion, respectively, compared to its carrying value, excluding debt issuance costs and original issue discount and premium, of $11.98 billion and $12.00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and commissions. The Company used the net proceeds from this equity offering for general corporate purposes, including the repayment of debt.</w:t>
      </w:r>
    </w:p>
    <w:p>
      <w:pPr>
        <w:spacing w:after="0" w:line="211" w:lineRule="exact"/>
        <w:rPr>
          <w:sz w:val="20"/>
          <w:szCs w:val="20"/>
          <w:color w:val="auto"/>
        </w:rPr>
      </w:pPr>
    </w:p>
    <w:p>
      <w:pPr>
        <w:jc w:val="center"/>
        <w:ind w:right="9480"/>
        <w:spacing w:after="0"/>
        <w:rPr>
          <w:sz w:val="20"/>
          <w:szCs w:val="20"/>
          <w:color w:val="auto"/>
        </w:rPr>
      </w:pPr>
      <w:r>
        <w:rPr>
          <w:rFonts w:ascii="Arial" w:cs="Arial" w:eastAsia="Arial" w:hAnsi="Arial"/>
          <w:sz w:val="16"/>
          <w:szCs w:val="16"/>
          <w:i w:val="1"/>
          <w:iCs w:val="1"/>
          <w:color w:val="auto"/>
        </w:rPr>
        <w:t>Noncontrolling Interests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 Joint Venture</w:t>
      </w:r>
    </w:p>
    <w:p>
      <w:pPr>
        <w:spacing w:after="0" w:line="25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During the three months ended March 31, 2022, the Retail Joint Venture made aggregate distributions of approximately $9.3 million to its non-controlling interest holder. During the three months ended March 31, 2021, the Retail Joint Venture did not make any distributions to its non-controlling interest holder. For more information on the Retail Joint Venture, see Note 16, "Retail Joint Venture".</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March 31, 2022, in exchange for cash consideration of $50.0 million, the Company sold to Crown Acquisitions Inc. ("Crown") a 49.9% interest in certain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Condensed Consolidated Statement of Stockholders' Deficit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b w:val="1"/>
          <w:bCs w:val="1"/>
          <w:color w:val="auto"/>
        </w:rPr>
        <w:t>Note 9 -</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Using:</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89"/>
              </w:rPr>
              <w:t>Quoted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89"/>
              </w:rPr>
              <w:t>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March 31, 2022</w:t>
            </w:r>
          </w:p>
        </w:tc>
        <w:tc>
          <w:tcPr>
            <w:tcW w:w="260" w:type="dxa"/>
            <w:vAlign w:val="bottom"/>
          </w:tcPr>
          <w:p>
            <w:pPr>
              <w:spacing w:after="0"/>
              <w:rPr>
                <w:sz w:val="11"/>
                <w:szCs w:val="11"/>
                <w:color w:val="auto"/>
              </w:rPr>
            </w:pPr>
          </w:p>
        </w:tc>
        <w:tc>
          <w:tcPr>
            <w:tcW w:w="14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7"/>
              </w:rPr>
              <w:t>Active Markets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1"/>
                <w:szCs w:val="11"/>
                <w:color w:val="auto"/>
              </w:rPr>
            </w:pPr>
          </w:p>
        </w:tc>
        <w:tc>
          <w:tcPr>
            <w:tcW w:w="14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551,449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551,449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2,670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Fair Value Measurements Using:</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89"/>
              </w:rPr>
              <w:t>Quoted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89"/>
              </w:rPr>
              <w:t>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December 31, 2021</w:t>
            </w:r>
          </w:p>
        </w:tc>
        <w:tc>
          <w:tcPr>
            <w:tcW w:w="260" w:type="dxa"/>
            <w:vAlign w:val="bottom"/>
          </w:tcPr>
          <w:p>
            <w:pPr>
              <w:spacing w:after="0"/>
              <w:rPr>
                <w:sz w:val="11"/>
                <w:szCs w:val="11"/>
                <w:color w:val="auto"/>
              </w:rPr>
            </w:pPr>
          </w:p>
        </w:tc>
        <w:tc>
          <w:tcPr>
            <w:tcW w:w="14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w w:val="97"/>
              </w:rPr>
              <w:t>Active Markets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1"/>
                <w:szCs w:val="11"/>
                <w:color w:val="auto"/>
              </w:rPr>
            </w:pPr>
          </w:p>
        </w:tc>
        <w:tc>
          <w:tcPr>
            <w:tcW w:w="14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41"/>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500,977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500,977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5,548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10 - Customer Contract Liabilities</w:t>
      </w:r>
    </w:p>
    <w:p>
      <w:pPr>
        <w:spacing w:after="0" w:line="256" w:lineRule="exact"/>
        <w:rPr>
          <w:sz w:val="20"/>
          <w:szCs w:val="20"/>
          <w:color w:val="auto"/>
        </w:rPr>
      </w:pPr>
    </w:p>
    <w:p>
      <w:pPr>
        <w:jc w:val="both"/>
        <w:ind w:left="100"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62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March 31, 2022  December 31, 2021Increase / (decrease)</w:t>
            </w:r>
          </w:p>
        </w:tc>
        <w:tc>
          <w:tcPr>
            <w:tcW w:w="12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March 31, 2021</w:t>
            </w:r>
          </w:p>
        </w:tc>
        <w:tc>
          <w:tcPr>
            <w:tcW w:w="2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December 31, 2020Increase / (decrease)</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w w:val="89"/>
              </w:rPr>
              <w:t xml:space="preserve">asino outstanding chips and front money deposits </w:t>
            </w:r>
            <w:r>
              <w:rPr>
                <w:rFonts w:ascii="Arial" w:cs="Arial" w:eastAsia="Arial" w:hAnsi="Arial"/>
                <w:sz w:val="14"/>
                <w:szCs w:val="14"/>
                <w:color w:val="auto"/>
                <w:w w:val="89"/>
              </w:rPr>
              <w:t>(1)</w:t>
            </w:r>
            <w:r>
              <w:rPr>
                <w:rFonts w:ascii="Arial" w:cs="Arial" w:eastAsia="Arial" w:hAnsi="Arial"/>
                <w:sz w:val="18"/>
                <w:szCs w:val="18"/>
                <w:color w:val="auto"/>
                <w:w w:val="89"/>
              </w:rPr>
              <w:t>$</w:t>
            </w: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335,426$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352,830$</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(17,404)$</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461,343$</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596,463$</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(135,120)</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 xml:space="preserve">dvance room deposits and ticket sales </w:t>
            </w:r>
            <w:r>
              <w:rPr>
                <w:rFonts w:ascii="Arial" w:cs="Arial" w:eastAsia="Arial" w:hAnsi="Arial"/>
                <w:sz w:val="14"/>
                <w:szCs w:val="14"/>
                <w:color w:val="auto"/>
              </w:rPr>
              <w:t>(2)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60,150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55,438</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40,062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29,224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10,838</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 xml:space="preserve">ther gaming-related liabilities </w:t>
            </w:r>
            <w:r>
              <w:rPr>
                <w:rFonts w:ascii="Arial" w:cs="Arial" w:eastAsia="Arial" w:hAnsi="Arial"/>
                <w:sz w:val="14"/>
                <w:szCs w:val="14"/>
                <w:color w:val="auto"/>
              </w:rPr>
              <w:t>(3)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25,745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26,515</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9,608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29"/>
        </w:trPr>
        <w:tc>
          <w:tcPr>
            <w:tcW w:w="3840" w:type="dxa"/>
            <w:vAlign w:val="bottom"/>
            <w:gridSpan w:val="2"/>
          </w:tcPr>
          <w:p>
            <w:pPr>
              <w:spacing w:after="0"/>
              <w:rPr>
                <w:sz w:val="20"/>
                <w:szCs w:val="20"/>
                <w:color w:val="auto"/>
              </w:rPr>
            </w:pPr>
            <w:r>
              <w:rPr>
                <w:rFonts w:ascii="Arial" w:cs="Arial" w:eastAsia="Arial" w:hAnsi="Arial"/>
                <w:sz w:val="18"/>
                <w:szCs w:val="18"/>
                <w:color w:val="auto"/>
              </w:rPr>
              <w:t xml:space="preserve">oyalty program and related liabilities </w:t>
            </w:r>
            <w:r>
              <w:rPr>
                <w:rFonts w:ascii="Arial" w:cs="Arial" w:eastAsia="Arial" w:hAnsi="Arial"/>
                <w:sz w:val="14"/>
                <w:szCs w:val="14"/>
                <w:color w:val="auto"/>
              </w:rPr>
              <w:t>(4)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37,355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34,695</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24,967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22,736</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48"/>
        </w:trPr>
        <w:tc>
          <w:tcPr>
            <w:tcW w:w="100" w:type="dxa"/>
            <w:vAlign w:val="bottom"/>
          </w:tcPr>
          <w:p>
            <w:pPr>
              <w:spacing w:after="0"/>
              <w:rPr>
                <w:sz w:val="21"/>
                <w:szCs w:val="21"/>
                <w:color w:val="auto"/>
              </w:rPr>
            </w:pPr>
          </w:p>
        </w:tc>
        <w:tc>
          <w:tcPr>
            <w:tcW w:w="3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535,980$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(120,325)</w:t>
            </w:r>
          </w:p>
        </w:tc>
      </w:tr>
      <w:tr>
        <w:trPr>
          <w:trHeight w:val="20"/>
        </w:trPr>
        <w:tc>
          <w:tcPr>
            <w:tcW w:w="10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-779145</wp:posOffset>
            </wp:positionV>
            <wp:extent cx="697801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97801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78015" cy="146050"/>
                    </a:xfrm>
                    <a:prstGeom prst="rect">
                      <a:avLst/>
                    </a:prstGeom>
                    <a:noFill/>
                  </pic:spPr>
                </pic:pic>
              </a:graphicData>
            </a:graphic>
          </wp:anchor>
        </w:drawing>
      </w:r>
    </w:p>
    <w:p>
      <w:pPr>
        <w:spacing w:after="0" w:line="56" w:lineRule="exact"/>
        <w:rPr>
          <w:sz w:val="20"/>
          <w:szCs w:val="20"/>
          <w:color w:val="auto"/>
        </w:rPr>
      </w:pPr>
    </w:p>
    <w:p>
      <w:pPr>
        <w:jc w:val="both"/>
        <w:ind w:left="360" w:hanging="252"/>
        <w:spacing w:after="0" w:line="247" w:lineRule="auto"/>
        <w:tabs>
          <w:tab w:leader="none" w:pos="32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 As of March 31, 2022 and December 31, 2021, the Company had no agreements in place with gaming promoters.</w:t>
      </w:r>
    </w:p>
    <w:p>
      <w:pPr>
        <w:jc w:val="both"/>
        <w:ind w:left="360" w:hanging="252"/>
        <w:spacing w:after="0" w:line="260" w:lineRule="auto"/>
        <w:tabs>
          <w:tab w:leader="none" w:pos="33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60" w:hanging="252"/>
        <w:spacing w:after="0" w:line="241" w:lineRule="auto"/>
        <w:tabs>
          <w:tab w:leader="none" w:pos="321"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360" w:right="20" w:hanging="252"/>
        <w:spacing w:after="0" w:line="255" w:lineRule="auto"/>
        <w:tabs>
          <w:tab w:leader="none" w:pos="321"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79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Rooms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14,499</w:t>
            </w:r>
          </w:p>
        </w:tc>
      </w:tr>
      <w:tr>
        <w:trPr>
          <w:trHeight w:val="223"/>
        </w:trPr>
        <w:tc>
          <w:tcPr>
            <w:tcW w:w="7940" w:type="dxa"/>
            <w:vAlign w:val="bottom"/>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13,900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0"/>
              </w:rPr>
              <w:t>24,346</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capitalized</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14,579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25,251</w:t>
            </w:r>
          </w:p>
        </w:tc>
      </w:tr>
      <w:tr>
        <w:trPr>
          <w:trHeight w:val="21"/>
        </w:trPr>
        <w:tc>
          <w:tcPr>
            <w:tcW w:w="7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recorded an income tax expense of $1.1 million and $0.5 million for the three months ended March 31, 2022 and 2021, respectively. Income tax expense in both periods primarily related to the Macau dividend tax agreement that provides for an annual payment as complementary tax otherwise due by stockholders of WRM.</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March 2021, the Company received an extension of its Macau dividend tax agreement, providing for a payment of MOP 12.8 million (approximately $1.6 million) for 2021 and MOP 6.3 million (approximately $0.8 million) for the period ending June 26, 2022.</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records valuation allowances on certain of its U.S. and foreign deferred tax assets. The Company continues to rely solely on the reversal of net taxable temporary differences in assessing a need for a valuation allowance.</w:t>
      </w:r>
    </w:p>
    <w:p>
      <w:pPr>
        <w:spacing w:after="0" w:line="1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April 2020, WRM received an extension of the exemption from Macau’s 12% Complementary Tax on casino gaming profits earned from January 1, 2021 to June 26, 2022.</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2022 and 2021,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gaming concession agreement.</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March 2021, the Financial Services Bureau concluded its review of the 2017 and 2018 Macau income tax returns of Palo Real Estate Company Limited, a subsidiary of WRM, with no changes.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2022, the Financial Services Bureau issued final tax assessments for WRM for the year 2017 and 2018. While no additional tax was due, adjustments were made to WRM's tax loss carryforwards.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Basic earnings per share ("EPS") is computed by dividing net loss attributable to Wynn Resorts by the weighted average number of common shares outstanding during the period. Diluted EPS is computed by dividing net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(280,978)</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Potential dilutive effect of stock options, nonvested, and performance nonvested shares</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Weighted average common and common equivalent shares outstanding</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111,020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attributable to Wynn Resorts, Limited per common share, 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Net loss attributable to Wynn Resorts, Limited per common share,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220"/>
              <w:spacing w:after="0" w:line="176" w:lineRule="exact"/>
              <w:rPr>
                <w:sz w:val="20"/>
                <w:szCs w:val="20"/>
                <w:color w:val="auto"/>
              </w:rPr>
            </w:pPr>
            <w:r>
              <w:rPr>
                <w:rFonts w:ascii="Arial" w:cs="Arial" w:eastAsia="Arial" w:hAnsi="Arial"/>
                <w:sz w:val="18"/>
                <w:szCs w:val="18"/>
                <w:color w:val="auto"/>
                <w:w w:val="91"/>
              </w:rPr>
              <w:t>Anti-dilutive stock options, nonvested, and performance nonvested shares excluded from the calculation of</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3"/>
        </w:trPr>
        <w:tc>
          <w:tcPr>
            <w:tcW w:w="7980" w:type="dxa"/>
            <w:vAlign w:val="bottom"/>
          </w:tcPr>
          <w:p>
            <w:pPr>
              <w:ind w:left="220"/>
              <w:spacing w:after="0" w:line="202" w:lineRule="exact"/>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79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22,738</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20,623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26,006</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45,224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48,744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Litigation Related to Dore</w:t>
      </w:r>
    </w:p>
    <w:p>
      <w:pPr>
        <w:spacing w:after="0" w:line="25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WRM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WRM, as a gaming concessionaire, should be held responsible for Dore’s conduct on the basis that WRM is responsible for the supervision of Dore’s activities at Wynn Macau that resulted in the purported losses.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On November 19, 2021, the Macau Court of Final Appeal issued a final ruling (the “Ruling”) with respect to one such lawsuit that WRM was held jointly liable to a plaintiff. Pursuant to the Ruling, WRM was required to pay approximately $1.2 million, inclusive of accumulated interest, to such plaintiff.</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believes most remaining cases are without merit and unfounded and intends to vigorously defend against the remaining claims pleaded against WRM in these lawsuits. The Company has made estimates for potential litigation costs based upon its assessment of the likely outcome and has recorded provisions for such amounts in the accompanying condensed consolidated financial statements. No assurances can be provided as to the outcome of the pending Dore cases, and actual results may differ from these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former executive officers, including Mr. Maddox, Stephen A. Wynn, Kimmarie Sinatra, and Steven Cootey.</w:t>
      </w:r>
    </w:p>
    <w:p>
      <w:pPr>
        <w:spacing w:after="0" w:line="19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this action intend to vigorously defend against the claims pleaded against them. This action is in the preliminary stages and management has determined that based on proceedings to date, it is currently unable to determine the probability of the outcome of these actions or reasonably estimate the range of possible loss,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2022 and December 31, 2021, the Retail Joint Venture had total assets of $95.3 million and $98.0 million, respectively, and total liabilities of $619.2 million and $624.4 million, respectively. As of March 31, 2022 and December 31, 2021, the Retail Joint Venture's liabilities included long-term debt of $613.0 million and $612.9 million, respectively, net of debt issuance costs, related to the outstanding borrowings under the Retail Term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Information</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414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Arial" w:cs="Arial" w:eastAsia="Arial" w:hAnsi="Arial"/>
                <w:sz w:val="18"/>
                <w:szCs w:val="18"/>
                <w:color w:val="auto"/>
              </w:rPr>
              <w:t>Casino</w:t>
            </w:r>
          </w:p>
        </w:tc>
        <w:tc>
          <w:tcPr>
            <w:tcW w:w="4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114,413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185,909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17,012</w:t>
            </w: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22,733</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237,326</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3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Casino</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102,430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138,927</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w:t>
            </w: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179,651</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3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298,425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416,977</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Arial" w:cs="Arial" w:eastAsia="Arial" w:hAnsi="Arial"/>
                <w:sz w:val="18"/>
                <w:szCs w:val="18"/>
                <w:color w:val="auto"/>
              </w:rPr>
              <w:t>Casino</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79,903</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0" w:type="dxa"/>
            <w:vAlign w:val="bottom"/>
          </w:tcPr>
          <w:p>
            <w:pPr>
              <w:spacing w:after="0"/>
              <w:rPr>
                <w:sz w:val="1"/>
                <w:szCs w:val="1"/>
                <w:color w:val="auto"/>
              </w:rPr>
            </w:pP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40,077</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Las Vegas Operations</w:t>
            </w:r>
          </w:p>
        </w:tc>
        <w:tc>
          <w:tcPr>
            <w:tcW w:w="3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441,186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178,716</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Casino</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111,479</w:t>
            </w:r>
          </w:p>
        </w:tc>
        <w:tc>
          <w:tcPr>
            <w:tcW w:w="0" w:type="dxa"/>
            <w:vAlign w:val="bottom"/>
          </w:tcPr>
          <w:p>
            <w:pPr>
              <w:spacing w:after="0"/>
              <w:rPr>
                <w:sz w:val="1"/>
                <w:szCs w:val="1"/>
                <w:color w:val="auto"/>
              </w:rPr>
            </w:pPr>
          </w:p>
        </w:tc>
      </w:tr>
      <w:tr>
        <w:trPr>
          <w:trHeight w:val="230"/>
        </w:trPr>
        <w:tc>
          <w:tcPr>
            <w:tcW w:w="4140" w:type="dxa"/>
            <w:vAlign w:val="bottom"/>
          </w:tcPr>
          <w:p>
            <w:pPr>
              <w:ind w:left="360"/>
              <w:spacing w:after="0"/>
              <w:rPr>
                <w:sz w:val="20"/>
                <w:szCs w:val="20"/>
                <w:color w:val="auto"/>
              </w:rPr>
            </w:pPr>
            <w:r>
              <w:rPr>
                <w:rFonts w:ascii="Arial" w:cs="Arial" w:eastAsia="Arial" w:hAnsi="Arial"/>
                <w:sz w:val="18"/>
                <w:szCs w:val="18"/>
                <w:color w:val="auto"/>
              </w:rPr>
              <w:t>Rooms</w:t>
            </w:r>
          </w:p>
        </w:tc>
        <w:tc>
          <w:tcPr>
            <w:tcW w:w="3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3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190,796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130,090</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Interactive:</w:t>
            </w:r>
          </w:p>
        </w:tc>
        <w:tc>
          <w:tcPr>
            <w:tcW w:w="3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Entertainment, retail and other</w:t>
            </w:r>
          </w:p>
        </w:tc>
        <w:tc>
          <w:tcPr>
            <w:tcW w:w="38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Wynn Interactive</w:t>
            </w:r>
          </w:p>
        </w:tc>
        <w:tc>
          <w:tcPr>
            <w:tcW w:w="3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10,899</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spacing w:after="0"/>
              <w:rPr>
                <w:sz w:val="21"/>
                <w:szCs w:val="21"/>
                <w:color w:val="auto"/>
              </w:rPr>
            </w:pPr>
          </w:p>
        </w:tc>
        <w:tc>
          <w:tcPr>
            <w:tcW w:w="38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953,334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736,682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130"/>
              <w:spacing w:after="0"/>
              <w:rPr>
                <w:sz w:val="20"/>
                <w:szCs w:val="20"/>
                <w:color w:val="auto"/>
              </w:rPr>
            </w:pPr>
            <w:r>
              <w:rPr>
                <w:rFonts w:ascii="Arial" w:cs="Arial" w:eastAsia="Arial" w:hAnsi="Arial"/>
                <w:sz w:val="18"/>
                <w:szCs w:val="18"/>
                <w:color w:val="auto"/>
              </w:rPr>
              <w:t>18</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5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Borders>
              <w:bottom w:val="single" w:sz="8" w:color="auto"/>
            </w:tcBorders>
          </w:tcPr>
          <w:p>
            <w:pPr>
              <w:spacing w:after="0"/>
              <w:rPr>
                <w:sz w:val="16"/>
                <w:szCs w:val="16"/>
                <w:color w:val="auto"/>
              </w:rPr>
            </w:pPr>
          </w:p>
        </w:tc>
      </w:tr>
      <w:tr>
        <w:trPr>
          <w:trHeight w:val="186"/>
        </w:trPr>
        <w:tc>
          <w:tcPr>
            <w:tcW w:w="10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20" w:type="dxa"/>
            <w:vAlign w:val="bottom"/>
          </w:tcPr>
          <w:p>
            <w:pPr>
              <w:ind w:left="520"/>
              <w:spacing w:after="0"/>
              <w:rPr>
                <w:sz w:val="20"/>
                <w:szCs w:val="20"/>
                <w:color w:val="auto"/>
              </w:rPr>
            </w:pPr>
            <w:r>
              <w:rPr>
                <w:rFonts w:ascii="Arial" w:cs="Arial" w:eastAsia="Arial" w:hAnsi="Arial"/>
                <w:sz w:val="14"/>
                <w:szCs w:val="14"/>
                <w:b w:val="1"/>
                <w:bCs w:val="1"/>
                <w:color w:val="auto"/>
                <w:w w:val="89"/>
              </w:rPr>
              <w:t>2022</w:t>
            </w:r>
          </w:p>
        </w:tc>
        <w:tc>
          <w:tcPr>
            <w:tcW w:w="1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6"/>
                <w:szCs w:val="16"/>
                <w:color w:val="auto"/>
              </w:rPr>
            </w:pPr>
          </w:p>
        </w:tc>
      </w:tr>
      <w:tr>
        <w:trPr>
          <w:trHeight w:val="212"/>
        </w:trPr>
        <w:tc>
          <w:tcPr>
            <w:tcW w:w="10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djusted Property EBITDA </w:t>
            </w:r>
            <w:r>
              <w:rPr>
                <w:rFonts w:ascii="Arial" w:cs="Arial" w:eastAsia="Arial" w:hAnsi="Arial"/>
                <w:sz w:val="14"/>
                <w:szCs w:val="14"/>
                <w:b w:val="1"/>
                <w:bCs w:val="1"/>
                <w:color w:val="auto"/>
              </w:rPr>
              <w:t>(2)</w:t>
            </w:r>
          </w:p>
        </w:tc>
        <w:tc>
          <w:tcPr>
            <w:tcW w:w="19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Macau Operations:</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Wynn Palace</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w:t>
            </w:r>
          </w:p>
        </w:tc>
      </w:tr>
      <w:tr>
        <w:trPr>
          <w:trHeight w:val="229"/>
        </w:trPr>
        <w:tc>
          <w:tcPr>
            <w:tcW w:w="100" w:type="dxa"/>
            <w:vAlign w:val="bottom"/>
          </w:tcPr>
          <w:p>
            <w:pPr>
              <w:spacing w:after="0"/>
              <w:rPr>
                <w:sz w:val="19"/>
                <w:szCs w:val="19"/>
                <w:color w:val="auto"/>
              </w:rPr>
            </w:pPr>
          </w:p>
        </w:tc>
        <w:tc>
          <w:tcPr>
            <w:tcW w:w="5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Wynn Macau</w:t>
            </w:r>
          </w:p>
        </w:tc>
        <w:tc>
          <w:tcPr>
            <w:tcW w:w="19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16,556</w:t>
            </w:r>
          </w:p>
        </w:tc>
      </w:tr>
      <w:tr>
        <w:trPr>
          <w:trHeight w:val="223"/>
        </w:trPr>
        <w:tc>
          <w:tcPr>
            <w:tcW w:w="100" w:type="dxa"/>
            <w:vAlign w:val="bottom"/>
          </w:tcPr>
          <w:p>
            <w:pPr>
              <w:spacing w:after="0"/>
              <w:rPr>
                <w:sz w:val="19"/>
                <w:szCs w:val="19"/>
                <w:color w:val="auto"/>
              </w:rPr>
            </w:pPr>
          </w:p>
        </w:tc>
        <w:tc>
          <w:tcPr>
            <w:tcW w:w="58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Macau Operations</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(5,546)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43,925</w:t>
            </w:r>
          </w:p>
        </w:tc>
      </w:tr>
      <w:tr>
        <w:trPr>
          <w:trHeight w:val="229"/>
        </w:trPr>
        <w:tc>
          <w:tcPr>
            <w:tcW w:w="10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Las Vegas Operations</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159,378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28,081</w:t>
            </w:r>
          </w:p>
        </w:tc>
      </w:tr>
      <w:tr>
        <w:trPr>
          <w:trHeight w:val="229"/>
        </w:trPr>
        <w:tc>
          <w:tcPr>
            <w:tcW w:w="10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Encore Boston Harbor</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30,363</w:t>
            </w:r>
          </w:p>
        </w:tc>
      </w:tr>
      <w:tr>
        <w:trPr>
          <w:trHeight w:val="230"/>
        </w:trPr>
        <w:tc>
          <w:tcPr>
            <w:tcW w:w="100" w:type="dxa"/>
            <w:vAlign w:val="bottom"/>
          </w:tcPr>
          <w:p>
            <w:pPr>
              <w:spacing w:after="0"/>
              <w:rPr>
                <w:sz w:val="19"/>
                <w:szCs w:val="19"/>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Wynn Interactive</w:t>
            </w:r>
          </w:p>
        </w:tc>
        <w:tc>
          <w:tcPr>
            <w:tcW w:w="19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(31,501)</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(43,469)</w:t>
            </w:r>
          </w:p>
        </w:tc>
      </w:tr>
      <w:tr>
        <w:trPr>
          <w:trHeight w:val="223"/>
        </w:trPr>
        <w:tc>
          <w:tcPr>
            <w:tcW w:w="100" w:type="dxa"/>
            <w:vAlign w:val="bottom"/>
          </w:tcPr>
          <w:p>
            <w:pPr>
              <w:spacing w:after="0"/>
              <w:rPr>
                <w:sz w:val="19"/>
                <w:szCs w:val="19"/>
                <w:color w:val="auto"/>
              </w:rPr>
            </w:pPr>
          </w:p>
        </w:tc>
        <w:tc>
          <w:tcPr>
            <w:tcW w:w="58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177,581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58,900</w:t>
            </w: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 operating expenses</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29"/>
        </w:trPr>
        <w:tc>
          <w:tcPr>
            <w:tcW w:w="10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184,556</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185,121</w:t>
            </w:r>
          </w:p>
        </w:tc>
      </w:tr>
      <w:tr>
        <w:trPr>
          <w:trHeight w:val="230"/>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charges and other</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r>
      <w:tr>
        <w:trPr>
          <w:trHeight w:val="229"/>
        </w:trPr>
        <w:tc>
          <w:tcPr>
            <w:tcW w:w="10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Corporate expenses and other</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17,921</w:t>
            </w:r>
          </w:p>
        </w:tc>
      </w:tr>
      <w:tr>
        <w:trPr>
          <w:trHeight w:val="230"/>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9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24,346</w:t>
            </w:r>
          </w:p>
        </w:tc>
      </w:tr>
      <w:tr>
        <w:trPr>
          <w:trHeight w:val="223"/>
        </w:trPr>
        <w:tc>
          <w:tcPr>
            <w:tcW w:w="100" w:type="dxa"/>
            <w:vAlign w:val="bottom"/>
          </w:tcPr>
          <w:p>
            <w:pPr>
              <w:spacing w:after="0"/>
              <w:rPr>
                <w:sz w:val="19"/>
                <w:szCs w:val="19"/>
                <w:color w:val="auto"/>
              </w:rPr>
            </w:pPr>
          </w:p>
        </w:tc>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other operating expenses</w:t>
            </w:r>
          </w:p>
        </w:tc>
        <w:tc>
          <w:tcPr>
            <w:tcW w:w="19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272,446</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234,632</w:t>
            </w:r>
          </w:p>
        </w:tc>
      </w:tr>
      <w:tr>
        <w:trPr>
          <w:trHeight w:val="223"/>
        </w:trPr>
        <w:tc>
          <w:tcPr>
            <w:tcW w:w="10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perating loss</w:t>
            </w:r>
          </w:p>
        </w:tc>
        <w:tc>
          <w:tcPr>
            <w:tcW w:w="19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(94,865)</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(175,732)</w:t>
            </w:r>
          </w:p>
        </w:tc>
      </w:tr>
      <w:tr>
        <w:trPr>
          <w:trHeight w:val="209"/>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 non-operating income and expenses</w:t>
            </w: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10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Interest expense, net of amounts capitalized</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(152,158)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(152,852)</w:t>
            </w:r>
          </w:p>
        </w:tc>
      </w:tr>
      <w:tr>
        <w:trPr>
          <w:trHeight w:val="229"/>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derivatives fair value</w:t>
            </w:r>
          </w:p>
        </w:tc>
        <w:tc>
          <w:tcPr>
            <w:tcW w:w="1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r>
      <w:tr>
        <w:trPr>
          <w:trHeight w:val="230"/>
        </w:trPr>
        <w:tc>
          <w:tcPr>
            <w:tcW w:w="10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8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30"/>
        </w:trPr>
        <w:tc>
          <w:tcPr>
            <w:tcW w:w="100" w:type="dxa"/>
            <w:vAlign w:val="bottom"/>
          </w:tcPr>
          <w:p>
            <w:pPr>
              <w:spacing w:after="0"/>
              <w:rPr>
                <w:sz w:val="19"/>
                <w:szCs w:val="19"/>
                <w:color w:val="auto"/>
              </w:rPr>
            </w:pPr>
          </w:p>
        </w:tc>
        <w:tc>
          <w:tcPr>
            <w:tcW w:w="5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(15,127)</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(11,093)</w:t>
            </w:r>
          </w:p>
        </w:tc>
      </w:tr>
      <w:tr>
        <w:trPr>
          <w:trHeight w:val="223"/>
        </w:trPr>
        <w:tc>
          <w:tcPr>
            <w:tcW w:w="100" w:type="dxa"/>
            <w:vAlign w:val="bottom"/>
          </w:tcPr>
          <w:p>
            <w:pPr>
              <w:spacing w:after="0"/>
              <w:rPr>
                <w:sz w:val="19"/>
                <w:szCs w:val="19"/>
                <w:color w:val="auto"/>
              </w:rPr>
            </w:pPr>
          </w:p>
        </w:tc>
        <w:tc>
          <w:tcPr>
            <w:tcW w:w="5800" w:type="dxa"/>
            <w:vAlign w:val="bottom"/>
          </w:tcPr>
          <w:p>
            <w:pPr>
              <w:ind w:left="440"/>
              <w:spacing w:after="0"/>
              <w:rPr>
                <w:sz w:val="20"/>
                <w:szCs w:val="20"/>
                <w:color w:val="auto"/>
              </w:rPr>
            </w:pPr>
            <w:r>
              <w:rPr>
                <w:rFonts w:ascii="Arial" w:cs="Arial" w:eastAsia="Arial" w:hAnsi="Arial"/>
                <w:sz w:val="18"/>
                <w:szCs w:val="18"/>
                <w:b w:val="1"/>
                <w:bCs w:val="1"/>
                <w:color w:val="auto"/>
              </w:rPr>
              <w:t>Total other non-operating income and expenses</w:t>
            </w:r>
          </w:p>
        </w:tc>
        <w:tc>
          <w:tcPr>
            <w:tcW w:w="19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(158,605)</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(159,954)</w:t>
            </w: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oss before income taxes</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0"/>
              </w:rPr>
              <w:t>(253,470)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0"/>
              </w:rPr>
              <w:t>(335,686)</w:t>
            </w:r>
          </w:p>
        </w:tc>
      </w:tr>
      <w:tr>
        <w:trPr>
          <w:trHeight w:val="230"/>
        </w:trPr>
        <w:tc>
          <w:tcPr>
            <w:tcW w:w="10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19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et loss</w:t>
            </w:r>
          </w:p>
        </w:tc>
        <w:tc>
          <w:tcPr>
            <w:tcW w:w="1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0"/>
              </w:rPr>
              <w:t>(254,610)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0"/>
              </w:rPr>
              <w:t>(336,179)</w:t>
            </w:r>
          </w:p>
        </w:tc>
      </w:tr>
      <w:tr>
        <w:trPr>
          <w:trHeight w:val="230"/>
        </w:trPr>
        <w:tc>
          <w:tcPr>
            <w:tcW w:w="100" w:type="dxa"/>
            <w:vAlign w:val="bottom"/>
          </w:tcPr>
          <w:p>
            <w:pPr>
              <w:spacing w:after="0"/>
              <w:rPr>
                <w:sz w:val="19"/>
                <w:szCs w:val="19"/>
                <w:color w:val="auto"/>
              </w:rPr>
            </w:pPr>
          </w:p>
        </w:tc>
        <w:tc>
          <w:tcPr>
            <w:tcW w:w="5800" w:type="dxa"/>
            <w:vAlign w:val="bottom"/>
          </w:tcPr>
          <w:p>
            <w:pPr>
              <w:ind w:left="100"/>
              <w:spacing w:after="0"/>
              <w:rPr>
                <w:sz w:val="20"/>
                <w:szCs w:val="20"/>
                <w:color w:val="auto"/>
              </w:rPr>
            </w:pPr>
            <w:r>
              <w:rPr>
                <w:rFonts w:ascii="Arial" w:cs="Arial" w:eastAsia="Arial" w:hAnsi="Arial"/>
                <w:sz w:val="18"/>
                <w:szCs w:val="18"/>
                <w:color w:val="auto"/>
              </w:rPr>
              <w:t>Net loss attributable to noncontrolling interests</w:t>
            </w:r>
          </w:p>
        </w:tc>
        <w:tc>
          <w:tcPr>
            <w:tcW w:w="19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71,286</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55,201</w:t>
            </w:r>
          </w:p>
        </w:tc>
      </w:tr>
      <w:tr>
        <w:trPr>
          <w:trHeight w:val="223"/>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et loss attributable to Wynn Resorts, Limited</w:t>
            </w:r>
          </w:p>
        </w:tc>
        <w:tc>
          <w:tcPr>
            <w:tcW w:w="19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(183,324)$</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(280,978)</w:t>
            </w:r>
          </w:p>
        </w:tc>
      </w:tr>
      <w:tr>
        <w:trPr>
          <w:trHeight w:val="20"/>
        </w:trPr>
        <w:tc>
          <w:tcPr>
            <w:tcW w:w="1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-788035</wp:posOffset>
            </wp:positionV>
            <wp:extent cx="697801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-488315</wp:posOffset>
            </wp:positionV>
            <wp:extent cx="697801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9780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56" w:lineRule="exact"/>
        <w:rPr>
          <w:sz w:val="20"/>
          <w:szCs w:val="20"/>
          <w:color w:val="auto"/>
        </w:rPr>
      </w:pPr>
    </w:p>
    <w:p>
      <w:pPr>
        <w:ind w:left="320" w:hanging="2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14, "Leases".</w:t>
      </w:r>
    </w:p>
    <w:p>
      <w:pPr>
        <w:spacing w:after="0" w:line="13" w:lineRule="exact"/>
        <w:rPr>
          <w:rFonts w:ascii="Arial" w:cs="Arial" w:eastAsia="Arial" w:hAnsi="Arial"/>
          <w:sz w:val="14"/>
          <w:szCs w:val="14"/>
          <w:color w:val="auto"/>
        </w:rPr>
      </w:pPr>
    </w:p>
    <w:p>
      <w:pPr>
        <w:jc w:val="both"/>
        <w:ind w:left="360" w:hanging="252"/>
        <w:spacing w:after="0" w:line="262" w:lineRule="auto"/>
        <w:tabs>
          <w:tab w:leader="none" w:pos="342"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The Company uses Adjusted Property EBITDA to manage the operating results of its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2" w:right="339" w:bottom="1440" w:gutter="0" w:footer="0" w:header="0"/>
        </w:sectPr>
      </w:pPr>
    </w:p>
    <w:bookmarkStart w:id="19" w:name="page20"/>
    <w:bookmarkEnd w:id="19"/>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580" w:right="23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156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Arial" w:cs="Arial" w:eastAsia="Arial" w:hAnsi="Arial"/>
                <w:sz w:val="18"/>
                <w:szCs w:val="18"/>
                <w:b w:val="1"/>
                <w:bCs w:val="1"/>
                <w:color w:val="auto"/>
              </w:rPr>
              <w:t>ssets</w:t>
            </w:r>
          </w:p>
        </w:tc>
        <w:tc>
          <w:tcPr>
            <w:tcW w:w="286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acau Operations:</w:t>
            </w:r>
          </w:p>
        </w:tc>
        <w:tc>
          <w:tcPr>
            <w:tcW w:w="2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Wynn Palace</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3,053,611$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3,122,424</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Wynn Macau</w:t>
            </w:r>
          </w:p>
        </w:tc>
        <w:tc>
          <w:tcPr>
            <w:tcW w:w="28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894,110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1,032,521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Macau</w:t>
            </w:r>
          </w:p>
        </w:tc>
        <w:tc>
          <w:tcPr>
            <w:tcW w:w="286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1,096,243</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1,173,913</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20"/>
                <w:szCs w:val="20"/>
                <w:color w:val="auto"/>
              </w:rPr>
            </w:pPr>
            <w:r>
              <w:rPr>
                <w:rFonts w:ascii="Arial" w:cs="Arial" w:eastAsia="Arial" w:hAnsi="Arial"/>
                <w:sz w:val="10"/>
                <w:szCs w:val="10"/>
                <w:color w:val="auto"/>
                <w:w w:val="75"/>
              </w:rPr>
              <w:t>as</w:t>
            </w:r>
          </w:p>
        </w:tc>
        <w:tc>
          <w:tcPr>
            <w:tcW w:w="4900" w:type="dxa"/>
            <w:vAlign w:val="bottom"/>
          </w:tcPr>
          <w:p>
            <w:pPr>
              <w:ind w:left="400"/>
              <w:spacing w:after="0"/>
              <w:rPr>
                <w:sz w:val="20"/>
                <w:szCs w:val="20"/>
                <w:color w:val="auto"/>
              </w:rPr>
            </w:pPr>
            <w:r>
              <w:rPr>
                <w:rFonts w:ascii="Arial" w:cs="Arial" w:eastAsia="Arial" w:hAnsi="Arial"/>
                <w:sz w:val="18"/>
                <w:szCs w:val="18"/>
                <w:b w:val="1"/>
                <w:bCs w:val="1"/>
                <w:color w:val="auto"/>
              </w:rPr>
              <w:t>Total Macau Operations</w:t>
            </w:r>
          </w:p>
        </w:tc>
        <w:tc>
          <w:tcPr>
            <w:tcW w:w="28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5,043,964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5,328,858</w:t>
            </w:r>
          </w:p>
        </w:tc>
        <w:tc>
          <w:tcPr>
            <w:tcW w:w="0" w:type="dxa"/>
            <w:vAlign w:val="bottom"/>
          </w:tcPr>
          <w:p>
            <w:pPr>
              <w:spacing w:after="0"/>
              <w:rPr>
                <w:sz w:val="1"/>
                <w:szCs w:val="1"/>
                <w:color w:val="auto"/>
              </w:rPr>
            </w:pPr>
          </w:p>
        </w:tc>
      </w:tr>
      <w:tr>
        <w:trPr>
          <w:trHeight w:val="229"/>
        </w:trPr>
        <w:tc>
          <w:tcPr>
            <w:tcW w:w="100" w:type="dxa"/>
            <w:vAlign w:val="bottom"/>
            <w:vMerge w:val="continue"/>
          </w:tcPr>
          <w:p>
            <w:pPr>
              <w:spacing w:after="0"/>
              <w:rPr>
                <w:sz w:val="19"/>
                <w:szCs w:val="19"/>
                <w:color w:val="auto"/>
              </w:rPr>
            </w:pPr>
          </w:p>
        </w:tc>
        <w:tc>
          <w:tcPr>
            <w:tcW w:w="4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Vegas Operations</w:t>
            </w:r>
          </w:p>
        </w:tc>
        <w:tc>
          <w:tcPr>
            <w:tcW w:w="28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3,084,201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3,063,897</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ncore Boston Harbor</w:t>
            </w:r>
          </w:p>
        </w:tc>
        <w:tc>
          <w:tcPr>
            <w:tcW w:w="28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2,147,869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2,193,117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ynn Interactive</w:t>
            </w:r>
          </w:p>
        </w:tc>
        <w:tc>
          <w:tcPr>
            <w:tcW w:w="28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238,829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287,805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orporate and other</w:t>
            </w:r>
          </w:p>
        </w:tc>
        <w:tc>
          <w:tcPr>
            <w:tcW w:w="28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1,664,447</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1,657,149</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12,179,310$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12,530,826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-1653540</wp:posOffset>
            </wp:positionV>
            <wp:extent cx="697801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220" w:top="121" w:right="5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2021.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2021 and other factors we describe from time to time in our periodic filings with the Securities and Exchange Commission ("SEC"), such as:</w:t>
      </w:r>
    </w:p>
    <w:p>
      <w:pPr>
        <w:spacing w:after="0" w:line="214"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 including the renewal or extension of the concession in Macau that expires on June 26, 2022 and the proposed amendments to the Macau gaming law;</w:t>
      </w: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PRC and other regions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including the COVID-19 pandemic,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(such as limited labor resources, government labor and gaming policies, transportation infrastructure, supply chain disruptions, cost increases, environmental regulation, and our ability to secure necessary permits and approvals);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58"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we operate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own 100% of and operates Encore Boston Harbor, an integrated resort. We also hold an approximately 74% interest in, and consolidate, Wynn Interactive Ltd. ("Wynn Interactive"), through which we operate online sports betting and gaming businesses in the United States and the United Kingdom, as well as a social casino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among other things, and the suspension or reduced accessibility of transportation to and from Macau. Although there have been periods during which certain restrictions and conditions were eased by the Macau government to allow for greater visitation and quarantine-free travel to Macau, adverse conditions and evolving conditions created by and in response to the COVID-19 pandemic may cause these restrictions and conditions to be reintroduced. We are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our future results of operations, cash flows,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Gaming Concession</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term of our gaming concession agreement with the Macau government ends on June 26, 2022. If the term of this concession agreement is not extended, renewed, or replaced by a new gaming concession, all of our gaming operations and related equipment in Macau will be automatically transferred to the Macau government without compensation on that date and we will cease to generate gaming revenues from its Macau Operations. In addition, under the indentures governing our $4.7 billion aggregate principal amount of WML Senior Notes and the facility agreement governing the WM Cayman II Revolver, upon the occurrence of any event after which we do not own or manage casino or gaming areas or operate casino games of fortune and chance in Macau in substantially the same manner and scope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us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January 2022, the Macau government published a draft of its proposed revisions to the gaming law which is currently under review by the Macau Legislative Assembly. On March 3, 2022, the Macau government announced its intention to extend the term of Macau’s six gaming concession and subconcession contracts until December 31, 2022 in order to ensure sufficient time to complete the amendment to the Macau gaming law and to conduct a public tender for the awarding of new gaming concessions contracts. The Macau government invited Wynn Resorts (Macau) S.A. ("WRM") to submit a formal request for an extension along with a commitment to pay the Macau government approximately 47.0 million Macau pataca (MOP) (approximately $5.8 million) and provided a bank guarantee to secure the fulfillment of WRM’s payment obligations towards its employees should WRM be unsuccessful in tendering for a new concession contract after its concession expires. WRM submitted a request for an extension of its concession agreement on March 11, 2022, which is subject to approval by the Macau government. We are monitoring developments with respect to the Macau government’s concession extension and renewal process, and at this time believe that our concession agreement will be extended and renewed beyond June 26, 2022. If we are unable to extend or renew our concession agreement or obtain a new gaming concession agreement, and an election by the WML Senior Note holders to exercise the Special Put Option and the triggering of the Property Mandatory Prepayment Event would have a material adverse effect on our business, financial condition, results of operations,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3.1% to 3.4%.</w:t>
      </w:r>
    </w:p>
    <w:p>
      <w:pPr>
        <w:spacing w:after="0" w:line="21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first quarter 2022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(dollars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Increase/ (Decrease)</w:t>
            </w: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953,334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736,682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216,652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Net loss attributable to Wynn Resorts, Limited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(280,978)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97,654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4"/>
                <w:szCs w:val="14"/>
                <w:color w:val="auto"/>
              </w:rPr>
              <w:t>(1)</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118,681</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201.5</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17, "Segment Information," for a reconciliation of Adjusted Property EBITDA to net loss attributable to Wynn Resorts, Limited.</w:t>
      </w:r>
    </w:p>
    <w:p>
      <w:pPr>
        <w:spacing w:after="0" w:line="2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increase in operating revenues for the three months ended March 31, 2022 was primarily driven by increases of $262.5 million and $60.7 million from our Las Vegas Operations and Encore Boston Harbor, respectively, as a result of increased gaming volumes as well as increases in hotel occupancy, and covers at restaurants. The results of our Las Vegas Operations and Encore Boston Harbor for the three months ended March 31, 2021 were impacted by certain COVID-19 pandemic related protective measures and operating schedule modifications, which were no longer in effect during the three months ended March 31, 2022. The increase in operating revenues was partially offset by a decrease in operating revenues of $74.0 million and $44.6 million at Wynn Palace and Wynn Macau, respectively, resulting from decreased gaming volumes due to certain travel-related restrictions and conditions, including COVID-19 testing and other procedures related to the COVID-19 pandemic.</w:t>
      </w:r>
    </w:p>
    <w:p>
      <w:pPr>
        <w:spacing w:after="0" w:line="20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net loss attributable to Wynn Resorts, Limited for the three months ended March 31, 2022 was primarily related to increased operating revenues at our Las Vegas Operations and Encore Boston Harbor, respectively, partially offset by increased operating expenses associated with higher business volumes at our Las Vegas Operations and Encore Boston Harbor.</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increase in Adjusted Property EBITDA for the three months ended March 31, 2022 was primarily driven by increased operating revenues at our Las Vegas Operations and Encore Boston Harbor, respectively, partially offset by an increase in operating expenses at our Las Vegas Operations and Encore Boston Harbor, respectively. Adjusted Property EBITDA increased $131.3 million, $24.9 million, and $12.0 million at our Las Vegas Operations, Encore Boston Harbor, and Wynn Interactive, respectively, and decreased $28.2 million and $21.2 million at Wynn Palace and Wynn Macau,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2022 compared to the three months ended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6"/>
              </w:rPr>
              <w:t>Increase/ (Decrease)</w:t>
            </w:r>
          </w:p>
        </w:tc>
        <w:tc>
          <w:tcPr>
            <w:tcW w:w="100" w:type="dxa"/>
            <w:vAlign w:val="bottom"/>
          </w:tcPr>
          <w:p>
            <w:pPr>
              <w:spacing w:after="0"/>
              <w:rPr>
                <w:sz w:val="10"/>
                <w:szCs w:val="10"/>
                <w:color w:val="auto"/>
              </w:rPr>
            </w:pPr>
          </w:p>
        </w:tc>
        <w:tc>
          <w:tcPr>
            <w:tcW w:w="1440" w:type="dxa"/>
            <w:vAlign w:val="bottom"/>
          </w:tcPr>
          <w:p>
            <w:pPr>
              <w:jc w:val="right"/>
              <w:ind w:right="4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(44,551)</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298,425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416,977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(118,552)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520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441,186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178,716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262,470</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Encore Boston Harbor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60,706</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Wynn Interactive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12,028</w:t>
            </w:r>
          </w:p>
        </w:tc>
        <w:tc>
          <w:tcPr>
            <w:tcW w:w="15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736,682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216,652</w:t>
            </w:r>
          </w:p>
        </w:tc>
        <w:tc>
          <w:tcPr>
            <w:tcW w:w="1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14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6"/>
              </w:rPr>
              <w:t>Increase/ (Decrease)</w:t>
            </w:r>
          </w:p>
        </w:tc>
        <w:tc>
          <w:tcPr>
            <w:tcW w:w="100" w:type="dxa"/>
            <w:vAlign w:val="bottom"/>
          </w:tcPr>
          <w:p>
            <w:pPr>
              <w:spacing w:after="0"/>
              <w:rPr>
                <w:sz w:val="10"/>
                <w:szCs w:val="10"/>
                <w:color w:val="auto"/>
              </w:rPr>
            </w:pPr>
          </w:p>
        </w:tc>
        <w:tc>
          <w:tcPr>
            <w:tcW w:w="1440" w:type="dxa"/>
            <w:vAlign w:val="bottom"/>
          </w:tcPr>
          <w:p>
            <w:pPr>
              <w:jc w:val="right"/>
              <w:ind w:right="4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b w:val="1"/>
                <w:bCs w:val="1"/>
                <w:color w:val="auto"/>
              </w:rPr>
              <w:t>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489,862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516,218</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(26,356)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Non-casino revenues: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48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94,186</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105,511</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43,311</w:t>
            </w:r>
          </w:p>
        </w:tc>
        <w:tc>
          <w:tcPr>
            <w:tcW w:w="15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463,472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243,008</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953,334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736,682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216,652</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three months ended March 31, 2022 were 51.4% of operating revenues, compared to 70.1% for the same period of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March 31, 2022 were 48.6% of operating revenues, compared to 29.9% for the same period of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revenues decreased primarily due to decreased VIP turnover and table games win and mass market table drop and table games win at our Macau Operations, partially offset by increased table drop, table games win and slot machine win at our Las Vegas Operations and Encore Boston Harbor, respectively.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114,413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185,909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VIP:</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965,555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2,200,182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(1,234,627)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19,753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96,456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531,859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607,518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(75,659)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111,175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131,649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250,930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358,772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12,649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14,243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102,430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138,927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VIP:</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887,051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1,804,382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(917,331)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34,029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10,823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469,138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590,890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(121,752)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82,259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283,539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301,271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10,611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10,208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124,271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79,903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44,368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547,916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324,531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223,385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76,653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1,177,985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791,260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80,831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50,489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30,342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(2)</w:t>
            </w: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148,748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111,479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37,269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346,195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234,562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111,633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76,792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2,776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1,183,314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913,795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95,296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74,820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20,476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50" w:lineRule="auto"/>
        <w:tabs>
          <w:tab w:leader="none" w:pos="2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ind w:firstLine="8"/>
        <w:spacing w:after="0" w:line="255" w:lineRule="auto"/>
        <w:tabs>
          <w:tab w:leader="none" w:pos="20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January 25, 2021,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13,831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9,390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14,702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39,761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91,705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15,689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10,974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hanging="252"/>
        <w:spacing w:after="0" w:line="273" w:lineRule="auto"/>
        <w:tabs>
          <w:tab w:leader="none" w:pos="225"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Encore Boston Harbor room statistics have been computed based on 36 days of operation in three months ended March 31, 2021, representing the number of nights hotel rooms were offered for sale to the public.</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Room revenues increased $94.2 million, primarily due to higher occupancy and ADR at our Las Vegas Operations and Encore Boston Harbor, respectively. The hotel tower at Encore Boston Harbor was closed pursuant to a COVID-19 related state directive from November 6, 2020 through January 25, 2021, when it reopened its hotel tower on a Thursday through Sunday weekly schedule. Encore Boston Harbor reopened its hotel tower to seven days per week as of September 1, 2021.</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increased $105.5 million, primarily due to increased covers at our restaurants and an increase in nightlife revenues at our Las Vegas Operations as a result of ongoing recovery from the effects of COVID-19.</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Entertainment, retail and other revenues increased $43.3 million, primarily due to an increase in visitation to our Las Vegas Operations as a result of ongoing recovery from the effects of COVID-19 and an increase of $12.0 million in revenues at Wynn Interactive primarily due to the continued expansion and ramp up of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8"/>
        </w:trPr>
        <w:tc>
          <w:tcPr>
            <w:tcW w:w="52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6"/>
              </w:rPr>
              <w:t>Increase/ (Decrease)</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 Change</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324,079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351,966</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(27,887)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25,180</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75.1</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72,708</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98.3</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21.0</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196,780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179,774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17,006</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9.5</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50.4</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40,103</w:t>
            </w:r>
          </w:p>
        </w:tc>
        <w:tc>
          <w:tcPr>
            <w:tcW w:w="15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714.0</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1,048,199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912,414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135,785</w:t>
            </w:r>
          </w:p>
        </w:tc>
        <w:tc>
          <w:tcPr>
            <w:tcW w:w="1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Total operating expenses increased $135.8 million compared to the three months ended March 31, 2021, primarily due to increased room, food and beverage, entertainment, retail and other, general and administrative expenses, and property charges and other, partially offset by decreased casino and provision for credit losses expenses.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Casino expenses decreased $42.4 million and $22.9 million at Wynn Palace and Wynn Macau, respectively. These decreases were primarily due to reductions in gaming tax expense commensurate with the declines in casino revenues at each of Wynn Palace and Wynn Macau, resulting from the effects of the COVID-19 pandemic, partially offset by increased casino expenses of $19.9 million and $17.5 million at our Las Vegas Operations and Encore Boston Harbor, respectively, primarily due to increased gaming tax expense driven by the increase in casino revenues.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expenses increased $21.1 million and $4.5 million at our Las Vegas Operations and Encore Boston Harbor, respectively. These increases were primarily a result of higher operating costs related to the increase in occupancy.</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expenses increased $64.7 million and $6.5 million at our Las Vegas Operations and Encore Boston Harbor, respectively. These increases were primarily a result of higher operating costs related to the increase in food and beverage revenues as well as higher nightlife entertainment costs.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Entertainment, retail and other expenses increased $14.5 million at our Las Vegas operations. The increase was primarily a result of higher operating costs related to an increase in visitation.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increased primarily due to increases of $12.5 million and $5.8 million at our Las Vegas Operations and Encore Boston Harbor, respectively. These increases were primarily attributable to increased payroll, operating costs, and general and administrative expenses required to support higher business volumes.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Provision for credit losses decreased $3.0 million, $2.4 million, and $1.5 million at Wynn Palace, our Las Vegas Operations, and Wynn Macau,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10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property charges and other expenses for the quarter ended March 31, 2022 consisted primarily of impairment of goodwill of $30.3 million at Wynn Interactive, asset abandonments of $1.0 million and $2.1 million at our Las Vegas Operations and Wynn Interactive, respectively, and contract termination expenses of $9.6 million at Wynn Interactive. Our property charges and other expenses for the quarter ended March 31, 2021 consisted primarily of asset abandonments of $2.1 million and $2.2 million at our Las Vegas Operations and Wynn Palace,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00" w:type="dxa"/>
            <w:vAlign w:val="bottom"/>
          </w:tcPr>
          <w:p>
            <w:pPr>
              <w:ind w:left="480"/>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00" w:type="dxa"/>
            <w:vAlign w:val="bottom"/>
          </w:tcPr>
          <w:p>
            <w:pPr>
              <w:ind w:left="4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w w:val="99"/>
              </w:rPr>
              <w:t>Interest cost, including amortization of debt issuance costs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7"/>
              <w:spacing w:after="0"/>
              <w:rPr>
                <w:sz w:val="20"/>
                <w:szCs w:val="20"/>
                <w:color w:val="auto"/>
              </w:rPr>
            </w:pPr>
            <w:r>
              <w:rPr>
                <w:rFonts w:ascii="Arial" w:cs="Arial" w:eastAsia="Arial" w:hAnsi="Arial"/>
                <w:sz w:val="18"/>
                <w:szCs w:val="18"/>
                <w:color w:val="auto"/>
              </w:rPr>
              <w:t>152,158</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5"/>
              <w:spacing w:after="0"/>
              <w:rPr>
                <w:sz w:val="20"/>
                <w:szCs w:val="20"/>
                <w:color w:val="auto"/>
              </w:rPr>
            </w:pPr>
            <w:r>
              <w:rPr>
                <w:rFonts w:ascii="Arial" w:cs="Arial" w:eastAsia="Arial" w:hAnsi="Arial"/>
                <w:sz w:val="18"/>
                <w:szCs w:val="18"/>
                <w:color w:val="auto"/>
              </w:rPr>
              <w:t>152,852</w:t>
            </w:r>
          </w:p>
        </w:tc>
        <w:tc>
          <w:tcPr>
            <w:tcW w:w="120" w:type="dxa"/>
            <w:vAlign w:val="bottom"/>
          </w:tcPr>
          <w:p>
            <w:pPr>
              <w:spacing w:after="0"/>
              <w:rPr>
                <w:sz w:val="15"/>
                <w:szCs w:val="15"/>
                <w:color w:val="auto"/>
              </w:rPr>
            </w:pPr>
          </w:p>
        </w:tc>
        <w:tc>
          <w:tcPr>
            <w:tcW w:w="540" w:type="dxa"/>
            <w:vAlign w:val="bottom"/>
            <w:vMerge w:val="restart"/>
          </w:tcPr>
          <w:p>
            <w:pPr>
              <w:jc w:val="right"/>
              <w:ind w:right="359"/>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original issue discount and premium</w:t>
            </w: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7"/>
              <w:spacing w:after="0"/>
              <w:rPr>
                <w:sz w:val="20"/>
                <w:szCs w:val="20"/>
                <w:color w:val="auto"/>
              </w:rPr>
            </w:pPr>
            <w:r>
              <w:rPr>
                <w:rFonts w:ascii="Arial" w:cs="Arial" w:eastAsia="Arial" w:hAnsi="Arial"/>
                <w:sz w:val="18"/>
                <w:szCs w:val="18"/>
                <w:color w:val="auto"/>
              </w:rPr>
              <w:t>12,057,742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12,628,361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costs decreased primarily due to a decrease in the weighted average debt balance.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loss of $15.1 million and $11.1 million for the three months ended March 31, 2022 and 2021, respectively. The impact of the exchange rate fluctuation of the MOP,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gain of $7.4 million and $4.4 million for the three months ended March 31, 2022 and 2021, respectively, from change in derivatives fair value.</w:t>
      </w:r>
    </w:p>
    <w:p>
      <w:pPr>
        <w:spacing w:after="0" w:line="19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$1.3 million loss on extinguishment of debt for the three months ended March 31, 2021 related to the partial prepayment of the Wynn Macau Term Loan.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an income tax expense of $1.1 million and $0.5 million for the three months ended March 31, 2022 and 2021, respectively. The income tax expense primarily related to the Macau dividend tax agreement that provides for an annual payment as complementary tax otherwise due by stockholders of WRM.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loss attributable to noncontrolling interests was $71.3 million and $55.2 million for the three months ended March 31, 2022 and 2021, respectively. These amounts are primarily related to the noncontrolling interests' share of net loss attributable to WML.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Adjusted Property EBITDA (dollar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 to net loss attributable to Wynn Resorts, Limited.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5"/>
          </w:tcPr>
          <w:p>
            <w:pPr>
              <w:ind w:left="28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8"/>
        </w:trPr>
        <w:tc>
          <w:tcPr>
            <w:tcW w:w="5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Increase/ (Decrease)</w:t>
            </w:r>
          </w:p>
        </w:tc>
        <w:tc>
          <w:tcPr>
            <w:tcW w:w="1440" w:type="dxa"/>
            <w:vAlign w:val="bottom"/>
          </w:tcPr>
          <w:p>
            <w:pPr>
              <w:jc w:val="right"/>
              <w:ind w:right="141"/>
              <w:spacing w:after="0"/>
              <w:rPr>
                <w:sz w:val="20"/>
                <w:szCs w:val="20"/>
                <w:color w:val="auto"/>
              </w:rPr>
            </w:pPr>
            <w:r>
              <w:rPr>
                <w:rFonts w:ascii="Arial" w:cs="Arial" w:eastAsia="Arial" w:hAnsi="Arial"/>
                <w:sz w:val="14"/>
                <w:szCs w:val="14"/>
                <w:b w:val="1"/>
                <w:bCs w:val="1"/>
                <w:color w:val="auto"/>
              </w:rPr>
              <w:t>Percent Change</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Wynn Palace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center"/>
              <w:ind w:left="441"/>
              <w:spacing w:after="0"/>
              <w:rPr>
                <w:sz w:val="20"/>
                <w:szCs w:val="20"/>
                <w:color w:val="auto"/>
              </w:rPr>
            </w:pPr>
            <w:r>
              <w:rPr>
                <w:rFonts w:ascii="Arial" w:cs="Arial" w:eastAsia="Arial" w:hAnsi="Arial"/>
                <w:sz w:val="16"/>
                <w:szCs w:val="16"/>
                <w:color w:val="auto"/>
                <w:w w:val="93"/>
              </w:rPr>
              <w:t>27,369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(28,233)</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Wynn Macau</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441"/>
              <w:spacing w:after="0"/>
              <w:rPr>
                <w:sz w:val="20"/>
                <w:szCs w:val="20"/>
                <w:color w:val="auto"/>
              </w:rPr>
            </w:pPr>
            <w:r>
              <w:rPr>
                <w:rFonts w:ascii="Arial" w:cs="Arial" w:eastAsia="Arial" w:hAnsi="Arial"/>
                <w:sz w:val="16"/>
                <w:szCs w:val="16"/>
                <w:color w:val="auto"/>
                <w:w w:val="93"/>
              </w:rPr>
              <w:t>16,556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(21,238)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Las Vegas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41"/>
              <w:spacing w:after="0"/>
              <w:rPr>
                <w:sz w:val="20"/>
                <w:szCs w:val="20"/>
                <w:color w:val="auto"/>
              </w:rPr>
            </w:pPr>
            <w:r>
              <w:rPr>
                <w:rFonts w:ascii="Arial" w:cs="Arial" w:eastAsia="Arial" w:hAnsi="Arial"/>
                <w:sz w:val="16"/>
                <w:szCs w:val="16"/>
                <w:color w:val="auto"/>
                <w:w w:val="93"/>
              </w:rPr>
              <w:t>28,081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131,297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Encore Boston Harbor</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55,250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441"/>
              <w:spacing w:after="0"/>
              <w:rPr>
                <w:sz w:val="20"/>
                <w:szCs w:val="20"/>
                <w:color w:val="auto"/>
              </w:rPr>
            </w:pPr>
            <w:r>
              <w:rPr>
                <w:rFonts w:ascii="Arial" w:cs="Arial" w:eastAsia="Arial" w:hAnsi="Arial"/>
                <w:sz w:val="16"/>
                <w:szCs w:val="16"/>
                <w:color w:val="auto"/>
                <w:w w:val="93"/>
              </w:rPr>
              <w:t>30,363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24,887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Wynn Interactive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93"/>
              </w:rPr>
              <w:t>(43,469)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r>
    </w:tbl>
    <w:p>
      <w:pPr>
        <w:spacing w:after="0" w:line="3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Palace and Wynn Macau decreased $28.2 million and $21.2 million for the three months ended March 31, 2022, respectively, primarily due to a decrease in operating revenues, partially offset by a decrease in operating expenses. Our Macau Operations for the first quarter of 2022 continued to be negatively impacted by certain travel-related restrictions and conditions, including COVID-19 testing and other procedures related to the COVID-19 pandemic.</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Adjusted Property EBITDA at our Las Vegas Operations increased $131.3 million for the three months ended March 31, 2022, primarily due to an increase in operating revenues, partially offset by an increase in operating expenses. Our Las Vegas Operations for the first quarter of 2021 were negatively impacted by the limitation or suspension of certain offerings and certain capacity limitations related to the COVID-19 pandemic.</w:t>
      </w:r>
    </w:p>
    <w:p>
      <w:pPr>
        <w:spacing w:after="0" w:line="9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Adjusted Property EBITDA at Encore Boston Harbor increased $24.9 million for the three months ended March 31, 2022, primarily due to an increase in operating revenues, partially offset by an increase in operating expenses. Operating revenue at Encore Boston Harbor for the first quarter of 2021 was negatively impacted by the limitation or suspension of certain offerings and certain capacity limitations related to the COVID-19 pandemic.</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Interactive was $(31.5) million for the three months ended March 31, 2022, primarily due to increased marketing and promotional expenses incurred in connection with the launch of its operations in New York and Louisiana, offset by increased operating revenues due to the continued expansion and ramp up of operations. Adjusted Property EBITDA at Wynn Interactive was $(43.5) million for the three months ended March 31, 2021, primarily due to the ramp up of Wynn Interactive operations.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216"/>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(253,906)</w:t>
            </w: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Capital expenditures, net of construction payables and retention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(40,270)</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intangible and 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29"/>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 of assets and other</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794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(48,636)</w:t>
            </w: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50,084</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(1,166,737)</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Proceeds from issuance of Wynn Resorts, Limited common stock</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841,899</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Finance lease payments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(3,881)</w:t>
            </w:r>
          </w:p>
        </w:tc>
      </w:tr>
      <w:tr>
        <w:trPr>
          <w:trHeight w:val="230"/>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noncontrolling interest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tcPr>
          <w:p>
            <w:pPr>
              <w:ind w:left="360"/>
              <w:spacing w:after="0"/>
              <w:rPr>
                <w:sz w:val="20"/>
                <w:szCs w:val="20"/>
                <w:color w:val="auto"/>
              </w:rPr>
            </w:pPr>
            <w:r>
              <w:rPr>
                <w:rFonts w:ascii="Arial" w:cs="Arial" w:eastAsia="Arial" w:hAnsi="Arial"/>
                <w:sz w:val="18"/>
                <w:szCs w:val="18"/>
                <w:color w:val="auto"/>
              </w:rPr>
              <w:t>Contribution from noncontrolling interest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Payments for debt financing costs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23"/>
        </w:trPr>
        <w:tc>
          <w:tcPr>
            <w:tcW w:w="794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(285,440)</w:t>
            </w: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(204,653)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(589,113)</w:t>
            </w:r>
          </w:p>
        </w:tc>
      </w:tr>
      <w:tr>
        <w:trPr>
          <w:trHeight w:val="21"/>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0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2022, the decrease in net cash used in operating activities was primarily due to increased operating revenues, partially offset by an increase in operating expenses. During the three months ended March 31, 2021, the increase in net cash used in operating activities was primarily due to changes in working capital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2022, we incurred capital expenditures of $67.8 million at our Las Vegas Operations primarily related to the Wynn Las Vegas room remodel, and $7.5 million at Encore Boston Harbor, $13.1 million at Wynn Palace, and $4.2 million at Wynn Macau, each primarily related to maintenance capital expenditures.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During the three months ended March 31, 2021, we incurred capital expenditures of $19.8 million at our Las Vegas Operations, and $6.3 million at Encore Boston Harbor, $7.4 million at Wynn Palace, and $4.8 million at Wynn Macau, each primarily related to maintenance capital expenditures.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2022, we received a $50.0 million contribution from a noncontrolling interest holder in exchange for a 49.9% interest in certain retail space contributed by the Company to the Retail Joint Venture. In addition, we made a $12.5 million quarterly amortization payment under the WRF Term Loan Facility.</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2021, we received proceeds of $841.9 million from our February 2021 equity offering and used $716.0 million of the proceeds from the equity offering to repay the outstanding borrowings under the WRF Revolver. In addition, we borrowed $50.1 million under the Wynn Macau Revolver, made a $438.6 million prepayment of outstanding principal owed under the Wynn Macau Term Loan, and made a $12.5 million quarterly amortization payment under the WRF Term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COVID-19 pandemic has materially impacted and is likely to continue to materially impact, our business, financial condition and results of operations. While we believe our unrestricted cash, cash flows from operations and revolver borrowing capacity will enable us to fund our current obligations for the foreseeable future, COVID-19 has resulted in significant disruptions to our operations and to the U.S. and other global economies, which has had and will likely continue to have a negative impact on our operating income and could have a negative impact on our ability to access capital in the future.</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Total Cash and Cash</w:t>
            </w:r>
          </w:p>
        </w:tc>
        <w:tc>
          <w:tcPr>
            <w:tcW w:w="140" w:type="dxa"/>
            <w:vAlign w:val="bottom"/>
          </w:tcPr>
          <w:p>
            <w:pPr>
              <w:spacing w:after="0"/>
              <w:rPr>
                <w:sz w:val="14"/>
                <w:szCs w:val="14"/>
                <w:color w:val="auto"/>
              </w:rPr>
            </w:pPr>
          </w:p>
        </w:tc>
        <w:tc>
          <w:tcPr>
            <w:tcW w:w="1460" w:type="dxa"/>
            <w:vAlign w:val="bottom"/>
          </w:tcPr>
          <w:p>
            <w:pPr>
              <w:jc w:val="right"/>
              <w:ind w:right="96"/>
              <w:spacing w:after="0"/>
              <w:rPr>
                <w:sz w:val="20"/>
                <w:szCs w:val="20"/>
                <w:color w:val="auto"/>
              </w:rPr>
            </w:pPr>
            <w:r>
              <w:rPr>
                <w:rFonts w:ascii="Arial" w:cs="Arial" w:eastAsia="Arial" w:hAnsi="Arial"/>
                <w:sz w:val="14"/>
                <w:szCs w:val="14"/>
                <w:b w:val="1"/>
                <w:bCs w:val="1"/>
                <w:color w:val="auto"/>
                <w:w w:val="94"/>
              </w:rPr>
              <w:t>Revolver Borrowing</w:t>
            </w:r>
          </w:p>
        </w:tc>
      </w:tr>
      <w:tr>
        <w:trPr>
          <w:trHeight w:val="188"/>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14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Arial" w:cs="Arial" w:eastAsia="Arial" w:hAnsi="Arial"/>
                <w:sz w:val="14"/>
                <w:szCs w:val="14"/>
                <w:b w:val="1"/>
                <w:bCs w:val="1"/>
                <w:color w:val="auto"/>
              </w:rPr>
              <w:t>Capacity</w:t>
            </w:r>
          </w:p>
        </w:tc>
      </w:tr>
      <w:tr>
        <w:trPr>
          <w:trHeight w:val="224"/>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 Limited and subsidiaries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1,287,256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211,906</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(1)</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835,600</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Resorts, Limited and other</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2,317,352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1,047,506</w:t>
            </w: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Excluding Wynn Macau, Limited and subsidiaries.</w:t>
      </w:r>
    </w:p>
    <w:p>
      <w:pPr>
        <w:spacing w:after="0" w:line="248"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i w:val="1"/>
          <w:iCs w:val="1"/>
          <w:color w:val="auto"/>
        </w:rPr>
        <w:t>Wynn Macau, Limited and subsidiaries</w:t>
      </w:r>
      <w:r>
        <w:rPr>
          <w:rFonts w:ascii="Arial" w:cs="Arial" w:eastAsia="Arial" w:hAnsi="Arial"/>
          <w:sz w:val="18"/>
          <w:szCs w:val="18"/>
          <w:color w:val="auto"/>
        </w:rPr>
        <w:t>. WML generates cash from our Macau Operations and may utilize proceeds from the WM Cayman II</w:t>
      </w:r>
      <w:r>
        <w:rPr>
          <w:rFonts w:ascii="Arial" w:cs="Arial" w:eastAsia="Arial" w:hAnsi="Arial"/>
          <w:sz w:val="18"/>
          <w:szCs w:val="18"/>
          <w:i w:val="1"/>
          <w:iCs w:val="1"/>
          <w:color w:val="auto"/>
        </w:rPr>
        <w:t xml:space="preserve"> </w:t>
      </w:r>
      <w:r>
        <w:rPr>
          <w:rFonts w:ascii="Arial" w:cs="Arial" w:eastAsia="Arial" w:hAnsi="Arial"/>
          <w:sz w:val="18"/>
          <w:szCs w:val="18"/>
          <w:color w:val="auto"/>
        </w:rPr>
        <w:t>Revolver to fund working capital requirements as needed. We expect to use this cash to fund working capital and capital expenditure requirements at WML and our Macau Operations, and to service our WML Senior Notes and WM Cayman II Revolver. WML paid no dividends during 2021 or the first quarter of 2022.</w:t>
      </w:r>
    </w:p>
    <w:p>
      <w:pPr>
        <w:spacing w:after="0" w:line="21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borrowings under the WM Cayman II Revolver bear interest at LIBOR or HIBOR plus a margin of 2.625% per annum until June 30, 2022, the date from which the margin will be 1.875% to 2.875% per annum based on WM Cayman II’s leverage ratio on a consolidated basis. The final maturity of all outstanding loans under the Revolving Facility is September 16, 2025.</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May 5, 2022, WM Cayman II and its lenders agreed to waive certain financial covenants in the facility agreement under the WM Cayman II Revolver in respect of the relevant periods ending on the following applicable test dates: (a) June 30, 2022; (b) September 30, 2022; (c) December 31, 2022; and (d) March 31, 2023; and to provide for a floor on the interest rate margin of 2.625% per annum through June 30, 2023. </w:t>
      </w:r>
      <w:r>
        <w:rPr>
          <w:rFonts w:ascii="Arial" w:cs="Arial" w:eastAsia="Arial" w:hAnsi="Arial"/>
          <w:sz w:val="18"/>
          <w:szCs w:val="18"/>
          <w:color w:val="242424"/>
        </w:rPr>
        <w:t>WML</w:t>
      </w:r>
      <w:r>
        <w:rPr>
          <w:rFonts w:ascii="Arial" w:cs="Arial" w:eastAsia="Arial" w:hAnsi="Arial"/>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1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March 31, 2022, it would be subject to minimal U.S. taxes in the year of repatriation.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Wynn Resorts Finance, LLC and subsidiaries. </w:t>
      </w:r>
      <w:r>
        <w:rPr>
          <w:rFonts w:ascii="Arial" w:cs="Arial" w:eastAsia="Arial" w:hAnsi="Arial"/>
          <w:sz w:val="18"/>
          <w:szCs w:val="18"/>
          <w:color w:val="auto"/>
        </w:rPr>
        <w:t>Wynn Resorts Finance, LLC ("WRF" or "Wynn Resorts Finance") generates cash from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due 2025, the WRF Senior Notes due 2029, and the Wynn Las Vegas (WLV) Senior Notes, and to fund working capital and capital expenditure requirements as needed.</w:t>
      </w:r>
    </w:p>
    <w:p>
      <w:pPr>
        <w:spacing w:after="0" w:line="21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spacing w:after="0" w:line="19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Wynn Las Vegas is currently undergoing its planned room remodel, which we temporarily postponed during 2020. We expect to incur between $50 million and $60 million of remaining project costs related to this remodel, which we expect to complete during the second quarter of 2022.</w:t>
      </w:r>
    </w:p>
    <w:p>
      <w:pPr>
        <w:spacing w:after="0" w:line="1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currently reconfiguring the former Le Reve theater space at Wynn Las Vegas. The specially redesigned theater will host an all-new, exclusive theatrical production. We expect to incur between $55 million and $65 million of remaining project costs related to the reconfigured theater and theatrical production, which we anticipate will open during the third quarter of 2022.</w:t>
      </w:r>
    </w:p>
    <w:p>
      <w:pPr>
        <w:spacing w:after="0" w:line="21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previously discussed, on February 15, 2022, we announced our entry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in exchange for the sale of such real estate assets to an unrelated third party, and to concurrently enter into a lease agreement whereby the Company will lease such real estate assets for the purpose of continuing to operate the Encore Boston Harbor property. The lease agreement provides for an initial annual minimum rent of $100.0 million for an initial term of 30 years, subject to certain annual rent escalations and renewal provisions. We expect to use the cash proceeds from the sale of the real estate assets for general corporate purposes, which may include the repayment of certain debt obligations.</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Wynn Resorts, Limited and other subsidiaries. </w:t>
      </w:r>
      <w:r>
        <w:rPr>
          <w:rFonts w:ascii="Arial" w:cs="Arial" w:eastAsia="Arial" w:hAnsi="Arial"/>
          <w:sz w:val="18"/>
          <w:szCs w:val="18"/>
          <w:color w:val="auto"/>
        </w:rPr>
        <w:t>Wynn Resorts, Limited is a holding company and, as a result, our ability to pay dividends is 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to fund working capital needs of Wynn Interactive, and for general corporate purposes.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15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As of March 31, 2022, we had $800.1 million in repurchase authority remaining under the program. We did not repurchase shares under the repurchase program during the three months ended March 31, 2022.</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including related to COVID-19,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these policies for the three months ended March 31,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related disclosure in Note 2, "Basis of Presentation and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2022, approximately 77% of our long-term debt was based on fixed rates. Based on our borrowings as of March 31, 2022, an assumed 100 basis point change in the variable rates would cause our annual interest expense to change by $23.0 million.</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an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the debt issued by WML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March 31, 2022, an assumed 1% change in the U.S. dollar/Hong Kong dollar exchange rate would cause a foreign currency transaction gain/loss of $39.6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furnishes under the Exchange Act and were effective in ensuring that information required to be disclosed by the Company in the reports that it files or furnishes under the Exchange Act is accumulated and communicated to the Company's management, including the Company's CEO and CFO, as appropriate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2021. There were no material changes to those risk factors during the three months ended March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9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shares we repurchased in satisfaction of employee tax withholding obligations upon the vesting of restricted stock during the three months ended March 31, 2022:</w:t>
      </w:r>
    </w:p>
    <w:tbl>
      <w:tblPr>
        <w:tblLayout w:type="fixed"/>
        <w:tblInd w:w="0" w:type="dxa"/>
        <w:tblCellMar>
          <w:top w:w="0" w:type="dxa"/>
          <w:left w:w="0" w:type="dxa"/>
          <w:bottom w:w="0" w:type="dxa"/>
          <w:right w:w="0" w:type="dxa"/>
        </w:tblCellMar>
      </w:tblPr>
      <w:tr>
        <w:trPr>
          <w:trHeight w:val="144"/>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Weighted Average Price Paid Per</w:t>
            </w:r>
          </w:p>
        </w:tc>
        <w:tc>
          <w:tcPr>
            <w:tcW w:w="140" w:type="dxa"/>
            <w:vAlign w:val="bottom"/>
          </w:tcPr>
          <w:p>
            <w:pPr>
              <w:spacing w:after="0"/>
              <w:rPr>
                <w:sz w:val="12"/>
                <w:szCs w:val="12"/>
                <w:color w:val="auto"/>
              </w:rPr>
            </w:pPr>
          </w:p>
        </w:tc>
        <w:tc>
          <w:tcPr>
            <w:tcW w:w="198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2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9"/>
              </w:rPr>
              <w:t>Number of Shares Repurchased</w:t>
            </w:r>
          </w:p>
        </w:tc>
        <w:tc>
          <w:tcPr>
            <w:tcW w:w="2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89"/>
              </w:rPr>
              <w:t>Repurchased Shares</w:t>
            </w: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6"/>
                <w:szCs w:val="16"/>
                <w:color w:val="auto"/>
              </w:rPr>
            </w:pPr>
          </w:p>
        </w:tc>
        <w:tc>
          <w:tcPr>
            <w:tcW w:w="19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5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January 31, 2022</w:t>
            </w:r>
          </w:p>
        </w:tc>
        <w:tc>
          <w:tcPr>
            <w:tcW w:w="12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February 28, 2022</w:t>
            </w:r>
          </w:p>
        </w:tc>
        <w:tc>
          <w:tcPr>
            <w:tcW w:w="2100" w:type="dxa"/>
            <w:vAlign w:val="bottom"/>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March 31, 2022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March 31, 2022 were part of the Company's publicly announced repurchase program. As of March 31, 2022, we had $800.1 million in repurchase authority under the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ind w:left="440"/>
        <w:spacing w:after="0"/>
        <w:tabs>
          <w:tab w:leader="none" w:pos="1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ind w:left="84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58">
        <w:r>
          <w:rPr>
            <w:rFonts w:ascii="Arial" w:cs="Arial" w:eastAsia="Arial" w:hAnsi="Arial"/>
            <w:sz w:val="16"/>
            <w:szCs w:val="16"/>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858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1220"/>
        <w:spacing w:after="0"/>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10-Q filed by the Registrant on May 8, 2015.)</w:t>
        </w:r>
      </w:hyperlink>
    </w:p>
    <w:p>
      <w:pPr>
        <w:spacing w:after="0" w:line="7" w:lineRule="exact"/>
        <w:rPr>
          <w:sz w:val="20"/>
          <w:szCs w:val="20"/>
          <w:color w:val="auto"/>
        </w:rPr>
      </w:pPr>
    </w:p>
    <w:p>
      <w:pPr>
        <w:ind w:left="1220" w:right="360" w:hanging="368"/>
        <w:spacing w:after="0" w:line="23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60">
        <w:r>
          <w:rPr>
            <w:rFonts w:ascii="Arial" w:cs="Arial" w:eastAsia="Arial" w:hAnsi="Arial"/>
            <w:sz w:val="18"/>
            <w:szCs w:val="18"/>
            <w:u w:val="single" w:color="auto"/>
            <w:color w:val="0000FF"/>
          </w:rPr>
          <w:t>Ninth Amended and Restated Bylaws of the Registrant. (Incorporated by reference from the Annual Report on Form 10-K filed by the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Registrant on February 28, 2020.)</w:t>
        </w:r>
      </w:hyperlink>
    </w:p>
    <w:p>
      <w:pPr>
        <w:spacing w:after="0" w:line="1" w:lineRule="exact"/>
        <w:rPr>
          <w:sz w:val="20"/>
          <w:szCs w:val="20"/>
          <w:color w:val="auto"/>
        </w:rPr>
      </w:pPr>
    </w:p>
    <w:p>
      <w:pPr>
        <w:ind w:left="1220" w:right="340" w:hanging="683"/>
        <w:spacing w:after="0" w:line="248" w:lineRule="auto"/>
        <w:tabs>
          <w:tab w:leader="none" w:pos="1200" w:val="left"/>
        </w:tabs>
        <w:rPr>
          <w:rFonts w:ascii="Arial" w:cs="Arial" w:eastAsia="Arial" w:hAnsi="Arial"/>
          <w:sz w:val="17"/>
          <w:szCs w:val="17"/>
          <w:u w:val="single" w:color="auto"/>
          <w:color w:val="0000FF"/>
        </w:rPr>
      </w:pPr>
      <w:r>
        <w:rPr>
          <w:rFonts w:ascii="Arial" w:cs="Arial" w:eastAsia="Arial" w:hAnsi="Arial"/>
          <w:sz w:val="18"/>
          <w:szCs w:val="18"/>
          <w:color w:val="auto"/>
        </w:rPr>
        <w:t>*10.3.2</w:t>
      </w:r>
      <w:r>
        <w:rPr>
          <w:sz w:val="20"/>
          <w:szCs w:val="20"/>
          <w:color w:val="auto"/>
        </w:rPr>
        <w:tab/>
      </w:r>
      <w:hyperlink w:anchor="page41">
        <w:r>
          <w:rPr>
            <w:rFonts w:ascii="Arial" w:cs="Arial" w:eastAsia="Arial" w:hAnsi="Arial"/>
            <w:sz w:val="17"/>
            <w:szCs w:val="17"/>
            <w:u w:val="single" w:color="auto"/>
            <w:color w:val="0000FF"/>
          </w:rPr>
          <w:t>Amendment to the Facility Agreement, dated as of May 5, 2022, by and among WM Cayman Holdings Limited II, as borrower, Wynn</w:t>
        </w:r>
      </w:hyperlink>
      <w:r>
        <w:rPr>
          <w:rFonts w:ascii="Arial" w:cs="Arial" w:eastAsia="Arial" w:hAnsi="Arial"/>
          <w:sz w:val="17"/>
          <w:szCs w:val="17"/>
          <w:u w:val="single" w:color="auto"/>
          <w:color w:val="0000FF"/>
        </w:rPr>
        <w:t xml:space="preserve"> </w:t>
      </w:r>
      <w:hyperlink w:anchor="page41">
        <w:r>
          <w:rPr>
            <w:rFonts w:ascii="Arial" w:cs="Arial" w:eastAsia="Arial" w:hAnsi="Arial"/>
            <w:sz w:val="17"/>
            <w:szCs w:val="17"/>
            <w:u w:val="single" w:color="auto"/>
            <w:color w:val="0000FF"/>
          </w:rPr>
          <w:t>Macau, Limited, as guarantor, and Bank of China Limited, Macau Branch, as agent and a syndicate of lenders.</w:t>
        </w:r>
      </w:hyperlink>
    </w:p>
    <w:p>
      <w:pPr>
        <w:spacing w:after="0" w:line="1" w:lineRule="exact"/>
        <w:rPr>
          <w:sz w:val="20"/>
          <w:szCs w:val="20"/>
          <w:color w:val="auto"/>
        </w:rPr>
      </w:pPr>
    </w:p>
    <w:p>
      <w:pPr>
        <w:ind w:left="1220" w:right="400" w:hanging="818"/>
        <w:spacing w:after="0" w:line="23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*10.7.4.1</w:t>
      </w:r>
      <w:r>
        <w:rPr>
          <w:sz w:val="20"/>
          <w:szCs w:val="20"/>
          <w:color w:val="auto"/>
        </w:rPr>
        <w:tab/>
      </w:r>
      <w:hyperlink w:anchor="page48">
        <w:r>
          <w:rPr>
            <w:rFonts w:ascii="Arial" w:cs="Arial" w:eastAsia="Arial" w:hAnsi="Arial"/>
            <w:sz w:val="18"/>
            <w:szCs w:val="18"/>
            <w:u w:val="single" w:color="auto"/>
            <w:color w:val="0000FF"/>
          </w:rPr>
          <w:t>First Amendment to Employment Agreement, dated as of April 13, 2022, by and between Wynn Resorts, Limited and Julie Cameron-</w:t>
        </w:r>
      </w:hyperlink>
      <w:hyperlink w:anchor="page48">
        <w:r>
          <w:rPr>
            <w:rFonts w:ascii="Arial" w:cs="Arial" w:eastAsia="Arial" w:hAnsi="Arial"/>
            <w:sz w:val="18"/>
            <w:szCs w:val="18"/>
            <w:u w:val="single" w:color="auto"/>
            <w:color w:val="0000FF"/>
          </w:rPr>
          <w:t>Doe.</w:t>
        </w:r>
      </w:hyperlink>
    </w:p>
    <w:p>
      <w:pPr>
        <w:spacing w:after="0" w:line="1"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9">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23"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50">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23" w:lineRule="exact"/>
        <w:rPr>
          <w:sz w:val="20"/>
          <w:szCs w:val="20"/>
          <w:color w:val="auto"/>
        </w:rPr>
      </w:pPr>
    </w:p>
    <w:p>
      <w:pPr>
        <w:ind w:left="1220" w:hanging="330"/>
        <w:spacing w:after="0"/>
        <w:tabs>
          <w:tab w:leader="none" w:pos="1220" w:val="left"/>
        </w:tabs>
        <w:numPr>
          <w:ilvl w:val="0"/>
          <w:numId w:val="13"/>
        </w:numPr>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CEO and CFO Pursuant to 18 U.S.C. Section 1350 (furnished herewith).</w:t>
        </w:r>
      </w:hyperlink>
    </w:p>
    <w:p>
      <w:pPr>
        <w:spacing w:after="0" w:line="23" w:lineRule="exact"/>
        <w:rPr>
          <w:sz w:val="20"/>
          <w:szCs w:val="20"/>
          <w:color w:val="auto"/>
        </w:rPr>
      </w:pPr>
    </w:p>
    <w:p>
      <w:pPr>
        <w:jc w:val="both"/>
        <w:ind w:left="1220" w:right="120" w:hanging="420"/>
        <w:spacing w:after="0" w:line="238" w:lineRule="auto"/>
        <w:tabs>
          <w:tab w:leader="none" w:pos="1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material from Wynn Resorts, Limited's Quarterly Report on Form 10-Q, formatted in Inline XBRL (Inline Extensible Business Reporting Language): (i) the Condensed Consolidated Balance Sheets as of March 31, 2022 and December 31, 2021; (ii) the Condensed Consolidated Statements of Operations for the three months ended March 31, 2022 and 2021; (iii) the Condensed Consolidated Statements of Comprehensive Loss for the three months ended March 31, 2022 and 2021; (iv) the Condensed Consolidated Statements of Stockholders' Deficit for the three months ended March 31, 2022 and 2021; (v) the Condensed Consolidated Statements of Cash Flows for the three months ended March 31, 2022 and 2021; and (vi) Notes to Condensed Consolidated Financial Statements. The instance document does not appear in the Interactive Data File because its XBRL tags are embedded within the Inline XBRL document.</w:t>
      </w:r>
    </w:p>
    <w:p>
      <w:pPr>
        <w:spacing w:after="0" w:line="5" w:lineRule="exact"/>
        <w:rPr>
          <w:sz w:val="20"/>
          <w:szCs w:val="20"/>
          <w:color w:val="auto"/>
        </w:rPr>
      </w:pPr>
    </w:p>
    <w:p>
      <w:pPr>
        <w:ind w:left="80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0740"/>
          </w:cols>
          <w:pgMar w:left="320" w:top="122"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May 10, 2022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29210</wp:posOffset>
            </wp:positionV>
            <wp:extent cx="26320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740" w:space="720"/>
            <w:col w:w="4280"/>
          </w:cols>
          <w:pgMar w:left="320" w:top="122" w:right="839" w:bottom="1440" w:gutter="0" w:footer="0" w:header="0"/>
          <w:type w:val="continuous"/>
        </w:sectPr>
      </w:pPr>
    </w:p>
    <w:p>
      <w:pPr>
        <w:ind w:left="6460"/>
        <w:spacing w:after="0"/>
        <w:rPr>
          <w:sz w:val="20"/>
          <w:szCs w:val="20"/>
          <w:color w:val="auto"/>
        </w:rPr>
      </w:pPr>
      <w:r>
        <w:rPr>
          <w:rFonts w:ascii="Arial" w:cs="Arial" w:eastAsia="Arial" w:hAnsi="Arial"/>
          <w:sz w:val="18"/>
          <w:szCs w:val="18"/>
          <w:color w:val="auto"/>
        </w:rPr>
        <w:t>Julie Cameron-Doe</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740"/>
          </w:cols>
          <w:pgMar w:left="320" w:top="122" w:right="8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 10.3.2</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Wynn Macau, Limited</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Wynn Macau,</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Rua Cidade de Sintra,</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NAPE, Macau</w:t>
      </w:r>
    </w:p>
    <w:p>
      <w:pPr>
        <w:spacing w:after="0" w:line="200" w:lineRule="exact"/>
        <w:rPr>
          <w:sz w:val="20"/>
          <w:szCs w:val="20"/>
          <w:color w:val="auto"/>
        </w:rPr>
      </w:pPr>
    </w:p>
    <w:p>
      <w:pPr>
        <w:sectPr>
          <w:pgSz w:w="11900" w:h="16838" w:orient="portrait"/>
          <w:cols w:equalWidth="0" w:num="2">
            <w:col w:w="300" w:space="660"/>
            <w:col w:w="10280"/>
          </w:cols>
          <w:pgMar w:left="320" w:top="104" w:right="339" w:bottom="1440" w:gutter="0" w:footer="0" w:header="0"/>
          <w:type w:val="continuous"/>
        </w:sectPr>
      </w:pP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Chief Financial Officer</w:t>
      </w:r>
    </w:p>
    <w:p>
      <w:pPr>
        <w:sectPr>
          <w:pgSz w:w="11900" w:h="16838" w:orient="portrait"/>
          <w:cols w:equalWidth="0" w:num="1">
            <w:col w:w="11240"/>
          </w:cols>
          <w:pgMar w:left="320" w:top="104" w:right="339" w:bottom="1440" w:gutter="0" w:footer="0" w:header="0"/>
          <w:type w:val="continuous"/>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WM Cayman Holdings Limited II</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Wynn Macau, Rua Cidade de Sintra,</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NAPE, Macau</w:t>
      </w:r>
    </w:p>
    <w:p>
      <w:pPr>
        <w:spacing w:after="0" w:line="200" w:lineRule="exact"/>
        <w:rPr>
          <w:sz w:val="20"/>
          <w:szCs w:val="20"/>
          <w:color w:val="auto"/>
        </w:rPr>
      </w:pPr>
    </w:p>
    <w:p>
      <w:pPr>
        <w:sectPr>
          <w:pgSz w:w="11900" w:h="16838" w:orient="portrait"/>
          <w:cols w:equalWidth="0" w:num="2">
            <w:col w:w="300" w:space="660"/>
            <w:col w:w="10280"/>
          </w:cols>
          <w:pgMar w:left="320" w:top="104" w:right="339" w:bottom="1440" w:gutter="0" w:footer="0" w:header="0"/>
          <w:type w:val="continuous"/>
        </w:sectPr>
      </w:pPr>
    </w:p>
    <w:p>
      <w:pPr>
        <w:spacing w:after="0" w:line="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Chief Financial Officer</w:t>
      </w:r>
    </w:p>
    <w:p>
      <w:pPr>
        <w:sectPr>
          <w:pgSz w:w="11900" w:h="16838" w:orient="portrait"/>
          <w:cols w:equalWidth="0" w:num="1">
            <w:col w:w="11240"/>
          </w:cols>
          <w:pgMar w:left="320" w:top="104" w:right="339" w:bottom="1440" w:gutter="0" w:footer="0" w:header="0"/>
          <w:type w:val="continuous"/>
        </w:sect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Copy: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Wynn Resorts (Macau) S.A.</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Wynn Macau,</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Rua Cidade de Sintra,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NAPE, Macau</w:t>
      </w:r>
    </w:p>
    <w:p>
      <w:pPr>
        <w:spacing w:after="0" w:line="200" w:lineRule="exact"/>
        <w:rPr>
          <w:sz w:val="20"/>
          <w:szCs w:val="20"/>
          <w:color w:val="auto"/>
        </w:rPr>
      </w:pPr>
    </w:p>
    <w:p>
      <w:pPr>
        <w:sectPr>
          <w:pgSz w:w="11900" w:h="16838" w:orient="portrait"/>
          <w:cols w:equalWidth="0" w:num="2">
            <w:col w:w="520" w:space="440"/>
            <w:col w:w="10280"/>
          </w:cols>
          <w:pgMar w:left="320" w:top="104" w:right="339" w:bottom="1440" w:gutter="0" w:footer="0" w:header="0"/>
          <w:type w:val="continuous"/>
        </w:sectPr>
      </w:pPr>
    </w:p>
    <w:p>
      <w:pPr>
        <w:spacing w:after="0" w:line="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Attention: Legal Department of Wynn Resorts (Macau) S.A.</w:t>
      </w:r>
    </w:p>
    <w:p>
      <w:pPr>
        <w:sectPr>
          <w:pgSz w:w="11900" w:h="16838" w:orient="portrait"/>
          <w:cols w:equalWidth="0" w:num="1">
            <w:col w:w="11240"/>
          </w:cols>
          <w:pgMar w:left="320" w:top="104"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May 5, 2022</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00" w:lineRule="exact"/>
        <w:rPr>
          <w:sz w:val="20"/>
          <w:szCs w:val="20"/>
          <w:color w:val="auto"/>
        </w:rPr>
      </w:pPr>
    </w:p>
    <w:p>
      <w:pPr>
        <w:spacing w:after="0" w:line="26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Facility Agreement dated 16 September 2021 and made between, among others, WM Cayman Holdings Limited II as the borrower and Bank of China Limited, Macau Branch as agent, as amended, consolidated, supplemented, confirmed, novated or replaced from time to time on and/or prior to the date of this letter (the "Agreement")</w:t>
      </w:r>
    </w:p>
    <w:p>
      <w:pPr>
        <w:spacing w:after="0" w:line="2" w:lineRule="exact"/>
        <w:rPr>
          <w:sz w:val="20"/>
          <w:szCs w:val="20"/>
          <w:color w:val="auto"/>
        </w:rPr>
      </w:pPr>
    </w:p>
    <w:p>
      <w:pPr>
        <w:ind w:left="560" w:right="20" w:hanging="552"/>
        <w:spacing w:after="0" w:line="309" w:lineRule="auto"/>
        <w:tabs>
          <w:tab w:leader="none" w:pos="552"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refer to the Agreement and to the request letter from you to us dated 7 March 2022 (the "</w:t>
      </w:r>
      <w:r>
        <w:rPr>
          <w:rFonts w:ascii="Arial" w:cs="Arial" w:eastAsia="Arial" w:hAnsi="Arial"/>
          <w:sz w:val="20"/>
          <w:szCs w:val="20"/>
          <w:b w:val="1"/>
          <w:bCs w:val="1"/>
          <w:color w:val="auto"/>
        </w:rPr>
        <w:t>Request Letter</w:t>
      </w:r>
      <w:r>
        <w:rPr>
          <w:rFonts w:ascii="Arial" w:cs="Arial" w:eastAsia="Arial" w:hAnsi="Arial"/>
          <w:sz w:val="20"/>
          <w:szCs w:val="20"/>
          <w:color w:val="auto"/>
        </w:rPr>
        <w:t>"). Terms defined in the Agreement shall, unless a contrary intention appears herein, have the same meaning in this letter.</w:t>
      </w:r>
    </w:p>
    <w:p>
      <w:pPr>
        <w:spacing w:after="0" w:line="129" w:lineRule="exact"/>
        <w:rPr>
          <w:rFonts w:ascii="Arial" w:cs="Arial" w:eastAsia="Arial" w:hAnsi="Arial"/>
          <w:sz w:val="20"/>
          <w:szCs w:val="20"/>
          <w:color w:val="auto"/>
        </w:rPr>
      </w:pPr>
    </w:p>
    <w:p>
      <w:pPr>
        <w:ind w:left="560" w:hanging="552"/>
        <w:spacing w:after="0"/>
        <w:tabs>
          <w:tab w:leader="none" w:pos="5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have received feedback from the Lenders in response to the Request Letter.</w:t>
      </w:r>
    </w:p>
    <w:p>
      <w:pPr>
        <w:spacing w:after="0" w:line="215" w:lineRule="exact"/>
        <w:rPr>
          <w:rFonts w:ascii="Arial" w:cs="Arial" w:eastAsia="Arial" w:hAnsi="Arial"/>
          <w:sz w:val="20"/>
          <w:szCs w:val="20"/>
          <w:color w:val="auto"/>
        </w:rPr>
      </w:pPr>
    </w:p>
    <w:p>
      <w:pPr>
        <w:ind w:left="560" w:right="20" w:hanging="552"/>
        <w:spacing w:after="0" w:line="303" w:lineRule="auto"/>
        <w:tabs>
          <w:tab w:leader="none" w:pos="552" w:val="left"/>
        </w:tabs>
        <w:numPr>
          <w:ilvl w:val="0"/>
          <w:numId w:val="16"/>
        </w:numPr>
        <w:rPr>
          <w:rFonts w:ascii="Arial" w:cs="Arial" w:eastAsia="Arial" w:hAnsi="Arial"/>
          <w:sz w:val="20"/>
          <w:szCs w:val="20"/>
          <w:color w:val="auto"/>
        </w:rPr>
      </w:pPr>
      <w:r>
        <w:rPr>
          <w:rFonts w:ascii="Arial" w:cs="Arial" w:eastAsia="Arial" w:hAnsi="Arial"/>
          <w:sz w:val="20"/>
          <w:szCs w:val="20"/>
          <w:color w:val="auto"/>
        </w:rPr>
        <w:t>We are pleased to confirm that the Majority Lenders have agreed to make the following amendments to the terms of the Agreement (the "</w:t>
      </w:r>
      <w:r>
        <w:rPr>
          <w:rFonts w:ascii="Arial" w:cs="Arial" w:eastAsia="Arial" w:hAnsi="Arial"/>
          <w:sz w:val="20"/>
          <w:szCs w:val="20"/>
          <w:b w:val="1"/>
          <w:bCs w:val="1"/>
          <w:color w:val="auto"/>
        </w:rPr>
        <w:t>Agreed Amendments</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1160" w:hanging="565"/>
        <w:spacing w:after="0" w:line="292" w:lineRule="auto"/>
        <w:tabs>
          <w:tab w:leader="none" w:pos="1051" w:val="left"/>
        </w:tabs>
        <w:numPr>
          <w:ilvl w:val="1"/>
          <w:numId w:val="16"/>
        </w:numPr>
        <w:rPr>
          <w:rFonts w:ascii="Arial" w:cs="Arial" w:eastAsia="Arial" w:hAnsi="Arial"/>
          <w:sz w:val="20"/>
          <w:szCs w:val="20"/>
          <w:color w:val="auto"/>
        </w:rPr>
      </w:pPr>
      <w:r>
        <w:rPr>
          <w:rFonts w:ascii="Arial" w:cs="Arial" w:eastAsia="Arial" w:hAnsi="Arial"/>
          <w:sz w:val="20"/>
          <w:szCs w:val="20"/>
          <w:color w:val="auto"/>
        </w:rPr>
        <w:t>paragraph (a) of the definition of "Margin"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of the Agreement shall be amended by adding the words "and, prior to 1 July 2023, if any decrease would result in the Margin falling below 2.625% per annum, the Margin shall instead be deemed to be 2.625% per annum" immediately after the words "and is continuing";</w:t>
      </w:r>
    </w:p>
    <w:p>
      <w:pPr>
        <w:spacing w:after="0" w:line="146" w:lineRule="exact"/>
        <w:rPr>
          <w:rFonts w:ascii="Arial" w:cs="Arial" w:eastAsia="Arial" w:hAnsi="Arial"/>
          <w:sz w:val="20"/>
          <w:szCs w:val="20"/>
          <w:color w:val="auto"/>
        </w:rPr>
      </w:pPr>
    </w:p>
    <w:p>
      <w:pPr>
        <w:ind w:left="1160" w:hanging="565"/>
        <w:spacing w:after="0" w:line="292" w:lineRule="auto"/>
        <w:tabs>
          <w:tab w:leader="none" w:pos="1081" w:val="left"/>
        </w:tabs>
        <w:numPr>
          <w:ilvl w:val="1"/>
          <w:numId w:val="16"/>
        </w:numPr>
        <w:rPr>
          <w:rFonts w:ascii="Arial" w:cs="Arial" w:eastAsia="Arial" w:hAnsi="Arial"/>
          <w:sz w:val="20"/>
          <w:szCs w:val="20"/>
          <w:color w:val="auto"/>
        </w:rPr>
      </w:pPr>
      <w:r>
        <w:rPr>
          <w:rFonts w:ascii="Arial" w:cs="Arial" w:eastAsia="Arial" w:hAnsi="Arial"/>
          <w:sz w:val="20"/>
          <w:szCs w:val="20"/>
          <w:color w:val="auto"/>
        </w:rPr>
        <w:t>paragraph (a) of clause 19.2 (</w:t>
      </w:r>
      <w:r>
        <w:rPr>
          <w:rFonts w:ascii="Arial" w:cs="Arial" w:eastAsia="Arial" w:hAnsi="Arial"/>
          <w:sz w:val="20"/>
          <w:szCs w:val="20"/>
          <w:i w:val="1"/>
          <w:iCs w:val="1"/>
          <w:color w:val="auto"/>
        </w:rPr>
        <w:t>Compliance Certificate</w:t>
      </w:r>
      <w:r>
        <w:rPr>
          <w:rFonts w:ascii="Arial" w:cs="Arial" w:eastAsia="Arial" w:hAnsi="Arial"/>
          <w:sz w:val="20"/>
          <w:szCs w:val="20"/>
          <w:color w:val="auto"/>
        </w:rPr>
        <w:t>) of the Agreement shall be amended by inserting the words "and, in the case of each of the Fiscal Quarters ending on 30 June 2022, 30 September 2022, 31 December 2022 and 31 March 2023, as if Clause 20 (</w:t>
      </w:r>
      <w:r>
        <w:rPr>
          <w:rFonts w:ascii="Arial" w:cs="Arial" w:eastAsia="Arial" w:hAnsi="Arial"/>
          <w:sz w:val="20"/>
          <w:szCs w:val="20"/>
          <w:i w:val="1"/>
          <w:iCs w:val="1"/>
          <w:color w:val="auto"/>
        </w:rPr>
        <w:t>Financial Covenants</w:t>
      </w:r>
      <w:r>
        <w:rPr>
          <w:rFonts w:ascii="Arial" w:cs="Arial" w:eastAsia="Arial" w:hAnsi="Arial"/>
          <w:sz w:val="20"/>
          <w:szCs w:val="20"/>
          <w:color w:val="auto"/>
        </w:rPr>
        <w:t>) applied to the Relevant Period</w:t>
      </w:r>
    </w:p>
    <w:p>
      <w:pPr>
        <w:sectPr>
          <w:pgSz w:w="11900" w:h="16838" w:orient="portrait"/>
          <w:cols w:equalWidth="0" w:num="1">
            <w:col w:w="11240"/>
          </w:cols>
          <w:pgMar w:left="320" w:top="104" w:right="339" w:bottom="1440" w:gutter="0" w:footer="0" w:header="0"/>
          <w:type w:val="continuous"/>
        </w:sectPr>
      </w:pPr>
    </w:p>
    <w:bookmarkStart w:id="41" w:name="page42"/>
    <w:bookmarkEnd w:id="41"/>
    <w:p>
      <w:pPr>
        <w:spacing w:after="0" w:line="6" w:lineRule="exact"/>
        <w:rPr>
          <w:sz w:val="20"/>
          <w:szCs w:val="20"/>
          <w:color w:val="auto"/>
        </w:rPr>
      </w:pPr>
    </w:p>
    <w:p>
      <w:pPr>
        <w:jc w:val="both"/>
        <w:ind w:left="1152"/>
        <w:spacing w:after="0" w:line="288" w:lineRule="auto"/>
        <w:rPr>
          <w:sz w:val="20"/>
          <w:szCs w:val="20"/>
          <w:color w:val="auto"/>
        </w:rPr>
      </w:pPr>
      <w:r>
        <w:rPr>
          <w:rFonts w:ascii="Arial" w:cs="Arial" w:eastAsia="Arial" w:hAnsi="Arial"/>
          <w:sz w:val="20"/>
          <w:szCs w:val="20"/>
          <w:color w:val="auto"/>
        </w:rPr>
        <w:t>ending on the last day of such Fiscal Quarter (and solely for the purposes of determining the "Margin", paragraph (d)(iv) of the definition of "Permitted Loan"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of this Agreement and paragraphs (b)(iii) and (d)(iv) in the definition of "Permitted Payment"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of this Agreement)" immediately after the words "those financial statements were drawn up";</w:t>
      </w:r>
    </w:p>
    <w:p>
      <w:pPr>
        <w:spacing w:after="0" w:line="152" w:lineRule="exact"/>
        <w:rPr>
          <w:sz w:val="20"/>
          <w:szCs w:val="20"/>
          <w:color w:val="auto"/>
        </w:rPr>
      </w:pPr>
    </w:p>
    <w:p>
      <w:pPr>
        <w:ind w:left="1152" w:hanging="565"/>
        <w:spacing w:after="0" w:line="303" w:lineRule="auto"/>
        <w:tabs>
          <w:tab w:leader="none" w:pos="1089"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following new definition shall be inserted in clause 20.1 (</w:t>
      </w:r>
      <w:r>
        <w:rPr>
          <w:rFonts w:ascii="Arial" w:cs="Arial" w:eastAsia="Arial" w:hAnsi="Arial"/>
          <w:sz w:val="20"/>
          <w:szCs w:val="20"/>
          <w:i w:val="1"/>
          <w:iCs w:val="1"/>
          <w:color w:val="auto"/>
        </w:rPr>
        <w:t>Financial Definitions</w:t>
      </w:r>
      <w:r>
        <w:rPr>
          <w:rFonts w:ascii="Arial" w:cs="Arial" w:eastAsia="Arial" w:hAnsi="Arial"/>
          <w:sz w:val="20"/>
          <w:szCs w:val="20"/>
          <w:color w:val="auto"/>
        </w:rPr>
        <w:t>) of the Agreement immediately after the definition of "Relevant Period":</w:t>
      </w:r>
    </w:p>
    <w:p>
      <w:pPr>
        <w:spacing w:after="0" w:line="142" w:lineRule="exact"/>
        <w:rPr>
          <w:sz w:val="20"/>
          <w:szCs w:val="20"/>
          <w:color w:val="auto"/>
        </w:rPr>
      </w:pPr>
    </w:p>
    <w:p>
      <w:pPr>
        <w:ind w:left="1152" w:hanging="282"/>
        <w:spacing w:after="0" w:line="30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Period (Financial Condition)</w:t>
      </w:r>
      <w:r>
        <w:rPr>
          <w:rFonts w:ascii="Arial" w:cs="Arial" w:eastAsia="Arial" w:hAnsi="Arial"/>
          <w:sz w:val="20"/>
          <w:szCs w:val="20"/>
          <w:color w:val="auto"/>
        </w:rPr>
        <w:t>" means each period of four consecutive Fiscal Quarters ending on a Quarterly Date falling on or after 30 June 2023.";</w:t>
      </w:r>
    </w:p>
    <w:p>
      <w:pPr>
        <w:spacing w:after="0" w:line="129" w:lineRule="exact"/>
        <w:rPr>
          <w:sz w:val="20"/>
          <w:szCs w:val="20"/>
          <w:color w:val="auto"/>
        </w:rPr>
      </w:pPr>
    </w:p>
    <w:p>
      <w:pPr>
        <w:jc w:val="both"/>
        <w:ind w:left="1152" w:hanging="565"/>
        <w:spacing w:after="0" w:line="287" w:lineRule="auto"/>
        <w:tabs>
          <w:tab w:leader="none" w:pos="1086"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each reference to "Relevant Period" in paragraphs (a) and (b) of clause 20.2 (</w:t>
      </w:r>
      <w:r>
        <w:rPr>
          <w:rFonts w:ascii="Arial" w:cs="Arial" w:eastAsia="Arial" w:hAnsi="Arial"/>
          <w:sz w:val="20"/>
          <w:szCs w:val="20"/>
          <w:i w:val="1"/>
          <w:iCs w:val="1"/>
          <w:color w:val="auto"/>
        </w:rPr>
        <w:t>Financial condition</w:t>
      </w:r>
      <w:r>
        <w:rPr>
          <w:rFonts w:ascii="Arial" w:cs="Arial" w:eastAsia="Arial" w:hAnsi="Arial"/>
          <w:sz w:val="20"/>
          <w:szCs w:val="20"/>
          <w:color w:val="auto"/>
        </w:rPr>
        <w:t xml:space="preserve">) of the Agreement shall be deleted and replaced with "Relevant Period (Financial Condition)",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the relevant references shall be deemed to remain as "Relevant Period" for the purposes of determining the Margin, paragraph (d)(iv) of the definition of "Permitted Loan"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of the Agreement and paragraphs (b)(iii) and (d)(iv) in the definition of "Permitted Payment"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of the Agreement;</w:t>
      </w:r>
    </w:p>
    <w:p>
      <w:pPr>
        <w:spacing w:after="0" w:line="150" w:lineRule="exact"/>
        <w:rPr>
          <w:rFonts w:ascii="Arial" w:cs="Arial" w:eastAsia="Arial" w:hAnsi="Arial"/>
          <w:sz w:val="20"/>
          <w:szCs w:val="20"/>
          <w:color w:val="auto"/>
        </w:rPr>
      </w:pPr>
    </w:p>
    <w:p>
      <w:pPr>
        <w:ind w:left="1152" w:right="20" w:hanging="565"/>
        <w:spacing w:after="0" w:line="303" w:lineRule="auto"/>
        <w:tabs>
          <w:tab w:leader="none" w:pos="10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references to "30 June 2022 and 30 September 2022" in paragraph (b) of clause 20.3 (</w:t>
      </w:r>
      <w:r>
        <w:rPr>
          <w:rFonts w:ascii="Arial" w:cs="Arial" w:eastAsia="Arial" w:hAnsi="Arial"/>
          <w:sz w:val="20"/>
          <w:szCs w:val="20"/>
          <w:i w:val="1"/>
          <w:iCs w:val="1"/>
          <w:color w:val="auto"/>
        </w:rPr>
        <w:t>Financial Testing</w:t>
      </w:r>
      <w:r>
        <w:rPr>
          <w:rFonts w:ascii="Arial" w:cs="Arial" w:eastAsia="Arial" w:hAnsi="Arial"/>
          <w:sz w:val="20"/>
          <w:szCs w:val="20"/>
          <w:color w:val="auto"/>
        </w:rPr>
        <w:t>) of the Agreement shall be deleted and replaced with "30 June 2023 and 30 September 2023"; and</w:t>
      </w:r>
    </w:p>
    <w:p>
      <w:pPr>
        <w:spacing w:after="0" w:line="148" w:lineRule="exact"/>
        <w:rPr>
          <w:rFonts w:ascii="Arial" w:cs="Arial" w:eastAsia="Arial" w:hAnsi="Arial"/>
          <w:sz w:val="20"/>
          <w:szCs w:val="20"/>
          <w:color w:val="auto"/>
        </w:rPr>
      </w:pPr>
    </w:p>
    <w:p>
      <w:pPr>
        <w:ind w:left="1152" w:hanging="565"/>
        <w:spacing w:after="0" w:line="303" w:lineRule="auto"/>
        <w:tabs>
          <w:tab w:leader="none" w:pos="1076" w:val="left"/>
        </w:tabs>
        <w:numPr>
          <w:ilvl w:val="0"/>
          <w:numId w:val="18"/>
        </w:numPr>
        <w:rPr>
          <w:rFonts w:ascii="Arial" w:cs="Arial" w:eastAsia="Arial" w:hAnsi="Arial"/>
          <w:sz w:val="20"/>
          <w:szCs w:val="20"/>
          <w:color w:val="auto"/>
        </w:rPr>
      </w:pPr>
      <w:r>
        <w:rPr>
          <w:rFonts w:ascii="Arial" w:cs="Arial" w:eastAsia="Arial" w:hAnsi="Arial"/>
          <w:sz w:val="20"/>
          <w:szCs w:val="20"/>
          <w:color w:val="auto"/>
        </w:rPr>
        <w:t>schedule 6 (</w:t>
      </w:r>
      <w:r>
        <w:rPr>
          <w:rFonts w:ascii="Arial" w:cs="Arial" w:eastAsia="Arial" w:hAnsi="Arial"/>
          <w:sz w:val="20"/>
          <w:szCs w:val="20"/>
          <w:i w:val="1"/>
          <w:iCs w:val="1"/>
          <w:color w:val="auto"/>
        </w:rPr>
        <w:t>Form of Compliance Certificate</w:t>
      </w:r>
      <w:r>
        <w:rPr>
          <w:rFonts w:ascii="Arial" w:cs="Arial" w:eastAsia="Arial" w:hAnsi="Arial"/>
          <w:sz w:val="20"/>
          <w:szCs w:val="20"/>
          <w:color w:val="auto"/>
        </w:rPr>
        <w:t>) of the Agreement shall be amended by inserting the following new paragraph immediately after existing paragraph 2 (and by re-numbering existing paragraph 3 accordingly):</w:t>
      </w:r>
    </w:p>
    <w:p>
      <w:pPr>
        <w:spacing w:after="0" w:line="135" w:lineRule="exact"/>
        <w:rPr>
          <w:sz w:val="20"/>
          <w:szCs w:val="20"/>
          <w:color w:val="auto"/>
        </w:rPr>
      </w:pPr>
    </w:p>
    <w:p>
      <w:pPr>
        <w:ind w:left="792"/>
        <w:spacing w:after="0"/>
        <w:tabs>
          <w:tab w:leader="none" w:pos="1192"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color w:val="auto"/>
        </w:rPr>
        <w:t>We confirm that, as at [</w:t>
      </w:r>
      <w:r>
        <w:rPr>
          <w:rFonts w:ascii="Arial" w:cs="Arial" w:eastAsia="Arial" w:hAnsi="Arial"/>
          <w:sz w:val="16"/>
          <w:szCs w:val="16"/>
          <w:i w:val="1"/>
          <w:iCs w:val="1"/>
          <w:color w:val="auto"/>
        </w:rPr>
        <w:t>insert reference date</w:t>
      </w:r>
      <w:r>
        <w:rPr>
          <w:rFonts w:ascii="Arial" w:cs="Arial" w:eastAsia="Arial" w:hAnsi="Arial"/>
          <w:sz w:val="16"/>
          <w:szCs w:val="16"/>
          <w:color w:val="auto"/>
        </w:rPr>
        <w:t>], the aggregate principal amount of outstanding Subordinated Loans was [•].".</w:t>
      </w:r>
    </w:p>
    <w:p>
      <w:pPr>
        <w:spacing w:after="0" w:line="216" w:lineRule="exact"/>
        <w:rPr>
          <w:sz w:val="20"/>
          <w:szCs w:val="20"/>
          <w:color w:val="auto"/>
        </w:rPr>
      </w:pPr>
    </w:p>
    <w:p>
      <w:pPr>
        <w:ind w:left="552" w:hanging="552"/>
        <w:spacing w:after="0"/>
        <w:tabs>
          <w:tab w:leader="none" w:pos="552" w:val="left"/>
        </w:tabs>
        <w:numPr>
          <w:ilvl w:val="0"/>
          <w:numId w:val="19"/>
        </w:numPr>
        <w:rPr>
          <w:rFonts w:ascii="Arial" w:cs="Arial" w:eastAsia="Arial" w:hAnsi="Arial"/>
          <w:sz w:val="20"/>
          <w:szCs w:val="20"/>
          <w:color w:val="auto"/>
        </w:rPr>
      </w:pPr>
      <w:r>
        <w:rPr>
          <w:rFonts w:ascii="Arial" w:cs="Arial" w:eastAsia="Arial" w:hAnsi="Arial"/>
          <w:sz w:val="20"/>
          <w:szCs w:val="20"/>
          <w:color w:val="auto"/>
        </w:rPr>
        <w:t>By countersigning this letter, the Company agrees and undertakes to comply with the following:</w:t>
      </w:r>
    </w:p>
    <w:p>
      <w:pPr>
        <w:spacing w:after="0" w:line="229" w:lineRule="exact"/>
        <w:rPr>
          <w:rFonts w:ascii="Arial" w:cs="Arial" w:eastAsia="Arial" w:hAnsi="Arial"/>
          <w:sz w:val="20"/>
          <w:szCs w:val="20"/>
          <w:color w:val="auto"/>
        </w:rPr>
      </w:pPr>
    </w:p>
    <w:p>
      <w:pPr>
        <w:ind w:left="1272" w:hanging="710"/>
        <w:spacing w:after="0" w:line="314" w:lineRule="auto"/>
        <w:tabs>
          <w:tab w:leader="none" w:pos="1012"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Company shall not declare, make or pay any dividend, charge, fee or other distribution (or interest on any unpaid dividend, charge, fee or other distribution) (whether in cash or in kind) on or in respect of its share capital (or any class of its share capital) or repay or distribute any dividend or share premium reserve (each, a "</w:t>
      </w:r>
      <w:r>
        <w:rPr>
          <w:rFonts w:ascii="Arial" w:cs="Arial" w:eastAsia="Arial" w:hAnsi="Arial"/>
          <w:sz w:val="19"/>
          <w:szCs w:val="19"/>
          <w:b w:val="1"/>
          <w:bCs w:val="1"/>
          <w:color w:val="auto"/>
        </w:rPr>
        <w:t>Distribution</w:t>
      </w:r>
      <w:r>
        <w:rPr>
          <w:rFonts w:ascii="Arial" w:cs="Arial" w:eastAsia="Arial" w:hAnsi="Arial"/>
          <w:sz w:val="19"/>
          <w:szCs w:val="19"/>
          <w:color w:val="auto"/>
        </w:rPr>
        <w:t>") unless:</w:t>
      </w:r>
    </w:p>
    <w:p>
      <w:pPr>
        <w:spacing w:after="0" w:line="127" w:lineRule="exact"/>
        <w:rPr>
          <w:rFonts w:ascii="Arial" w:cs="Arial" w:eastAsia="Arial" w:hAnsi="Arial"/>
          <w:sz w:val="19"/>
          <w:szCs w:val="19"/>
          <w:color w:val="auto"/>
        </w:rPr>
      </w:pPr>
    </w:p>
    <w:p>
      <w:pPr>
        <w:ind w:left="1912" w:hanging="636"/>
        <w:spacing w:after="0" w:line="303" w:lineRule="auto"/>
        <w:tabs>
          <w:tab w:leader="none" w:pos="1902" w:val="left"/>
        </w:tabs>
        <w:numPr>
          <w:ilvl w:val="2"/>
          <w:numId w:val="19"/>
        </w:numPr>
        <w:rPr>
          <w:rFonts w:ascii="Arial" w:cs="Arial" w:eastAsia="Arial" w:hAnsi="Arial"/>
          <w:sz w:val="18"/>
          <w:szCs w:val="18"/>
          <w:color w:val="auto"/>
        </w:rPr>
      </w:pPr>
      <w:r>
        <w:rPr>
          <w:rFonts w:ascii="Arial" w:cs="Arial" w:eastAsia="Arial" w:hAnsi="Arial"/>
          <w:sz w:val="20"/>
          <w:szCs w:val="20"/>
          <w:color w:val="auto"/>
        </w:rPr>
        <w:t>the Debt to Asset Ratio of the Borrower Group immediately following the declaration, making and payment of the relevant Distribution is less than 100%;</w:t>
      </w:r>
    </w:p>
    <w:p>
      <w:pPr>
        <w:spacing w:after="0" w:line="134" w:lineRule="exact"/>
        <w:rPr>
          <w:rFonts w:ascii="Arial" w:cs="Arial" w:eastAsia="Arial" w:hAnsi="Arial"/>
          <w:sz w:val="18"/>
          <w:szCs w:val="18"/>
          <w:color w:val="auto"/>
        </w:rPr>
      </w:pPr>
    </w:p>
    <w:p>
      <w:pPr>
        <w:ind w:left="1912" w:hanging="636"/>
        <w:spacing w:after="0" w:line="303" w:lineRule="auto"/>
        <w:tabs>
          <w:tab w:leader="none" w:pos="1902" w:val="left"/>
        </w:tabs>
        <w:numPr>
          <w:ilvl w:val="2"/>
          <w:numId w:val="19"/>
        </w:numPr>
        <w:rPr>
          <w:rFonts w:ascii="Arial" w:cs="Arial" w:eastAsia="Arial" w:hAnsi="Arial"/>
          <w:sz w:val="18"/>
          <w:szCs w:val="18"/>
          <w:color w:val="auto"/>
        </w:rPr>
      </w:pPr>
      <w:r>
        <w:rPr>
          <w:rFonts w:ascii="Arial" w:cs="Arial" w:eastAsia="Arial" w:hAnsi="Arial"/>
          <w:sz w:val="20"/>
          <w:szCs w:val="20"/>
          <w:color w:val="auto"/>
        </w:rPr>
        <w:t>the Leverage Ratio as at the last day of the Relevant Period that was the subject of the most recently delivered Compliance Certificate (the "</w:t>
      </w:r>
      <w:r>
        <w:rPr>
          <w:rFonts w:ascii="Arial" w:cs="Arial" w:eastAsia="Arial" w:hAnsi="Arial"/>
          <w:sz w:val="20"/>
          <w:szCs w:val="20"/>
          <w:b w:val="1"/>
          <w:bCs w:val="1"/>
          <w:color w:val="auto"/>
        </w:rPr>
        <w:t>Most Recent Relevant Period</w:t>
      </w:r>
      <w:r>
        <w:rPr>
          <w:rFonts w:ascii="Arial" w:cs="Arial" w:eastAsia="Arial" w:hAnsi="Arial"/>
          <w:sz w:val="20"/>
          <w:szCs w:val="20"/>
          <w:color w:val="auto"/>
        </w:rPr>
        <w:t>") was not greater than 4.5:1.0; and</w:t>
      </w:r>
    </w:p>
    <w:p>
      <w:pPr>
        <w:sectPr>
          <w:pgSz w:w="11900" w:h="16838" w:orient="portrait"/>
          <w:cols w:equalWidth="0" w:num="1">
            <w:col w:w="11232"/>
          </w:cols>
          <w:pgMar w:left="328" w:top="1440" w:right="339" w:bottom="1440" w:gutter="0" w:footer="0" w:header="0"/>
        </w:sectPr>
      </w:pPr>
    </w:p>
    <w:bookmarkStart w:id="42" w:name="page43"/>
    <w:bookmarkEnd w:id="42"/>
    <w:p>
      <w:pPr>
        <w:spacing w:after="0" w:line="6" w:lineRule="exact"/>
        <w:rPr>
          <w:sz w:val="20"/>
          <w:szCs w:val="20"/>
          <w:color w:val="auto"/>
        </w:rPr>
      </w:pPr>
    </w:p>
    <w:p>
      <w:pPr>
        <w:ind w:left="1912" w:hanging="636"/>
        <w:spacing w:after="0"/>
        <w:tabs>
          <w:tab w:leader="none" w:pos="1912" w:val="left"/>
        </w:tabs>
        <w:numPr>
          <w:ilvl w:val="0"/>
          <w:numId w:val="20"/>
        </w:numPr>
        <w:rPr>
          <w:rFonts w:ascii="Arial" w:cs="Arial" w:eastAsia="Arial" w:hAnsi="Arial"/>
          <w:sz w:val="18"/>
          <w:szCs w:val="18"/>
          <w:color w:val="auto"/>
        </w:rPr>
      </w:pPr>
      <w:r>
        <w:rPr>
          <w:rFonts w:ascii="Arial" w:cs="Arial" w:eastAsia="Arial" w:hAnsi="Arial"/>
          <w:sz w:val="20"/>
          <w:szCs w:val="20"/>
          <w:color w:val="auto"/>
        </w:rPr>
        <w:t>the Interest Cover Ratio for the Most Recent Relevant Period was not less than 2.5:1.0,</w:t>
      </w:r>
    </w:p>
    <w:p>
      <w:pPr>
        <w:spacing w:after="0" w:line="216" w:lineRule="exact"/>
        <w:rPr>
          <w:sz w:val="20"/>
          <w:szCs w:val="20"/>
          <w:color w:val="auto"/>
        </w:rPr>
      </w:pPr>
    </w:p>
    <w:p>
      <w:pPr>
        <w:jc w:val="both"/>
        <w:ind w:left="1272"/>
        <w:spacing w:after="0" w:line="292" w:lineRule="auto"/>
        <w:rPr>
          <w:sz w:val="20"/>
          <w:szCs w:val="20"/>
          <w:color w:val="auto"/>
        </w:rPr>
      </w:pPr>
      <w:r>
        <w:rPr>
          <w:rFonts w:ascii="Arial" w:cs="Arial" w:eastAsia="Arial" w:hAnsi="Arial"/>
          <w:sz w:val="20"/>
          <w:szCs w:val="20"/>
          <w:color w:val="auto"/>
        </w:rPr>
        <w:t xml:space="preserve">in each case, determined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after giving effect to any dividend, distribution or commercially equivalent payment made by the Borrower (or any other member of the Borrower Group) to any of its direct or indirect shareholders that is to be used to directly or indirectly fund all or part of the relevant Distribution.</w:t>
      </w:r>
    </w:p>
    <w:p>
      <w:pPr>
        <w:spacing w:after="0" w:line="160" w:lineRule="exact"/>
        <w:rPr>
          <w:sz w:val="20"/>
          <w:szCs w:val="20"/>
          <w:color w:val="auto"/>
        </w:rPr>
      </w:pPr>
    </w:p>
    <w:p>
      <w:pPr>
        <w:ind w:left="552"/>
        <w:spacing w:after="0"/>
        <w:tabs>
          <w:tab w:leader="none" w:pos="972"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In this paragraph 4:</w:t>
      </w:r>
    </w:p>
    <w:p>
      <w:pPr>
        <w:spacing w:after="0" w:line="210" w:lineRule="exact"/>
        <w:rPr>
          <w:sz w:val="20"/>
          <w:szCs w:val="20"/>
          <w:color w:val="auto"/>
        </w:rPr>
      </w:pPr>
    </w:p>
    <w:p>
      <w:pPr>
        <w:jc w:val="both"/>
        <w:ind w:left="1272" w:hanging="34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Debt to Asset Ratio</w:t>
      </w:r>
      <w:r>
        <w:rPr>
          <w:rFonts w:ascii="Arial" w:cs="Arial" w:eastAsia="Arial" w:hAnsi="Arial"/>
          <w:sz w:val="20"/>
          <w:szCs w:val="20"/>
          <w:color w:val="auto"/>
        </w:rPr>
        <w:t>" means the ratio of the Total Liabilities of the Borrower Group to the Total Assets of the Borrower Group, determined by reference to the financial statements most recently delivered under paragraph (a) or (b) of Clause 19.1 (</w:t>
      </w:r>
      <w:r>
        <w:rPr>
          <w:rFonts w:ascii="Arial" w:cs="Arial" w:eastAsia="Arial" w:hAnsi="Arial"/>
          <w:sz w:val="20"/>
          <w:szCs w:val="20"/>
          <w:i w:val="1"/>
          <w:iCs w:val="1"/>
          <w:color w:val="auto"/>
        </w:rPr>
        <w:t>Financial statements</w:t>
      </w:r>
      <w:r>
        <w:rPr>
          <w:rFonts w:ascii="Arial" w:cs="Arial" w:eastAsia="Arial" w:hAnsi="Arial"/>
          <w:sz w:val="20"/>
          <w:szCs w:val="20"/>
          <w:color w:val="auto"/>
        </w:rPr>
        <w:t>) of the Agreement;</w:t>
      </w:r>
    </w:p>
    <w:p>
      <w:pPr>
        <w:spacing w:after="0" w:line="137" w:lineRule="exact"/>
        <w:rPr>
          <w:sz w:val="20"/>
          <w:szCs w:val="20"/>
          <w:color w:val="auto"/>
        </w:rPr>
      </w:pPr>
    </w:p>
    <w:p>
      <w:pPr>
        <w:jc w:val="both"/>
        <w:ind w:left="1272" w:right="20"/>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Assets</w:t>
      </w:r>
      <w:r>
        <w:rPr>
          <w:rFonts w:ascii="Arial" w:cs="Arial" w:eastAsia="Arial" w:hAnsi="Arial"/>
          <w:sz w:val="18"/>
          <w:szCs w:val="18"/>
          <w:color w:val="auto"/>
        </w:rPr>
        <w:t>" means, at any time, the total assets of the Borrower Group as shown in the Borrower's consolidated financial statements most recently delivered under paragraph (a) or (b) of Clause 19.1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the Agreement; and</w:t>
      </w:r>
    </w:p>
    <w:p>
      <w:pPr>
        <w:spacing w:after="0" w:line="91" w:lineRule="exact"/>
        <w:rPr>
          <w:sz w:val="20"/>
          <w:szCs w:val="20"/>
          <w:color w:val="auto"/>
        </w:rPr>
      </w:pPr>
    </w:p>
    <w:p>
      <w:pPr>
        <w:jc w:val="both"/>
        <w:ind w:left="1272"/>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Liabilities</w:t>
      </w:r>
      <w:r>
        <w:rPr>
          <w:rFonts w:ascii="Arial" w:cs="Arial" w:eastAsia="Arial" w:hAnsi="Arial"/>
          <w:sz w:val="20"/>
          <w:szCs w:val="20"/>
          <w:color w:val="auto"/>
        </w:rPr>
        <w:t>" means, at any time, the total liabilities of the Borrower Group as shown in the Borrower's consolidated financial statements most recently delivered under paragraph (a) or (b) of Clause 19.1 (</w:t>
      </w:r>
      <w:r>
        <w:rPr>
          <w:rFonts w:ascii="Arial" w:cs="Arial" w:eastAsia="Arial" w:hAnsi="Arial"/>
          <w:sz w:val="20"/>
          <w:szCs w:val="20"/>
          <w:i w:val="1"/>
          <w:iCs w:val="1"/>
          <w:color w:val="auto"/>
        </w:rPr>
        <w:t>Financial statements</w:t>
      </w:r>
      <w:r>
        <w:rPr>
          <w:rFonts w:ascii="Arial" w:cs="Arial" w:eastAsia="Arial" w:hAnsi="Arial"/>
          <w:sz w:val="20"/>
          <w:szCs w:val="20"/>
          <w:color w:val="auto"/>
        </w:rPr>
        <w:t>) of the Agreement.</w:t>
      </w:r>
    </w:p>
    <w:p>
      <w:pPr>
        <w:spacing w:after="0" w:line="143" w:lineRule="exact"/>
        <w:rPr>
          <w:sz w:val="20"/>
          <w:szCs w:val="20"/>
          <w:color w:val="auto"/>
        </w:rPr>
      </w:pPr>
    </w:p>
    <w:p>
      <w:pPr>
        <w:jc w:val="both"/>
        <w:ind w:left="552" w:hanging="552"/>
        <w:spacing w:after="0" w:line="292" w:lineRule="auto"/>
        <w:tabs>
          <w:tab w:leader="none" w:pos="544" w:val="left"/>
        </w:tabs>
        <w:numPr>
          <w:ilvl w:val="0"/>
          <w:numId w:val="21"/>
        </w:numPr>
        <w:rPr>
          <w:rFonts w:ascii="Arial" w:cs="Arial" w:eastAsia="Arial" w:hAnsi="Arial"/>
          <w:sz w:val="20"/>
          <w:szCs w:val="20"/>
          <w:color w:val="auto"/>
        </w:rPr>
      </w:pPr>
      <w:r>
        <w:rPr>
          <w:rFonts w:ascii="Arial" w:cs="Arial" w:eastAsia="Arial" w:hAnsi="Arial"/>
          <w:sz w:val="20"/>
          <w:szCs w:val="20"/>
          <w:color w:val="auto"/>
        </w:rPr>
        <w:t>By countersigning this letter, each of the Company and the Borrower confirms for the benefit of the Finance Parties that all obligations owed by it under the Agreement (including, without limitation, clause 17 (</w:t>
      </w:r>
      <w:r>
        <w:rPr>
          <w:rFonts w:ascii="Arial" w:cs="Arial" w:eastAsia="Arial" w:hAnsi="Arial"/>
          <w:sz w:val="20"/>
          <w:szCs w:val="20"/>
          <w:i w:val="1"/>
          <w:iCs w:val="1"/>
          <w:color w:val="auto"/>
        </w:rPr>
        <w:t>Guarantee and Indemnity</w:t>
      </w:r>
      <w:r>
        <w:rPr>
          <w:rFonts w:ascii="Arial" w:cs="Arial" w:eastAsia="Arial" w:hAnsi="Arial"/>
          <w:sz w:val="20"/>
          <w:szCs w:val="20"/>
          <w:color w:val="auto"/>
        </w:rPr>
        <w:t>) of the Agreement) shall remain in full force and effect notwithstanding the amendments referred to in paragraph 3 above.</w:t>
      </w:r>
    </w:p>
    <w:p>
      <w:pPr>
        <w:spacing w:after="0" w:line="146" w:lineRule="exact"/>
        <w:rPr>
          <w:rFonts w:ascii="Arial" w:cs="Arial" w:eastAsia="Arial" w:hAnsi="Arial"/>
          <w:sz w:val="20"/>
          <w:szCs w:val="20"/>
          <w:color w:val="auto"/>
        </w:rPr>
      </w:pPr>
    </w:p>
    <w:p>
      <w:pPr>
        <w:jc w:val="both"/>
        <w:ind w:left="552" w:hanging="552"/>
        <w:spacing w:after="0" w:line="300" w:lineRule="auto"/>
        <w:tabs>
          <w:tab w:leader="none" w:pos="544" w:val="left"/>
        </w:tabs>
        <w:numPr>
          <w:ilvl w:val="0"/>
          <w:numId w:val="21"/>
        </w:numPr>
        <w:rPr>
          <w:rFonts w:ascii="Arial" w:cs="Arial" w:eastAsia="Arial" w:hAnsi="Arial"/>
          <w:sz w:val="19"/>
          <w:szCs w:val="19"/>
          <w:color w:val="auto"/>
        </w:rPr>
      </w:pPr>
      <w:r>
        <w:rPr>
          <w:rFonts w:ascii="Arial" w:cs="Arial" w:eastAsia="Arial" w:hAnsi="Arial"/>
          <w:sz w:val="19"/>
          <w:szCs w:val="19"/>
          <w:color w:val="auto"/>
        </w:rPr>
        <w:t>By countersigning this letter, the Borrower agrees to pay an amendment fee to the Agent (to the bank account of the Agent notified by the Agent to the Borrower on or prior to the date of this letter) for the account of each of the Lenders that has agreed to the Agreed Amendments prior to the date of this letter (each an "</w:t>
      </w:r>
      <w:r>
        <w:rPr>
          <w:rFonts w:ascii="Arial" w:cs="Arial" w:eastAsia="Arial" w:hAnsi="Arial"/>
          <w:sz w:val="19"/>
          <w:szCs w:val="19"/>
          <w:b w:val="1"/>
          <w:bCs w:val="1"/>
          <w:color w:val="auto"/>
        </w:rPr>
        <w:t>Approving Lender</w:t>
      </w:r>
      <w:r>
        <w:rPr>
          <w:rFonts w:ascii="Arial" w:cs="Arial" w:eastAsia="Arial" w:hAnsi="Arial"/>
          <w:sz w:val="19"/>
          <w:szCs w:val="19"/>
          <w:color w:val="auto"/>
        </w:rPr>
        <w:t>" and, together, the "</w:t>
      </w:r>
      <w:r>
        <w:rPr>
          <w:rFonts w:ascii="Arial" w:cs="Arial" w:eastAsia="Arial" w:hAnsi="Arial"/>
          <w:sz w:val="19"/>
          <w:szCs w:val="19"/>
          <w:b w:val="1"/>
          <w:bCs w:val="1"/>
          <w:color w:val="auto"/>
        </w:rPr>
        <w:t>Approving Lenders</w:t>
      </w:r>
      <w:r>
        <w:rPr>
          <w:rFonts w:ascii="Arial" w:cs="Arial" w:eastAsia="Arial" w:hAnsi="Arial"/>
          <w:sz w:val="19"/>
          <w:szCs w:val="19"/>
          <w:color w:val="auto"/>
        </w:rPr>
        <w:t>") in an amount in US dollars equal to 0.20 per. cent of the US dollar equivalent amount of the aggregate Commitments of the Approving Lenders (the "</w:t>
      </w:r>
      <w:r>
        <w:rPr>
          <w:rFonts w:ascii="Arial" w:cs="Arial" w:eastAsia="Arial" w:hAnsi="Arial"/>
          <w:sz w:val="19"/>
          <w:szCs w:val="19"/>
          <w:b w:val="1"/>
          <w:bCs w:val="1"/>
          <w:color w:val="auto"/>
        </w:rPr>
        <w:t>Amendment Fee</w:t>
      </w:r>
      <w:r>
        <w:rPr>
          <w:rFonts w:ascii="Arial" w:cs="Arial" w:eastAsia="Arial" w:hAnsi="Arial"/>
          <w:sz w:val="19"/>
          <w:szCs w:val="19"/>
          <w:color w:val="auto"/>
        </w:rPr>
        <w:t>"). The Amendment Fee shall be payable by the Borrower to the Agent in US dollars by no later than the date falling five (5) Business Days after the date of this letter without any set-off, deduction, withholding or counterclaim of any kind and in immediately available, freely transferable and cleared funds. The Amendment Fee shall be shared among the Approving Lenders pro rata according to the proportion that the US dollar equivalent amount of each such Approving Lender's Commitments bears to the US dollar equivalent amount of the Total Commitments of the Approving Lenders. The Agent has notified the Borrower of the US dollar equivalent amount of the aggregate Commitments of the Approving Lenders under separate cover on or about the date of this letter.</w:t>
      </w:r>
    </w:p>
    <w:p>
      <w:pPr>
        <w:sectPr>
          <w:pgSz w:w="11900" w:h="16838" w:orient="portrait"/>
          <w:cols w:equalWidth="0" w:num="1">
            <w:col w:w="11232"/>
          </w:cols>
          <w:pgMar w:left="328" w:top="1440" w:right="339" w:bottom="1440" w:gutter="0" w:footer="0" w:header="0"/>
        </w:sectPr>
      </w:pPr>
    </w:p>
    <w:bookmarkStart w:id="43" w:name="page44"/>
    <w:bookmarkEnd w:id="43"/>
    <w:p>
      <w:pPr>
        <w:spacing w:after="0" w:line="6"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Agreed Amendments shall become effective immediately upon the later of:</w:t>
      </w:r>
    </w:p>
    <w:p>
      <w:pPr>
        <w:spacing w:after="0" w:line="215" w:lineRule="exact"/>
        <w:rPr>
          <w:rFonts w:ascii="Arial" w:cs="Arial" w:eastAsia="Arial" w:hAnsi="Arial"/>
          <w:sz w:val="20"/>
          <w:szCs w:val="20"/>
          <w:color w:val="auto"/>
        </w:rPr>
      </w:pPr>
    </w:p>
    <w:p>
      <w:pPr>
        <w:ind w:left="980" w:hanging="410"/>
        <w:spacing w:after="0"/>
        <w:tabs>
          <w:tab w:leader="none" w:pos="9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both the Company and the Borrower countersigning this letter; and</w:t>
      </w:r>
    </w:p>
    <w:p>
      <w:pPr>
        <w:spacing w:after="0" w:line="229" w:lineRule="exact"/>
        <w:rPr>
          <w:rFonts w:ascii="Arial" w:cs="Arial" w:eastAsia="Arial" w:hAnsi="Arial"/>
          <w:sz w:val="20"/>
          <w:szCs w:val="20"/>
          <w:color w:val="auto"/>
        </w:rPr>
      </w:pPr>
    </w:p>
    <w:p>
      <w:pPr>
        <w:ind w:left="1280" w:hanging="710"/>
        <w:spacing w:after="0" w:line="303" w:lineRule="auto"/>
        <w:tabs>
          <w:tab w:leader="none" w:pos="1017"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Borrower paying the fees contemplated by paragraph 6 of this letter in full by no later than the date falling five (5) Business Days from the date of this letter.</w:t>
      </w:r>
    </w:p>
    <w:p>
      <w:pPr>
        <w:spacing w:after="0" w:line="134" w:lineRule="exact"/>
        <w:rPr>
          <w:rFonts w:ascii="Arial" w:cs="Arial" w:eastAsia="Arial" w:hAnsi="Arial"/>
          <w:sz w:val="20"/>
          <w:szCs w:val="20"/>
          <w:color w:val="auto"/>
        </w:rPr>
      </w:pPr>
    </w:p>
    <w:p>
      <w:pPr>
        <w:ind w:left="560" w:hanging="552"/>
        <w:spacing w:after="0" w:line="303" w:lineRule="auto"/>
        <w:tabs>
          <w:tab w:leader="none" w:pos="55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provisions of the Agreement and the other Finance Documents shall, save as amended by this letter, continue in full force and effect.</w:t>
      </w:r>
    </w:p>
    <w:p>
      <w:pPr>
        <w:spacing w:after="0" w:line="134" w:lineRule="exact"/>
        <w:rPr>
          <w:rFonts w:ascii="Arial" w:cs="Arial" w:eastAsia="Arial" w:hAnsi="Arial"/>
          <w:sz w:val="20"/>
          <w:szCs w:val="20"/>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the Agreement, each of the Borrower and the Agent agree that this letter is designated as a Finance Document.</w:t>
      </w:r>
    </w:p>
    <w:p>
      <w:pPr>
        <w:spacing w:after="0" w:line="252" w:lineRule="exact"/>
        <w:rPr>
          <w:rFonts w:ascii="Arial" w:cs="Arial" w:eastAsia="Arial" w:hAnsi="Arial"/>
          <w:sz w:val="18"/>
          <w:szCs w:val="18"/>
          <w:color w:val="auto"/>
        </w:rPr>
      </w:pPr>
    </w:p>
    <w:p>
      <w:pPr>
        <w:ind w:left="560" w:hanging="552"/>
        <w:spacing w:after="0" w:line="303" w:lineRule="auto"/>
        <w:tabs>
          <w:tab w:leader="none" w:pos="556"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This letter may be executed in any number of counterparts, and this has the same effect as if the signatures on the counterparts were on a single copy of this letter.</w:t>
      </w:r>
    </w:p>
    <w:p>
      <w:pPr>
        <w:spacing w:after="0" w:line="134" w:lineRule="exact"/>
        <w:rPr>
          <w:rFonts w:ascii="Arial" w:cs="Arial" w:eastAsia="Arial" w:hAnsi="Arial"/>
          <w:sz w:val="20"/>
          <w:szCs w:val="20"/>
          <w:color w:val="auto"/>
        </w:rPr>
      </w:pPr>
    </w:p>
    <w:p>
      <w:pPr>
        <w:ind w:left="560" w:hanging="552"/>
        <w:spacing w:after="0" w:line="303" w:lineRule="auto"/>
        <w:tabs>
          <w:tab w:leader="none" w:pos="54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provisions of clause 44.1 (</w:t>
      </w:r>
      <w:r>
        <w:rPr>
          <w:rFonts w:ascii="Arial" w:cs="Arial" w:eastAsia="Arial" w:hAnsi="Arial"/>
          <w:sz w:val="20"/>
          <w:szCs w:val="20"/>
          <w:i w:val="1"/>
          <w:iCs w:val="1"/>
          <w:color w:val="auto"/>
        </w:rPr>
        <w:t>Jurisdiction</w:t>
      </w:r>
      <w:r>
        <w:rPr>
          <w:rFonts w:ascii="Arial" w:cs="Arial" w:eastAsia="Arial" w:hAnsi="Arial"/>
          <w:sz w:val="20"/>
          <w:szCs w:val="20"/>
          <w:color w:val="auto"/>
        </w:rPr>
        <w:t>) of the Agreement shall be incorporated into this letter as if set out in full in this letter and as if references in those clauses to "this Agreement" are references to this letter.</w:t>
      </w:r>
    </w:p>
    <w:p>
      <w:pPr>
        <w:spacing w:after="0" w:line="134" w:lineRule="exact"/>
        <w:rPr>
          <w:rFonts w:ascii="Arial" w:cs="Arial" w:eastAsia="Arial" w:hAnsi="Arial"/>
          <w:sz w:val="20"/>
          <w:szCs w:val="20"/>
          <w:color w:val="auto"/>
        </w:rPr>
      </w:pPr>
    </w:p>
    <w:p>
      <w:pPr>
        <w:ind w:left="560" w:hanging="552"/>
        <w:spacing w:after="0"/>
        <w:tabs>
          <w:tab w:leader="none" w:pos="5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This letter and any non-contractual obligations arising out of or in connection with it are governed by English law.</w:t>
      </w:r>
    </w:p>
    <w:p>
      <w:pPr>
        <w:spacing w:after="0" w:line="229"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Please do not hesitate to contact Ms. Venus Huang, Ms. Grace Su or Ms. Lan Lei if you have any queries or require any additional information.</w:t>
      </w:r>
    </w:p>
    <w:p>
      <w:pPr>
        <w:sectPr>
          <w:pgSz w:w="11900" w:h="16838" w:orient="portrait"/>
          <w:cols w:equalWidth="0" w:num="1">
            <w:col w:w="11240"/>
          </w:cols>
          <w:pgMar w:left="320" w:top="1440" w:right="339" w:bottom="1440" w:gutter="0" w:footer="0" w:header="0"/>
        </w:sectPr>
      </w:pPr>
    </w:p>
    <w:bookmarkStart w:id="44" w:name="page45"/>
    <w:bookmarkEnd w:id="44"/>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CAI, Chunyan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China Limited, Macau Branch</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as Agent</w:t>
      </w:r>
    </w:p>
    <w:p>
      <w:pPr>
        <w:sectPr>
          <w:pgSz w:w="11900" w:h="16838" w:orient="portrait"/>
          <w:cols w:equalWidth="0" w:num="1">
            <w:col w:w="10139"/>
          </w:cols>
          <w:pgMar w:left="320" w:top="1440" w:right="1440" w:bottom="1440" w:gutter="0" w:footer="0" w:header="0"/>
        </w:sectPr>
      </w:pPr>
    </w:p>
    <w:bookmarkStart w:id="45" w:name="page46"/>
    <w:bookmarkEnd w:id="45"/>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We accept, acknowledge and agree to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Craig Fullalove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WM Cayman Holdings Limited II</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Date: 5 May 2022</w:t>
      </w:r>
    </w:p>
    <w:p>
      <w:pPr>
        <w:sectPr>
          <w:pgSz w:w="11900" w:h="16838" w:orient="portrait"/>
          <w:cols w:equalWidth="0" w:num="1">
            <w:col w:w="10139"/>
          </w:cols>
          <w:pgMar w:left="320" w:top="1440" w:right="1440" w:bottom="1440" w:gutter="0" w:footer="0" w:header="0"/>
        </w:sectPr>
      </w:pPr>
    </w:p>
    <w:bookmarkStart w:id="46" w:name="page47"/>
    <w:bookmarkEnd w:id="46"/>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By: /s/ Craig Fullalove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-7620</wp:posOffset>
            </wp:positionV>
            <wp:extent cx="966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Limited</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as the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Date: 5 May 2022</w:t>
      </w:r>
    </w:p>
    <w:p>
      <w:pPr>
        <w:sectPr>
          <w:pgSz w:w="11900" w:h="16838" w:orient="portrait"/>
          <w:cols w:equalWidth="0" w:num="1">
            <w:col w:w="10139"/>
          </w:cols>
          <w:pgMar w:left="320" w:top="1440"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10.7.4.1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8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This FIRST AMENDMENT TO EMPLOYMENT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is entered into as of the 13th day of April, 2022, by and between </w:t>
      </w:r>
      <w:r>
        <w:rPr>
          <w:rFonts w:ascii="Arial" w:cs="Arial" w:eastAsia="Arial" w:hAnsi="Arial"/>
          <w:sz w:val="20"/>
          <w:szCs w:val="20"/>
          <w:b w:val="1"/>
          <w:bCs w:val="1"/>
          <w:color w:val="auto"/>
        </w:rPr>
        <w:t>WYNN RESORTS, LIMITED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Employer</w:t>
      </w:r>
      <w:r>
        <w:rPr>
          <w:rFonts w:ascii="Arial" w:cs="Arial" w:eastAsia="Arial" w:hAnsi="Arial"/>
          <w:sz w:val="20"/>
          <w:szCs w:val="20"/>
          <w:color w:val="auto"/>
        </w:rPr>
        <w:t xml:space="preserve">”) and </w:t>
      </w:r>
      <w:r>
        <w:rPr>
          <w:rFonts w:ascii="Arial" w:cs="Arial" w:eastAsia="Arial" w:hAnsi="Arial"/>
          <w:sz w:val="20"/>
          <w:szCs w:val="20"/>
          <w:b w:val="1"/>
          <w:bCs w:val="1"/>
          <w:color w:val="auto"/>
        </w:rPr>
        <w:t>JULIE CAMERON-DOE</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shall have the meanings ascribed to them in the Agreement (as defined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dated as of December 7, 2021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82"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and Employee desire to modify certain terms and conditions to the Agreement as more fully set forth herein;</w:t>
      </w:r>
      <w:r>
        <w:rPr>
          <w:rFonts w:ascii="Arial" w:cs="Arial" w:eastAsia="Arial" w:hAnsi="Arial"/>
          <w:sz w:val="16"/>
          <w:szCs w:val="16"/>
          <w:b w:val="1"/>
          <w:bCs w:val="1"/>
          <w:i w:val="1"/>
          <w:iCs w:val="1"/>
          <w:color w:val="auto"/>
        </w:rPr>
        <w:t xml:space="preserve"> NOW, THEREFORE, </w:t>
      </w:r>
      <w:r>
        <w:rPr>
          <w:rFonts w:ascii="Arial" w:cs="Arial" w:eastAsia="Arial" w:hAnsi="Arial"/>
          <w:sz w:val="16"/>
          <w:szCs w:val="16"/>
          <w:color w:val="auto"/>
        </w:rPr>
        <w:t>in consideration of the foregoing and the respective representations, warranties, covenants and agreements set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forth in the Agreement, the parties hereto agree as follows:</w:t>
      </w:r>
    </w:p>
    <w:p>
      <w:pPr>
        <w:spacing w:after="0" w:line="173"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Employer and Employee hereby agree to amend Section 1(g) of the Agreement in its entirety to read as</w:t>
      </w:r>
    </w:p>
    <w:p>
      <w:pPr>
        <w:spacing w:after="0"/>
        <w:rPr>
          <w:rFonts w:ascii="Arial" w:cs="Arial" w:eastAsia="Arial" w:hAnsi="Arial"/>
          <w:sz w:val="19"/>
          <w:szCs w:val="19"/>
          <w:color w:val="auto"/>
        </w:rPr>
      </w:pPr>
      <w:r>
        <w:rPr>
          <w:rFonts w:ascii="Arial" w:cs="Arial" w:eastAsia="Arial" w:hAnsi="Arial"/>
          <w:sz w:val="20"/>
          <w:szCs w:val="20"/>
          <w:color w:val="auto"/>
        </w:rPr>
        <w:t>follows:</w:t>
      </w:r>
    </w:p>
    <w:p>
      <w:pPr>
        <w:spacing w:after="0" w:line="193" w:lineRule="exact"/>
        <w:rPr>
          <w:rFonts w:ascii="Arial" w:cs="Arial" w:eastAsia="Arial" w:hAnsi="Arial"/>
          <w:sz w:val="19"/>
          <w:szCs w:val="19"/>
          <w:color w:val="auto"/>
        </w:rPr>
      </w:pPr>
    </w:p>
    <w:p>
      <w:pPr>
        <w:jc w:val="both"/>
        <w:ind w:left="1300" w:right="660" w:firstLine="4"/>
        <w:spacing w:after="0" w:line="229" w:lineRule="auto"/>
        <w:tabs>
          <w:tab w:leader="none" w:pos="1729" w:val="left"/>
        </w:tabs>
        <w:numPr>
          <w:ilvl w:val="1"/>
          <w:numId w:val="2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 means April 18, 2022. Notwithstanding anything herein to the contrary, Section 6(a)(vii) shall become effective upon the execution date of this Agreement. However, in the event such provision is exercised prior to the Effective Date of the remainder of the Agreement, Employer’s sole liability shall be payment of twelve (12) months of Base Salary, subject to the conditions set forth in Section 6(b)(i).</w:t>
      </w:r>
    </w:p>
    <w:p>
      <w:pPr>
        <w:spacing w:after="0" w:line="184" w:lineRule="exact"/>
        <w:rPr>
          <w:rFonts w:ascii="Arial" w:cs="Arial" w:eastAsia="Arial" w:hAnsi="Arial"/>
          <w:sz w:val="19"/>
          <w:szCs w:val="19"/>
          <w:color w:val="auto"/>
        </w:rPr>
      </w:pPr>
    </w:p>
    <w:p>
      <w:pPr>
        <w:ind w:right="20" w:firstLine="656"/>
        <w:spacing w:after="0" w:line="229" w:lineRule="auto"/>
        <w:tabs>
          <w:tab w:leader="none" w:pos="102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Other Provisions of Agreement</w:t>
      </w:r>
      <w:r>
        <w:rPr>
          <w:rFonts w:ascii="Arial" w:cs="Arial" w:eastAsia="Arial" w:hAnsi="Arial"/>
          <w:sz w:val="20"/>
          <w:szCs w:val="20"/>
          <w:color w:val="auto"/>
        </w:rPr>
        <w:t>. The parties acknowledge that the Agreement is being modified only as stated herein and agree that nothing else in the Agreement shall be affected by this Amendment.</w:t>
      </w:r>
    </w:p>
    <w:p>
      <w:pPr>
        <w:spacing w:after="0" w:line="31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caused this Amendment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RESORTS, LIMITED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/s/ Craig S. Billings</w:t>
      </w:r>
    </w:p>
    <w:p>
      <w:pPr>
        <w:spacing w:after="0" w:line="197" w:lineRule="auto"/>
        <w:rPr>
          <w:sz w:val="20"/>
          <w:szCs w:val="20"/>
          <w:color w:val="auto"/>
        </w:rPr>
      </w:pPr>
      <w:r>
        <w:rPr>
          <w:rFonts w:ascii="Arial" w:cs="Arial" w:eastAsia="Arial" w:hAnsi="Arial"/>
          <w:sz w:val="20"/>
          <w:szCs w:val="20"/>
          <w:color w:val="auto"/>
        </w:rPr>
        <w:t>________________________________</w:t>
      </w:r>
    </w:p>
    <w:p>
      <w:pPr>
        <w:spacing w:after="0"/>
        <w:rPr>
          <w:sz w:val="20"/>
          <w:szCs w:val="20"/>
          <w:color w:val="auto"/>
        </w:rPr>
      </w:pPr>
      <w:r>
        <w:rPr>
          <w:rFonts w:ascii="Arial" w:cs="Arial" w:eastAsia="Arial" w:hAnsi="Arial"/>
          <w:sz w:val="20"/>
          <w:szCs w:val="20"/>
          <w:color w:val="auto"/>
        </w:rPr>
        <w:t>Craig S. Billings, Chief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Julie Cameron-Doe</w:t>
      </w:r>
    </w:p>
    <w:p>
      <w:pPr>
        <w:spacing w:after="0" w:line="197" w:lineRule="auto"/>
        <w:rPr>
          <w:sz w:val="20"/>
          <w:szCs w:val="20"/>
          <w:color w:val="auto"/>
        </w:rPr>
      </w:pPr>
      <w:r>
        <w:rPr>
          <w:rFonts w:ascii="Arial" w:cs="Arial" w:eastAsia="Arial" w:hAnsi="Arial"/>
          <w:sz w:val="20"/>
          <w:szCs w:val="20"/>
          <w:color w:val="auto"/>
        </w:rPr>
        <w:t>________________________________</w:t>
      </w:r>
    </w:p>
    <w:p>
      <w:pPr>
        <w:ind w:left="20"/>
        <w:spacing w:after="0"/>
        <w:rPr>
          <w:sz w:val="20"/>
          <w:szCs w:val="20"/>
          <w:color w:val="auto"/>
        </w:rPr>
      </w:pPr>
      <w:r>
        <w:rPr>
          <w:rFonts w:ascii="Arial" w:cs="Arial" w:eastAsia="Arial" w:hAnsi="Arial"/>
          <w:sz w:val="20"/>
          <w:szCs w:val="20"/>
          <w:color w:val="auto"/>
        </w:rPr>
        <w:t>Julie Cameron-Doe</w:t>
      </w:r>
    </w:p>
    <w:p>
      <w:pPr>
        <w:sectPr>
          <w:pgSz w:w="11900" w:h="16838" w:orient="portrait"/>
          <w:cols w:equalWidth="0" w:num="1">
            <w:col w:w="11240"/>
          </w:cols>
          <w:pgMar w:left="320" w:top="108"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Date: May 10, 2022</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S. Billings</w:t>
            </w:r>
          </w:p>
        </w:tc>
      </w:tr>
      <w:tr>
        <w:trPr>
          <w:trHeight w:val="222"/>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Craig S. Billings</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r>
      <w:tr>
        <w:trPr>
          <w:trHeight w:val="230"/>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98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Julie Cameron-Doe, certify that:</w:t>
      </w:r>
    </w:p>
    <w:p>
      <w:pPr>
        <w:spacing w:after="0" w:line="90" w:lineRule="exact"/>
        <w:rPr>
          <w:sz w:val="20"/>
          <w:szCs w:val="20"/>
          <w:color w:val="auto"/>
        </w:rPr>
      </w:pPr>
    </w:p>
    <w:p>
      <w:pPr>
        <w:ind w:left="820" w:hanging="81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Date: May 10, 2022</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Julie Cameron-Doe</w:t>
            </w:r>
          </w:p>
        </w:tc>
      </w:tr>
      <w:tr>
        <w:trPr>
          <w:trHeight w:val="222"/>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Julie Cameron-Doe</w:t>
            </w:r>
          </w:p>
        </w:tc>
      </w:tr>
      <w:tr>
        <w:trPr>
          <w:trHeight w:val="229"/>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98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60" w:firstLine="972"/>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2022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980" w:hanging="97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80" w:right="600" w:hanging="972"/>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S. Billings</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Craig S. Billings</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Julie Cameron-Doe</w:t>
            </w:r>
          </w:p>
        </w:tc>
        <w:tc>
          <w:tcPr>
            <w:tcW w:w="0" w:type="dxa"/>
            <w:vAlign w:val="bottom"/>
          </w:tcPr>
          <w:p>
            <w:pPr>
              <w:spacing w:after="0"/>
              <w:rPr>
                <w:sz w:val="1"/>
                <w:szCs w:val="1"/>
                <w:color w:val="auto"/>
              </w:rPr>
            </w:pPr>
          </w:p>
        </w:tc>
      </w:tr>
      <w:tr>
        <w:trPr>
          <w:trHeight w:val="222"/>
        </w:trPr>
        <w:tc>
          <w:tcPr>
            <w:tcW w:w="760" w:type="dxa"/>
            <w:vAlign w:val="bottom"/>
            <w:vMerge w:val="continue"/>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Julie Cameron-Doe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decimal"/>
      <w:start w:val="32"/>
    </w:lvl>
  </w:abstractNum>
  <w:abstractNum w:abstractNumId="13">
    <w:nsid w:val="62BBD95A"/>
    <w:multiLevelType w:val="hybridMultilevel"/>
    <w:lvl w:ilvl="0">
      <w:lvlJc w:val="left"/>
      <w:lvlText w:val="%1"/>
      <w:numFmt w:val="decimal"/>
      <w:start w:val="10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abstractNum>
  <w:abstractNum w:abstractNumId="16">
    <w:nsid w:val="333AB105"/>
    <w:multiLevelType w:val="hybridMultilevel"/>
    <w:lvl w:ilvl="0">
      <w:lvlJc w:val="left"/>
      <w:lvlText w:val="(%1)"/>
      <w:numFmt w:val="lowerLetter"/>
      <w:start w:val="3"/>
    </w:lvl>
  </w:abstractNum>
  <w:abstractNum w:abstractNumId="17">
    <w:nsid w:val="721DA317"/>
    <w:multiLevelType w:val="hybridMultilevel"/>
    <w:lvl w:ilvl="0">
      <w:lvlJc w:val="left"/>
      <w:lvlText w:val="(%1)"/>
      <w:numFmt w:val="lowerLetter"/>
      <w:start w:val="4"/>
    </w:lvl>
  </w:abstractNum>
  <w:abstractNum w:abstractNumId="18">
    <w:nsid w:val="2443A85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9">
    <w:nsid w:val="2D1D5AE9"/>
    <w:multiLevelType w:val="hybridMultilevel"/>
    <w:lvl w:ilvl="0">
      <w:lvlJc w:val="left"/>
      <w:lvlText w:val="(%1)"/>
      <w:numFmt w:val="decimal"/>
      <w:start w:val="3"/>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decimal"/>
      <w:start w:val="7"/>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7"/>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8" Type="http://schemas.openxmlformats.org/officeDocument/2006/relationships/hyperlink" Target="http://www.sec.gov/Archives/edgar/data/1174922/000117492215000044/ex-31.htm" TargetMode="External"/><Relationship Id="rId60"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2022-05-10T16:35:15Z</dcterms:created>
  <dcterms:modified xsi:type="dcterms:W3CDTF">2022-05-10T16:35:15Z</dcterms:modified>
</cp:coreProperties>
</file>