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87" w:lineRule="exact"/>
        <w:rPr>
          <w:sz w:val="24"/>
          <w:szCs w:val="24"/>
          <w:color w:val="auto"/>
        </w:rPr>
      </w:pPr>
    </w:p>
    <w:p>
      <w:pPr>
        <w:ind w:left="460" w:right="2040" w:hanging="452"/>
        <w:spacing w:after="0" w:line="344" w:lineRule="auto"/>
        <w:tabs>
          <w:tab w:leader="none" w:pos="449"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March 31, 2010</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ind w:left="460" w:hanging="452"/>
        <w:spacing w:after="0" w:line="180" w:lineRule="auto"/>
        <w:tabs>
          <w:tab w:leader="none" w:pos="460" w:val="left"/>
        </w:tabs>
        <w:numPr>
          <w:ilvl w:val="0"/>
          <w:numId w:val="2"/>
        </w:numPr>
        <w:rPr>
          <w:rFonts w:ascii="MS PGothic" w:cs="MS PGothic" w:eastAsia="MS PGothic" w:hAnsi="MS PGothic"/>
          <w:sz w:val="12"/>
          <w:szCs w:val="12"/>
          <w:color w:val="auto"/>
          <w:highlight w:val="black"/>
        </w:rPr>
      </w:pPr>
      <w:r>
        <w:rPr>
          <w:rFonts w:ascii="Arial" w:cs="Arial" w:eastAsia="Arial" w:hAnsi="Arial"/>
          <w:sz w:val="12"/>
          <w:szCs w:val="12"/>
          <w:b w:val="1"/>
          <w:bCs w:val="1"/>
          <w:color w:val="auto"/>
        </w:rPr>
        <w:t>TRANSITION REPORT PURSUANT TO SECTION 13 OR 15(d) OF THE SECURITIES EXCHANGE ACT OF 1934</w:t>
      </w:r>
    </w:p>
    <w:p>
      <w:pPr>
        <w:spacing w:after="0" w:line="284" w:lineRule="exact"/>
        <w:rPr>
          <w:sz w:val="24"/>
          <w:szCs w:val="24"/>
          <w:color w:val="auto"/>
        </w:rPr>
      </w:pPr>
    </w:p>
    <w:p>
      <w:pPr>
        <w:ind w:left="460"/>
        <w:spacing w:after="0"/>
        <w:tabs>
          <w:tab w:leader="none" w:pos="32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9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No. 000-50028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WYNN RESORTS, LIMITED</w:t>
      </w:r>
    </w:p>
    <w:p>
      <w:pPr>
        <w:spacing w:after="0" w:line="4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103505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50" w:lineRule="exact"/>
        <w:rPr>
          <w:sz w:val="24"/>
          <w:szCs w:val="24"/>
          <w:color w:val="auto"/>
        </w:rPr>
      </w:pPr>
    </w:p>
    <w:tbl>
      <w:tblPr>
        <w:tblLayout w:type="fixed"/>
        <w:tblInd w:w="1920" w:type="dxa"/>
        <w:tblCellMar>
          <w:top w:w="0" w:type="dxa"/>
          <w:left w:w="0" w:type="dxa"/>
          <w:bottom w:w="0" w:type="dxa"/>
          <w:right w:w="0" w:type="dxa"/>
        </w:tblCellMar>
      </w:tblPr>
      <w:tr>
        <w:trPr>
          <w:trHeight w:val="218"/>
        </w:trPr>
        <w:tc>
          <w:tcPr>
            <w:tcW w:w="6220" w:type="dxa"/>
            <w:vAlign w:val="bottom"/>
            <w:gridSpan w:val="3"/>
          </w:tcPr>
          <w:p>
            <w:pPr>
              <w:jc w:val="center"/>
              <w:ind w:right="4440"/>
              <w:spacing w:after="0"/>
              <w:rPr>
                <w:sz w:val="20"/>
                <w:szCs w:val="20"/>
                <w:color w:val="auto"/>
              </w:rPr>
            </w:pPr>
            <w:r>
              <w:rPr>
                <w:rFonts w:ascii="Arial" w:cs="Arial" w:eastAsia="Arial" w:hAnsi="Arial"/>
                <w:sz w:val="18"/>
                <w:szCs w:val="18"/>
                <w:b w:val="1"/>
                <w:bCs w:val="1"/>
                <w:color w:val="auto"/>
                <w:w w:val="99"/>
              </w:rPr>
              <w:t>N</w:t>
            </w:r>
            <w:r>
              <w:rPr>
                <w:rFonts w:ascii="Arial" w:cs="Arial" w:eastAsia="Arial" w:hAnsi="Arial"/>
                <w:sz w:val="14"/>
                <w:szCs w:val="14"/>
                <w:b w:val="1"/>
                <w:bCs w:val="1"/>
                <w:color w:val="auto"/>
                <w:w w:val="99"/>
              </w:rPr>
              <w:t>EVADA</w:t>
            </w:r>
          </w:p>
        </w:tc>
        <w:tc>
          <w:tcPr>
            <w:tcW w:w="1120" w:type="dxa"/>
            <w:vAlign w:val="bottom"/>
          </w:tcPr>
          <w:p>
            <w:pPr>
              <w:jc w:val="center"/>
              <w:ind w:left="6"/>
              <w:spacing w:after="0"/>
              <w:rPr>
                <w:sz w:val="20"/>
                <w:szCs w:val="20"/>
                <w:color w:val="auto"/>
              </w:rPr>
            </w:pPr>
            <w:r>
              <w:rPr>
                <w:rFonts w:ascii="Arial" w:cs="Arial" w:eastAsia="Arial" w:hAnsi="Arial"/>
                <w:sz w:val="18"/>
                <w:szCs w:val="18"/>
                <w:b w:val="1"/>
                <w:bCs w:val="1"/>
                <w:color w:val="auto"/>
                <w:w w:val="87"/>
              </w:rPr>
              <w:t>46-0484987</w:t>
            </w:r>
          </w:p>
        </w:tc>
      </w:tr>
      <w:tr>
        <w:trPr>
          <w:trHeight w:val="149"/>
        </w:trPr>
        <w:tc>
          <w:tcPr>
            <w:tcW w:w="6220" w:type="dxa"/>
            <w:vAlign w:val="bottom"/>
            <w:gridSpan w:val="3"/>
          </w:tcPr>
          <w:p>
            <w:pPr>
              <w:jc w:val="center"/>
              <w:ind w:right="4440"/>
              <w:spacing w:after="0" w:line="149" w:lineRule="exact"/>
              <w:rPr>
                <w:sz w:val="20"/>
                <w:szCs w:val="20"/>
                <w:color w:val="auto"/>
              </w:rPr>
            </w:pPr>
            <w:r>
              <w:rPr>
                <w:rFonts w:ascii="Arial" w:cs="Arial" w:eastAsia="Arial" w:hAnsi="Arial"/>
                <w:sz w:val="14"/>
                <w:szCs w:val="14"/>
                <w:b w:val="1"/>
                <w:bCs w:val="1"/>
                <w:color w:val="auto"/>
                <w:w w:val="88"/>
              </w:rPr>
              <w:t>(State or other jurisdiction of</w:t>
            </w:r>
          </w:p>
        </w:tc>
        <w:tc>
          <w:tcPr>
            <w:tcW w:w="1120" w:type="dxa"/>
            <w:vAlign w:val="bottom"/>
          </w:tcPr>
          <w:p>
            <w:pPr>
              <w:jc w:val="center"/>
              <w:ind w:left="6"/>
              <w:spacing w:after="0" w:line="149" w:lineRule="exact"/>
              <w:rPr>
                <w:sz w:val="20"/>
                <w:szCs w:val="20"/>
                <w:color w:val="auto"/>
              </w:rPr>
            </w:pPr>
            <w:r>
              <w:rPr>
                <w:rFonts w:ascii="Arial" w:cs="Arial" w:eastAsia="Arial" w:hAnsi="Arial"/>
                <w:sz w:val="14"/>
                <w:szCs w:val="14"/>
                <w:b w:val="1"/>
                <w:bCs w:val="1"/>
                <w:color w:val="auto"/>
                <w:w w:val="89"/>
              </w:rPr>
              <w:t>(I.R.S. Employer</w:t>
            </w:r>
          </w:p>
        </w:tc>
      </w:tr>
      <w:tr>
        <w:trPr>
          <w:trHeight w:val="174"/>
        </w:trPr>
        <w:tc>
          <w:tcPr>
            <w:tcW w:w="6220" w:type="dxa"/>
            <w:vAlign w:val="bottom"/>
            <w:gridSpan w:val="3"/>
          </w:tcPr>
          <w:p>
            <w:pPr>
              <w:jc w:val="center"/>
              <w:ind w:right="4440"/>
              <w:spacing w:after="0"/>
              <w:rPr>
                <w:sz w:val="20"/>
                <w:szCs w:val="20"/>
                <w:color w:val="auto"/>
              </w:rPr>
            </w:pPr>
            <w:r>
              <w:rPr>
                <w:rFonts w:ascii="Arial" w:cs="Arial" w:eastAsia="Arial" w:hAnsi="Arial"/>
                <w:sz w:val="14"/>
                <w:szCs w:val="14"/>
                <w:b w:val="1"/>
                <w:bCs w:val="1"/>
                <w:color w:val="auto"/>
                <w:w w:val="89"/>
              </w:rPr>
              <w:t>incorporation or organization)</w:t>
            </w:r>
          </w:p>
        </w:tc>
        <w:tc>
          <w:tcPr>
            <w:tcW w:w="1120" w:type="dxa"/>
            <w:vAlign w:val="bottom"/>
          </w:tcPr>
          <w:p>
            <w:pPr>
              <w:jc w:val="center"/>
              <w:ind w:left="6"/>
              <w:spacing w:after="0"/>
              <w:rPr>
                <w:sz w:val="20"/>
                <w:szCs w:val="20"/>
                <w:color w:val="auto"/>
              </w:rPr>
            </w:pPr>
            <w:r>
              <w:rPr>
                <w:rFonts w:ascii="Arial" w:cs="Arial" w:eastAsia="Arial" w:hAnsi="Arial"/>
                <w:sz w:val="14"/>
                <w:szCs w:val="14"/>
                <w:b w:val="1"/>
                <w:bCs w:val="1"/>
                <w:color w:val="auto"/>
                <w:w w:val="87"/>
              </w:rPr>
              <w:t>Identification No.)</w:t>
            </w:r>
          </w:p>
        </w:tc>
      </w:tr>
      <w:tr>
        <w:trPr>
          <w:trHeight w:val="285"/>
        </w:trPr>
        <w:tc>
          <w:tcPr>
            <w:tcW w:w="6220" w:type="dxa"/>
            <w:vAlign w:val="bottom"/>
            <w:gridSpan w:val="3"/>
          </w:tcPr>
          <w:p>
            <w:pPr>
              <w:jc w:val="center"/>
              <w:ind w:left="1305"/>
              <w:spacing w:after="0"/>
              <w:rPr>
                <w:sz w:val="20"/>
                <w:szCs w:val="20"/>
                <w:color w:val="auto"/>
              </w:rPr>
            </w:pPr>
            <w:r>
              <w:rPr>
                <w:rFonts w:ascii="Arial" w:cs="Arial" w:eastAsia="Arial" w:hAnsi="Arial"/>
                <w:sz w:val="18"/>
                <w:szCs w:val="18"/>
                <w:b w:val="1"/>
                <w:bCs w:val="1"/>
                <w:color w:val="auto"/>
                <w:w w:val="86"/>
              </w:rPr>
              <w:t>3131 Las Vegas Boulevard South - Las Vegas, Nevada 89109</w:t>
            </w:r>
          </w:p>
        </w:tc>
        <w:tc>
          <w:tcPr>
            <w:tcW w:w="1120" w:type="dxa"/>
            <w:vAlign w:val="bottom"/>
          </w:tcPr>
          <w:p>
            <w:pPr>
              <w:spacing w:after="0"/>
              <w:rPr>
                <w:sz w:val="24"/>
                <w:szCs w:val="24"/>
                <w:color w:val="auto"/>
              </w:rPr>
            </w:pPr>
          </w:p>
        </w:tc>
      </w:tr>
      <w:tr>
        <w:trPr>
          <w:trHeight w:val="174"/>
        </w:trPr>
        <w:tc>
          <w:tcPr>
            <w:tcW w:w="6220" w:type="dxa"/>
            <w:vAlign w:val="bottom"/>
            <w:gridSpan w:val="3"/>
          </w:tcPr>
          <w:p>
            <w:pPr>
              <w:jc w:val="center"/>
              <w:ind w:left="1285"/>
              <w:spacing w:after="0"/>
              <w:rPr>
                <w:sz w:val="20"/>
                <w:szCs w:val="20"/>
                <w:color w:val="auto"/>
              </w:rPr>
            </w:pPr>
            <w:r>
              <w:rPr>
                <w:rFonts w:ascii="Arial" w:cs="Arial" w:eastAsia="Arial" w:hAnsi="Arial"/>
                <w:sz w:val="14"/>
                <w:szCs w:val="14"/>
                <w:b w:val="1"/>
                <w:bCs w:val="1"/>
                <w:color w:val="auto"/>
                <w:w w:val="86"/>
              </w:rPr>
              <w:t>(Address of principal executive offices) (Zip Code)</w:t>
            </w:r>
          </w:p>
        </w:tc>
        <w:tc>
          <w:tcPr>
            <w:tcW w:w="1120" w:type="dxa"/>
            <w:vAlign w:val="bottom"/>
          </w:tcPr>
          <w:p>
            <w:pPr>
              <w:spacing w:after="0"/>
              <w:rPr>
                <w:sz w:val="15"/>
                <w:szCs w:val="15"/>
                <w:color w:val="auto"/>
              </w:rPr>
            </w:pPr>
          </w:p>
        </w:tc>
      </w:tr>
      <w:tr>
        <w:trPr>
          <w:trHeight w:val="271"/>
        </w:trPr>
        <w:tc>
          <w:tcPr>
            <w:tcW w:w="4980" w:type="dxa"/>
            <w:vAlign w:val="bottom"/>
            <w:gridSpan w:val="2"/>
          </w:tcPr>
          <w:p>
            <w:pPr>
              <w:jc w:val="center"/>
              <w:ind w:left="2525"/>
              <w:spacing w:after="0"/>
              <w:rPr>
                <w:sz w:val="20"/>
                <w:szCs w:val="20"/>
                <w:color w:val="auto"/>
              </w:rPr>
            </w:pPr>
            <w:r>
              <w:rPr>
                <w:rFonts w:ascii="Arial" w:cs="Arial" w:eastAsia="Arial" w:hAnsi="Arial"/>
                <w:sz w:val="18"/>
                <w:szCs w:val="18"/>
                <w:b w:val="1"/>
                <w:bCs w:val="1"/>
                <w:color w:val="auto"/>
                <w:w w:val="89"/>
              </w:rPr>
              <w:t>(702) 770-7555</w:t>
            </w:r>
          </w:p>
        </w:tc>
        <w:tc>
          <w:tcPr>
            <w:tcW w:w="124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174"/>
        </w:trPr>
        <w:tc>
          <w:tcPr>
            <w:tcW w:w="6220" w:type="dxa"/>
            <w:vAlign w:val="bottom"/>
            <w:gridSpan w:val="3"/>
          </w:tcPr>
          <w:p>
            <w:pPr>
              <w:jc w:val="center"/>
              <w:ind w:left="1285"/>
              <w:spacing w:after="0"/>
              <w:rPr>
                <w:sz w:val="20"/>
                <w:szCs w:val="20"/>
                <w:color w:val="auto"/>
              </w:rPr>
            </w:pPr>
            <w:r>
              <w:rPr>
                <w:rFonts w:ascii="Arial" w:cs="Arial" w:eastAsia="Arial" w:hAnsi="Arial"/>
                <w:sz w:val="14"/>
                <w:szCs w:val="14"/>
                <w:b w:val="1"/>
                <w:bCs w:val="1"/>
                <w:color w:val="auto"/>
                <w:w w:val="86"/>
              </w:rPr>
              <w:t>(Registrant’s telephone number, including area code)</w:t>
            </w:r>
          </w:p>
        </w:tc>
        <w:tc>
          <w:tcPr>
            <w:tcW w:w="1120" w:type="dxa"/>
            <w:vAlign w:val="bottom"/>
          </w:tcPr>
          <w:p>
            <w:pPr>
              <w:spacing w:after="0"/>
              <w:rPr>
                <w:sz w:val="15"/>
                <w:szCs w:val="15"/>
                <w:color w:val="auto"/>
              </w:rPr>
            </w:pPr>
          </w:p>
        </w:tc>
      </w:tr>
      <w:tr>
        <w:trPr>
          <w:trHeight w:val="271"/>
        </w:trPr>
        <w:tc>
          <w:tcPr>
            <w:tcW w:w="2600" w:type="dxa"/>
            <w:vAlign w:val="bottom"/>
          </w:tcPr>
          <w:p>
            <w:pPr>
              <w:spacing w:after="0"/>
              <w:rPr>
                <w:sz w:val="23"/>
                <w:szCs w:val="23"/>
                <w:color w:val="auto"/>
              </w:rPr>
            </w:pPr>
          </w:p>
        </w:tc>
        <w:tc>
          <w:tcPr>
            <w:tcW w:w="3620" w:type="dxa"/>
            <w:vAlign w:val="bottom"/>
            <w:gridSpan w:val="2"/>
          </w:tcPr>
          <w:p>
            <w:pPr>
              <w:jc w:val="center"/>
              <w:ind w:right="1240"/>
              <w:spacing w:after="0"/>
              <w:rPr>
                <w:sz w:val="20"/>
                <w:szCs w:val="20"/>
                <w:color w:val="auto"/>
              </w:rPr>
            </w:pPr>
            <w:r>
              <w:rPr>
                <w:rFonts w:ascii="Arial" w:cs="Arial" w:eastAsia="Arial" w:hAnsi="Arial"/>
                <w:sz w:val="18"/>
                <w:szCs w:val="18"/>
                <w:b w:val="1"/>
                <w:bCs w:val="1"/>
                <w:color w:val="auto"/>
                <w:w w:val="96"/>
              </w:rPr>
              <w:t>N/A</w:t>
            </w:r>
          </w:p>
        </w:tc>
        <w:tc>
          <w:tcPr>
            <w:tcW w:w="1120" w:type="dxa"/>
            <w:vAlign w:val="bottom"/>
          </w:tcPr>
          <w:p>
            <w:pPr>
              <w:spacing w:after="0"/>
              <w:rPr>
                <w:sz w:val="23"/>
                <w:szCs w:val="23"/>
                <w:color w:val="auto"/>
              </w:rPr>
            </w:pPr>
          </w:p>
        </w:tc>
      </w:tr>
      <w:tr>
        <w:trPr>
          <w:trHeight w:val="174"/>
        </w:trPr>
        <w:tc>
          <w:tcPr>
            <w:tcW w:w="6220" w:type="dxa"/>
            <w:vAlign w:val="bottom"/>
            <w:gridSpan w:val="3"/>
          </w:tcPr>
          <w:p>
            <w:pPr>
              <w:jc w:val="center"/>
              <w:ind w:left="1285"/>
              <w:spacing w:after="0"/>
              <w:rPr>
                <w:sz w:val="20"/>
                <w:szCs w:val="20"/>
                <w:color w:val="auto"/>
              </w:rPr>
            </w:pPr>
            <w:r>
              <w:rPr>
                <w:rFonts w:ascii="Arial" w:cs="Arial" w:eastAsia="Arial" w:hAnsi="Arial"/>
                <w:sz w:val="14"/>
                <w:szCs w:val="14"/>
                <w:b w:val="1"/>
                <w:bCs w:val="1"/>
                <w:color w:val="auto"/>
                <w:w w:val="86"/>
              </w:rPr>
              <w:t>(Former name, former address and former fiscal year, if changed since last report)</w:t>
            </w:r>
          </w:p>
        </w:tc>
        <w:tc>
          <w:tcPr>
            <w:tcW w:w="1120" w:type="dxa"/>
            <w:vAlign w:val="bottom"/>
          </w:tcPr>
          <w:p>
            <w:pPr>
              <w:spacing w:after="0"/>
              <w:rPr>
                <w:sz w:val="15"/>
                <w:szCs w:val="15"/>
                <w:color w:val="auto"/>
              </w:rPr>
            </w:pPr>
          </w:p>
        </w:tc>
      </w:tr>
      <w:tr>
        <w:trPr>
          <w:trHeight w:val="149"/>
        </w:trPr>
        <w:tc>
          <w:tcPr>
            <w:tcW w:w="2600" w:type="dxa"/>
            <w:vAlign w:val="bottom"/>
          </w:tcPr>
          <w:p>
            <w:pPr>
              <w:spacing w:after="0"/>
              <w:rPr>
                <w:sz w:val="12"/>
                <w:szCs w:val="12"/>
                <w:color w:val="auto"/>
              </w:rPr>
            </w:pPr>
          </w:p>
        </w:tc>
        <w:tc>
          <w:tcPr>
            <w:tcW w:w="2380" w:type="dxa"/>
            <w:vAlign w:val="bottom"/>
            <w:tcBorders>
              <w:bottom w:val="single" w:sz="8" w:color="auto"/>
            </w:tcBorders>
          </w:tcPr>
          <w:p>
            <w:pPr>
              <w:spacing w:after="0"/>
              <w:rPr>
                <w:sz w:val="12"/>
                <w:szCs w:val="12"/>
                <w:color w:val="auto"/>
              </w:rPr>
            </w:pPr>
          </w:p>
        </w:tc>
        <w:tc>
          <w:tcPr>
            <w:tcW w:w="1240" w:type="dxa"/>
            <w:vAlign w:val="bottom"/>
          </w:tcPr>
          <w:p>
            <w:pPr>
              <w:spacing w:after="0"/>
              <w:rPr>
                <w:sz w:val="12"/>
                <w:szCs w:val="12"/>
                <w:color w:val="auto"/>
              </w:rPr>
            </w:pPr>
          </w:p>
        </w:tc>
        <w:tc>
          <w:tcPr>
            <w:tcW w:w="1120" w:type="dxa"/>
            <w:vAlign w:val="bottom"/>
          </w:tcPr>
          <w:p>
            <w:pPr>
              <w:spacing w:after="0"/>
              <w:rPr>
                <w:sz w:val="12"/>
                <w:szCs w:val="12"/>
                <w:color w:val="auto"/>
              </w:rPr>
            </w:pPr>
          </w:p>
        </w:tc>
      </w:tr>
    </w:tbl>
    <w:p>
      <w:pPr>
        <w:spacing w:after="0" w:line="181" w:lineRule="exact"/>
        <w:rPr>
          <w:sz w:val="24"/>
          <w:szCs w:val="24"/>
          <w:color w:val="auto"/>
        </w:rPr>
      </w:pPr>
    </w:p>
    <w:p>
      <w:pPr>
        <w:ind w:right="28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57" w:lineRule="exact"/>
        <w:rPr>
          <w:sz w:val="24"/>
          <w:szCs w:val="24"/>
          <w:color w:val="auto"/>
        </w:rPr>
      </w:pPr>
    </w:p>
    <w:p>
      <w:pPr>
        <w:jc w:val="both"/>
        <w:ind w:right="10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57" w:lineRule="exact"/>
        <w:rPr>
          <w:sz w:val="24"/>
          <w:szCs w:val="24"/>
          <w:color w:val="auto"/>
        </w:rPr>
      </w:pPr>
    </w:p>
    <w:p>
      <w:pPr>
        <w:ind w:right="220" w:firstLine="456"/>
        <w:spacing w:after="0" w:line="31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 w:lineRule="exact"/>
        <w:rPr>
          <w:sz w:val="24"/>
          <w:szCs w:val="24"/>
          <w:color w:val="auto"/>
        </w:rPr>
      </w:pPr>
    </w:p>
    <w:p>
      <w:pPr>
        <w:ind w:left="1880"/>
        <w:spacing w:after="0" w:line="207" w:lineRule="exact"/>
        <w:tabs>
          <w:tab w:leader="none" w:pos="3840" w:val="left"/>
          <w:tab w:leader="none" w:pos="5440" w:val="left"/>
          <w:tab w:leader="none" w:pos="736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rFonts w:ascii="Arial" w:cs="Arial" w:eastAsia="Arial" w:hAnsi="Arial"/>
          <w:sz w:val="18"/>
          <w:szCs w:val="18"/>
          <w:color w:val="auto"/>
        </w:rPr>
        <w:tab/>
        <w:t xml:space="preserve">Accelerated filer </w:t>
      </w:r>
      <w:r>
        <w:rPr>
          <w:rFonts w:ascii="MS PGothic" w:cs="MS PGothic" w:eastAsia="MS PGothic" w:hAnsi="MS PGothic"/>
          <w:sz w:val="18"/>
          <w:szCs w:val="18"/>
          <w:color w:val="auto"/>
        </w:rPr>
        <w:t>☐</w:t>
      </w:r>
      <w:r>
        <w:rPr>
          <w:rFonts w:ascii="Arial" w:cs="Arial" w:eastAsia="Arial" w:hAnsi="Arial"/>
          <w:sz w:val="18"/>
          <w:szCs w:val="18"/>
          <w:color w:val="auto"/>
        </w:rPr>
        <w:tab/>
        <w:t xml:space="preserve">Non-accelerated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97" w:lineRule="exact"/>
        <w:rPr>
          <w:sz w:val="24"/>
          <w:szCs w:val="24"/>
          <w:color w:val="auto"/>
        </w:rPr>
      </w:pPr>
    </w:p>
    <w:p>
      <w:pPr>
        <w:ind w:left="460"/>
        <w:spacing w:after="0" w:line="207" w:lineRule="exact"/>
        <w:tabs>
          <w:tab w:leader="none" w:pos="8540" w:val="left"/>
          <w:tab w:leader="none" w:pos="9220" w:val="left"/>
        </w:tabs>
        <w:rPr>
          <w:sz w:val="20"/>
          <w:szCs w:val="20"/>
          <w:color w:val="auto"/>
        </w:rPr>
      </w:pPr>
      <w:r>
        <w:rPr>
          <w:rFonts w:ascii="Arial" w:cs="Arial" w:eastAsia="Arial" w:hAnsi="Arial"/>
          <w:sz w:val="16"/>
          <w:szCs w:val="16"/>
          <w:color w:val="auto"/>
        </w:rPr>
        <w:t>Indicate by check mark whether the registrant is a shell company (as defined in Rule12b-2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116" w:lineRule="exact"/>
        <w:rPr>
          <w:sz w:val="24"/>
          <w:szCs w:val="24"/>
          <w:color w:val="auto"/>
        </w:rPr>
      </w:pPr>
    </w:p>
    <w:p>
      <w:pPr>
        <w:ind w:left="460"/>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660" w:type="dxa"/>
            <w:vAlign w:val="bottom"/>
          </w:tcPr>
          <w:p>
            <w:pPr>
              <w:spacing w:after="0"/>
              <w:rPr>
                <w:sz w:val="14"/>
                <w:szCs w:val="14"/>
                <w:color w:val="auto"/>
              </w:rPr>
            </w:pPr>
          </w:p>
        </w:tc>
        <w:tc>
          <w:tcPr>
            <w:tcW w:w="3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0"/>
              </w:rPr>
              <w:t>Class</w:t>
            </w:r>
          </w:p>
        </w:tc>
        <w:tc>
          <w:tcPr>
            <w:tcW w:w="4840" w:type="dxa"/>
            <w:vAlign w:val="bottom"/>
          </w:tcPr>
          <w:p>
            <w:pPr>
              <w:spacing w:after="0"/>
              <w:rPr>
                <w:sz w:val="14"/>
                <w:szCs w:val="14"/>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Outstanding at April 30, 2010</w:t>
            </w:r>
          </w:p>
        </w:tc>
        <w:tc>
          <w:tcPr>
            <w:tcW w:w="1760" w:type="dxa"/>
            <w:vAlign w:val="bottom"/>
          </w:tcPr>
          <w:p>
            <w:pPr>
              <w:spacing w:after="0"/>
              <w:rPr>
                <w:sz w:val="14"/>
                <w:szCs w:val="14"/>
                <w:color w:val="auto"/>
              </w:rPr>
            </w:pPr>
          </w:p>
        </w:tc>
      </w:tr>
      <w:tr>
        <w:trPr>
          <w:trHeight w:val="216"/>
        </w:trPr>
        <w:tc>
          <w:tcPr>
            <w:tcW w:w="2980" w:type="dxa"/>
            <w:vAlign w:val="bottom"/>
            <w:gridSpan w:val="2"/>
          </w:tcPr>
          <w:p>
            <w:pPr>
              <w:ind w:left="1680"/>
              <w:spacing w:after="0"/>
              <w:rPr>
                <w:sz w:val="20"/>
                <w:szCs w:val="20"/>
                <w:color w:val="auto"/>
              </w:rPr>
            </w:pPr>
            <w:r>
              <w:rPr>
                <w:rFonts w:ascii="Arial" w:cs="Arial" w:eastAsia="Arial" w:hAnsi="Arial"/>
                <w:sz w:val="18"/>
                <w:szCs w:val="18"/>
                <w:color w:val="auto"/>
                <w:w w:val="91"/>
              </w:rPr>
              <w:t>Common stock, $</w:t>
            </w:r>
          </w:p>
        </w:tc>
        <w:tc>
          <w:tcPr>
            <w:tcW w:w="4840" w:type="dxa"/>
            <w:vAlign w:val="bottom"/>
          </w:tcPr>
          <w:p>
            <w:pPr>
              <w:spacing w:after="0"/>
              <w:rPr>
                <w:sz w:val="20"/>
                <w:szCs w:val="20"/>
                <w:color w:val="auto"/>
              </w:rPr>
            </w:pPr>
            <w:r>
              <w:rPr>
                <w:rFonts w:ascii="Arial" w:cs="Arial" w:eastAsia="Arial" w:hAnsi="Arial"/>
                <w:sz w:val="18"/>
                <w:szCs w:val="18"/>
                <w:color w:val="auto"/>
              </w:rPr>
              <w:t>0.01 par value</w:t>
            </w:r>
          </w:p>
        </w:tc>
        <w:tc>
          <w:tcPr>
            <w:tcW w:w="1840" w:type="dxa"/>
            <w:vAlign w:val="bottom"/>
          </w:tcPr>
          <w:p>
            <w:pPr>
              <w:jc w:val="right"/>
              <w:ind w:right="402"/>
              <w:spacing w:after="0"/>
              <w:rPr>
                <w:sz w:val="20"/>
                <w:szCs w:val="20"/>
                <w:color w:val="auto"/>
              </w:rPr>
            </w:pPr>
            <w:r>
              <w:rPr>
                <w:rFonts w:ascii="Arial" w:cs="Arial" w:eastAsia="Arial" w:hAnsi="Arial"/>
                <w:sz w:val="18"/>
                <w:szCs w:val="18"/>
                <w:color w:val="auto"/>
              </w:rPr>
              <w:t>123,310,373</w:t>
            </w:r>
          </w:p>
        </w:tc>
        <w:tc>
          <w:tcPr>
            <w:tcW w:w="1760" w:type="dxa"/>
            <w:vAlign w:val="bottom"/>
          </w:tcPr>
          <w:p>
            <w:pPr>
              <w:spacing w:after="0"/>
              <w:rPr>
                <w:sz w:val="18"/>
                <w:szCs w:val="18"/>
                <w:color w:val="auto"/>
              </w:rPr>
            </w:pPr>
          </w:p>
        </w:tc>
      </w:tr>
      <w:tr>
        <w:trPr>
          <w:trHeight w:val="196"/>
        </w:trPr>
        <w:tc>
          <w:tcPr>
            <w:tcW w:w="266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484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spacing w:after="0"/>
              <w:rPr>
                <w:sz w:val="17"/>
                <w:szCs w:val="17"/>
                <w:color w:val="auto"/>
              </w:rPr>
            </w:pPr>
          </w:p>
        </w:tc>
      </w:tr>
      <w:tr>
        <w:trPr>
          <w:trHeight w:val="21"/>
        </w:trPr>
        <w:tc>
          <w:tcPr>
            <w:tcW w:w="26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8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020" w:type="dxa"/>
            <w:vAlign w:val="bottom"/>
          </w:tcPr>
          <w:p>
            <w:pPr>
              <w:spacing w:after="0"/>
              <w:rPr>
                <w:sz w:val="20"/>
                <w:szCs w:val="20"/>
                <w:color w:val="auto"/>
              </w:rPr>
            </w:pPr>
            <w:r>
              <w:rPr>
                <w:rFonts w:ascii="Arial" w:cs="Arial" w:eastAsia="Arial" w:hAnsi="Arial"/>
                <w:sz w:val="18"/>
                <w:szCs w:val="18"/>
                <w:b w:val="1"/>
                <w:bCs w:val="1"/>
                <w:color w:val="auto"/>
              </w:rPr>
              <w:t>Part I.</w:t>
            </w:r>
          </w:p>
        </w:tc>
        <w:tc>
          <w:tcPr>
            <w:tcW w:w="9300" w:type="dxa"/>
            <w:vAlign w:val="bottom"/>
            <w:gridSpan w:val="11"/>
          </w:tcPr>
          <w:p>
            <w:pPr>
              <w:spacing w:after="0"/>
              <w:rPr>
                <w:sz w:val="20"/>
                <w:szCs w:val="20"/>
                <w:color w:val="auto"/>
              </w:rPr>
            </w:pPr>
            <w:r>
              <w:rPr>
                <w:rFonts w:ascii="Arial" w:cs="Arial" w:eastAsia="Arial" w:hAnsi="Arial"/>
                <w:sz w:val="18"/>
                <w:szCs w:val="18"/>
                <w:b w:val="1"/>
                <w:bCs w:val="1"/>
                <w:color w:val="auto"/>
              </w:rPr>
              <w:t>Financial Information</w:t>
            </w:r>
          </w:p>
        </w:tc>
        <w:tc>
          <w:tcPr>
            <w:tcW w:w="1100" w:type="dxa"/>
            <w:vAlign w:val="bottom"/>
          </w:tcPr>
          <w:p>
            <w:pPr>
              <w:spacing w:after="0"/>
              <w:rPr>
                <w:sz w:val="19"/>
                <w:szCs w:val="19"/>
                <w:color w:val="auto"/>
              </w:rPr>
            </w:pPr>
          </w:p>
        </w:tc>
      </w:tr>
      <w:tr>
        <w:trPr>
          <w:trHeight w:val="324"/>
        </w:trPr>
        <w:tc>
          <w:tcPr>
            <w:tcW w:w="1020" w:type="dxa"/>
            <w:vAlign w:val="bottom"/>
          </w:tcPr>
          <w:p>
            <w:pPr>
              <w:spacing w:after="0"/>
              <w:rPr>
                <w:sz w:val="20"/>
                <w:szCs w:val="20"/>
                <w:color w:val="auto"/>
              </w:rPr>
            </w:pPr>
            <w:r>
              <w:rPr>
                <w:rFonts w:ascii="Arial" w:cs="Arial" w:eastAsia="Arial" w:hAnsi="Arial"/>
                <w:sz w:val="18"/>
                <w:szCs w:val="18"/>
                <w:color w:val="auto"/>
              </w:rPr>
              <w:t>Item 1.</w:t>
            </w:r>
          </w:p>
        </w:tc>
        <w:tc>
          <w:tcPr>
            <w:tcW w:w="9300" w:type="dxa"/>
            <w:vAlign w:val="bottom"/>
            <w:gridSpan w:val="11"/>
          </w:tcPr>
          <w:p>
            <w:pPr>
              <w:spacing w:after="0"/>
              <w:rPr>
                <w:sz w:val="20"/>
                <w:szCs w:val="20"/>
                <w:color w:val="auto"/>
              </w:rPr>
            </w:pPr>
            <w:r>
              <w:rPr>
                <w:rFonts w:ascii="Arial" w:cs="Arial" w:eastAsia="Arial" w:hAnsi="Arial"/>
                <w:sz w:val="18"/>
                <w:szCs w:val="18"/>
                <w:color w:val="auto"/>
              </w:rPr>
              <w:t>Financial Statements</w:t>
            </w:r>
          </w:p>
        </w:tc>
        <w:tc>
          <w:tcPr>
            <w:tcW w:w="1100" w:type="dxa"/>
            <w:vAlign w:val="bottom"/>
          </w:tcPr>
          <w:p>
            <w:pPr>
              <w:spacing w:after="0"/>
              <w:rPr>
                <w:sz w:val="24"/>
                <w:szCs w:val="24"/>
                <w:color w:val="auto"/>
              </w:rPr>
            </w:pPr>
          </w:p>
        </w:tc>
      </w:tr>
      <w:tr>
        <w:trPr>
          <w:trHeight w:val="286"/>
        </w:trPr>
        <w:tc>
          <w:tcPr>
            <w:tcW w:w="10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300" w:type="dxa"/>
            <w:vAlign w:val="bottom"/>
            <w:tcBorders>
              <w:bottom w:val="single" w:sz="8" w:color="0000EE"/>
            </w:tcBorders>
            <w:gridSpan w:val="6"/>
          </w:tcPr>
          <w:p>
            <w:pPr>
              <w:spacing w:after="0"/>
              <w:rPr>
                <w:rFonts w:ascii="Arial" w:cs="Arial" w:eastAsia="Arial" w:hAnsi="Arial"/>
                <w:sz w:val="18"/>
                <w:szCs w:val="18"/>
                <w:color w:val="0000EE"/>
                <w:w w:val="86"/>
              </w:rPr>
            </w:pPr>
            <w:hyperlink w:anchor="page3">
              <w:r>
                <w:rPr>
                  <w:rFonts w:ascii="Arial" w:cs="Arial" w:eastAsia="Arial" w:hAnsi="Arial"/>
                  <w:sz w:val="18"/>
                  <w:szCs w:val="18"/>
                  <w:color w:val="0000EE"/>
                  <w:w w:val="86"/>
                </w:rPr>
                <w:t>Condensed Consolidated Balance Sheets—March 31, 2010 (unaudited) and</w:t>
              </w:r>
            </w:hyperlink>
          </w:p>
        </w:tc>
        <w:tc>
          <w:tcPr>
            <w:tcW w:w="3560" w:type="dxa"/>
            <w:vAlign w:val="bottom"/>
            <w:gridSpan w:val="4"/>
          </w:tcPr>
          <w:p>
            <w:pPr>
              <w:spacing w:after="0"/>
              <w:rPr>
                <w:sz w:val="24"/>
                <w:szCs w:val="24"/>
                <w:color w:val="auto"/>
              </w:rPr>
            </w:pPr>
          </w:p>
        </w:tc>
        <w:tc>
          <w:tcPr>
            <w:tcW w:w="1100" w:type="dxa"/>
            <w:vAlign w:val="bottom"/>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60" w:type="dxa"/>
            <w:vAlign w:val="bottom"/>
            <w:gridSpan w:val="9"/>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December 31, 2009</w:t>
              </w:r>
            </w:hyperlink>
          </w:p>
        </w:tc>
        <w:tc>
          <w:tcPr>
            <w:tcW w:w="110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20"/>
        </w:trPr>
        <w:tc>
          <w:tcPr>
            <w:tcW w:w="10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304"/>
        </w:trPr>
        <w:tc>
          <w:tcPr>
            <w:tcW w:w="10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80" w:type="dxa"/>
            <w:vAlign w:val="bottom"/>
            <w:tcBorders>
              <w:bottom w:val="single" w:sz="8" w:color="0000EE"/>
            </w:tcBorders>
            <w:gridSpan w:val="8"/>
          </w:tcPr>
          <w:p>
            <w:pPr>
              <w:spacing w:after="0"/>
              <w:rPr>
                <w:rFonts w:ascii="Arial" w:cs="Arial" w:eastAsia="Arial" w:hAnsi="Arial"/>
                <w:sz w:val="18"/>
                <w:szCs w:val="18"/>
                <w:color w:val="0000EE"/>
                <w:w w:val="87"/>
              </w:rPr>
            </w:pPr>
            <w:hyperlink w:anchor="page4">
              <w:r>
                <w:rPr>
                  <w:rFonts w:ascii="Arial" w:cs="Arial" w:eastAsia="Arial" w:hAnsi="Arial"/>
                  <w:sz w:val="18"/>
                  <w:szCs w:val="18"/>
                  <w:color w:val="0000EE"/>
                  <w:w w:val="87"/>
                </w:rPr>
                <w:t>Condensed Consolidated Statements of Operations (unaudited)—Three months ended March 31, 2010 and 2009</w:t>
              </w:r>
            </w:hyperlink>
          </w:p>
        </w:tc>
        <w:tc>
          <w:tcPr>
            <w:tcW w:w="980" w:type="dxa"/>
            <w:vAlign w:val="bottom"/>
            <w:gridSpan w:val="2"/>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04"/>
        </w:trPr>
        <w:tc>
          <w:tcPr>
            <w:tcW w:w="10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940" w:type="dxa"/>
            <w:vAlign w:val="bottom"/>
            <w:tcBorders>
              <w:bottom w:val="single" w:sz="8" w:color="0000EE"/>
            </w:tcBorders>
            <w:gridSpan w:val="9"/>
          </w:tcPr>
          <w:p>
            <w:pPr>
              <w:spacing w:after="0"/>
              <w:rPr>
                <w:rFonts w:ascii="Arial" w:cs="Arial" w:eastAsia="Arial" w:hAnsi="Arial"/>
                <w:sz w:val="18"/>
                <w:szCs w:val="18"/>
                <w:color w:val="0000EE"/>
                <w:w w:val="87"/>
              </w:rPr>
            </w:pPr>
            <w:hyperlink w:anchor="page5">
              <w:r>
                <w:rPr>
                  <w:rFonts w:ascii="Arial" w:cs="Arial" w:eastAsia="Arial" w:hAnsi="Arial"/>
                  <w:sz w:val="18"/>
                  <w:szCs w:val="18"/>
                  <w:color w:val="0000EE"/>
                  <w:w w:val="87"/>
                </w:rPr>
                <w:t>Condensed Consolidated Statements of Cash Flows (unaudited)—Three months ended March 31, 2010 and 2009</w:t>
              </w:r>
            </w:hyperlink>
          </w:p>
        </w:tc>
        <w:tc>
          <w:tcPr>
            <w:tcW w:w="9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04"/>
        </w:trPr>
        <w:tc>
          <w:tcPr>
            <w:tcW w:w="10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60" w:type="dxa"/>
            <w:vAlign w:val="bottom"/>
            <w:gridSpan w:val="10"/>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Notes to Condensed Consolidated Financial Statements (unaudited)</w:t>
              </w:r>
            </w:hyperlink>
          </w:p>
        </w:tc>
        <w:tc>
          <w:tcPr>
            <w:tcW w:w="11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0"/>
        </w:trPr>
        <w:tc>
          <w:tcPr>
            <w:tcW w:w="10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2540" w:type="dxa"/>
            <w:vAlign w:val="bottom"/>
            <w:gridSpan w:val="2"/>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3000" w:type="dxa"/>
            <w:vAlign w:val="bottom"/>
            <w:gridSpan w:val="3"/>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304"/>
        </w:trPr>
        <w:tc>
          <w:tcPr>
            <w:tcW w:w="1020" w:type="dxa"/>
            <w:vAlign w:val="bottom"/>
          </w:tcPr>
          <w:p>
            <w:pPr>
              <w:spacing w:after="0"/>
              <w:rPr>
                <w:sz w:val="20"/>
                <w:szCs w:val="20"/>
                <w:color w:val="auto"/>
              </w:rPr>
            </w:pPr>
            <w:r>
              <w:rPr>
                <w:rFonts w:ascii="Arial" w:cs="Arial" w:eastAsia="Arial" w:hAnsi="Arial"/>
                <w:sz w:val="18"/>
                <w:szCs w:val="18"/>
                <w:color w:val="auto"/>
              </w:rPr>
              <w:t>Item 2.</w:t>
            </w:r>
          </w:p>
        </w:tc>
        <w:tc>
          <w:tcPr>
            <w:tcW w:w="9300" w:type="dxa"/>
            <w:vAlign w:val="bottom"/>
            <w:gridSpan w:val="11"/>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Management’s Discussion and Analysis of Financial Condition and Results of Operations</w:t>
              </w:r>
            </w:hyperlink>
          </w:p>
        </w:tc>
        <w:tc>
          <w:tcPr>
            <w:tcW w:w="11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04"/>
        </w:trPr>
        <w:tc>
          <w:tcPr>
            <w:tcW w:w="1020" w:type="dxa"/>
            <w:vAlign w:val="bottom"/>
          </w:tcPr>
          <w:p>
            <w:pPr>
              <w:spacing w:after="0"/>
              <w:rPr>
                <w:sz w:val="20"/>
                <w:szCs w:val="20"/>
                <w:color w:val="auto"/>
              </w:rPr>
            </w:pPr>
            <w:r>
              <w:rPr>
                <w:rFonts w:ascii="Arial" w:cs="Arial" w:eastAsia="Arial" w:hAnsi="Arial"/>
                <w:sz w:val="18"/>
                <w:szCs w:val="18"/>
                <w:color w:val="auto"/>
              </w:rPr>
              <w:t>Item 3.</w:t>
            </w:r>
          </w:p>
        </w:tc>
        <w:tc>
          <w:tcPr>
            <w:tcW w:w="426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89"/>
              </w:rPr>
            </w:pPr>
            <w:hyperlink w:anchor="page29">
              <w:r>
                <w:rPr>
                  <w:rFonts w:ascii="Arial" w:cs="Arial" w:eastAsia="Arial" w:hAnsi="Arial"/>
                  <w:sz w:val="18"/>
                  <w:szCs w:val="18"/>
                  <w:color w:val="0000EE"/>
                  <w:w w:val="89"/>
                </w:rPr>
                <w:t>Quantitative and Qualitative Disclosures About Market Risk</w:t>
              </w:r>
            </w:hyperlink>
          </w:p>
        </w:tc>
        <w:tc>
          <w:tcPr>
            <w:tcW w:w="2040" w:type="dxa"/>
            <w:vAlign w:val="bottom"/>
            <w:tcBorders>
              <w:top w:val="single" w:sz="8" w:color="0000EE"/>
            </w:tcBorders>
            <w:gridSpan w:val="3"/>
          </w:tcPr>
          <w:p>
            <w:pPr>
              <w:spacing w:after="0"/>
              <w:rPr>
                <w:sz w:val="24"/>
                <w:szCs w:val="24"/>
                <w:color w:val="auto"/>
              </w:rPr>
            </w:pPr>
          </w:p>
        </w:tc>
        <w:tc>
          <w:tcPr>
            <w:tcW w:w="3000" w:type="dxa"/>
            <w:vAlign w:val="bottom"/>
            <w:gridSpan w:val="3"/>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04"/>
        </w:trPr>
        <w:tc>
          <w:tcPr>
            <w:tcW w:w="1020" w:type="dxa"/>
            <w:vAlign w:val="bottom"/>
          </w:tcPr>
          <w:p>
            <w:pPr>
              <w:spacing w:after="0"/>
              <w:rPr>
                <w:sz w:val="20"/>
                <w:szCs w:val="20"/>
                <w:color w:val="auto"/>
              </w:rPr>
            </w:pPr>
            <w:r>
              <w:rPr>
                <w:rFonts w:ascii="Arial" w:cs="Arial" w:eastAsia="Arial" w:hAnsi="Arial"/>
                <w:sz w:val="18"/>
                <w:szCs w:val="18"/>
                <w:color w:val="auto"/>
              </w:rPr>
              <w:t>Item 4.</w:t>
            </w:r>
          </w:p>
        </w:tc>
        <w:tc>
          <w:tcPr>
            <w:tcW w:w="9300" w:type="dxa"/>
            <w:vAlign w:val="bottom"/>
            <w:gridSpan w:val="11"/>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Controls and Procedures</w:t>
              </w:r>
            </w:hyperlink>
          </w:p>
        </w:tc>
        <w:tc>
          <w:tcPr>
            <w:tcW w:w="110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0"/>
        </w:trPr>
        <w:tc>
          <w:tcPr>
            <w:tcW w:w="102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bl>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20" w:type="dxa"/>
            <w:vAlign w:val="bottom"/>
            <w:gridSpan w:val="2"/>
          </w:tcPr>
          <w:p>
            <w:pPr>
              <w:spacing w:after="0"/>
              <w:rPr>
                <w:sz w:val="20"/>
                <w:szCs w:val="20"/>
                <w:color w:val="auto"/>
              </w:rPr>
            </w:pPr>
            <w:r>
              <w:rPr>
                <w:rFonts w:ascii="Arial" w:cs="Arial" w:eastAsia="Arial" w:hAnsi="Arial"/>
                <w:sz w:val="18"/>
                <w:szCs w:val="18"/>
                <w:b w:val="1"/>
                <w:bCs w:val="1"/>
                <w:color w:val="auto"/>
              </w:rPr>
              <w:t>Part II.</w:t>
            </w:r>
          </w:p>
        </w:tc>
        <w:tc>
          <w:tcPr>
            <w:tcW w:w="1420" w:type="dxa"/>
            <w:vAlign w:val="bottom"/>
            <w:tcBorders>
              <w:bottom w:val="single" w:sz="8" w:color="0000EE"/>
            </w:tcBorders>
            <w:gridSpan w:val="3"/>
          </w:tcPr>
          <w:p>
            <w:pPr>
              <w:spacing w:after="0"/>
              <w:rPr>
                <w:rFonts w:ascii="Arial" w:cs="Arial" w:eastAsia="Arial" w:hAnsi="Arial"/>
                <w:sz w:val="18"/>
                <w:szCs w:val="18"/>
                <w:b w:val="1"/>
                <w:bCs w:val="1"/>
                <w:color w:val="0000EE"/>
                <w:w w:val="92"/>
              </w:rPr>
            </w:pPr>
            <w:hyperlink w:anchor="page33">
              <w:r>
                <w:rPr>
                  <w:rFonts w:ascii="Arial" w:cs="Arial" w:eastAsia="Arial" w:hAnsi="Arial"/>
                  <w:sz w:val="18"/>
                  <w:szCs w:val="18"/>
                  <w:b w:val="1"/>
                  <w:bCs w:val="1"/>
                  <w:color w:val="0000EE"/>
                  <w:w w:val="92"/>
                </w:rPr>
                <w:t>Other Information</w:t>
              </w:r>
            </w:hyperlink>
          </w:p>
        </w:tc>
        <w:tc>
          <w:tcPr>
            <w:tcW w:w="3020" w:type="dxa"/>
            <w:vAlign w:val="bottom"/>
            <w:gridSpan w:val="2"/>
          </w:tcPr>
          <w:p>
            <w:pPr>
              <w:spacing w:after="0"/>
              <w:rPr>
                <w:sz w:val="17"/>
                <w:szCs w:val="17"/>
                <w:color w:val="auto"/>
              </w:rPr>
            </w:pPr>
          </w:p>
        </w:tc>
        <w:tc>
          <w:tcPr>
            <w:tcW w:w="5960" w:type="dxa"/>
            <w:vAlign w:val="bottom"/>
          </w:tcPr>
          <w:p>
            <w:pPr>
              <w:spacing w:after="0"/>
              <w:rPr>
                <w:sz w:val="17"/>
                <w:szCs w:val="17"/>
                <w:color w:val="auto"/>
              </w:rPr>
            </w:pPr>
          </w:p>
        </w:tc>
      </w:tr>
      <w:tr>
        <w:trPr>
          <w:trHeight w:val="304"/>
        </w:trPr>
        <w:tc>
          <w:tcPr>
            <w:tcW w:w="1020" w:type="dxa"/>
            <w:vAlign w:val="bottom"/>
            <w:gridSpan w:val="2"/>
          </w:tcPr>
          <w:p>
            <w:pPr>
              <w:spacing w:after="0"/>
              <w:rPr>
                <w:sz w:val="20"/>
                <w:szCs w:val="20"/>
                <w:color w:val="auto"/>
              </w:rPr>
            </w:pPr>
            <w:r>
              <w:rPr>
                <w:rFonts w:ascii="Arial" w:cs="Arial" w:eastAsia="Arial" w:hAnsi="Arial"/>
                <w:sz w:val="18"/>
                <w:szCs w:val="18"/>
                <w:color w:val="auto"/>
              </w:rPr>
              <w:t>Item IA.</w:t>
            </w:r>
          </w:p>
        </w:tc>
        <w:tc>
          <w:tcPr>
            <w:tcW w:w="4440" w:type="dxa"/>
            <w:vAlign w:val="bottom"/>
            <w:gridSpan w:val="5"/>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Risk Factors</w:t>
              </w:r>
            </w:hyperlink>
          </w:p>
        </w:tc>
        <w:tc>
          <w:tcPr>
            <w:tcW w:w="596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0"/>
        </w:trPr>
        <w:tc>
          <w:tcPr>
            <w:tcW w:w="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3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r>
      <w:tr>
        <w:trPr>
          <w:trHeight w:val="304"/>
        </w:trPr>
        <w:tc>
          <w:tcPr>
            <w:tcW w:w="1020" w:type="dxa"/>
            <w:vAlign w:val="bottom"/>
            <w:gridSpan w:val="2"/>
          </w:tcPr>
          <w:p>
            <w:pPr>
              <w:spacing w:after="0"/>
              <w:rPr>
                <w:sz w:val="20"/>
                <w:szCs w:val="20"/>
                <w:color w:val="auto"/>
              </w:rPr>
            </w:pPr>
            <w:r>
              <w:rPr>
                <w:rFonts w:ascii="Arial" w:cs="Arial" w:eastAsia="Arial" w:hAnsi="Arial"/>
                <w:sz w:val="18"/>
                <w:szCs w:val="18"/>
                <w:color w:val="auto"/>
              </w:rPr>
              <w:t>Item 2.</w:t>
            </w:r>
          </w:p>
        </w:tc>
        <w:tc>
          <w:tcPr>
            <w:tcW w:w="4440" w:type="dxa"/>
            <w:vAlign w:val="bottom"/>
            <w:gridSpan w:val="5"/>
          </w:tcPr>
          <w:p>
            <w:pPr>
              <w:spacing w:after="0"/>
              <w:rPr>
                <w:rFonts w:ascii="Arial" w:cs="Arial" w:eastAsia="Arial" w:hAnsi="Arial"/>
                <w:sz w:val="18"/>
                <w:szCs w:val="18"/>
                <w:color w:val="0000EE"/>
                <w:w w:val="91"/>
              </w:rPr>
            </w:pPr>
            <w:hyperlink w:anchor="page33">
              <w:r>
                <w:rPr>
                  <w:rFonts w:ascii="Arial" w:cs="Arial" w:eastAsia="Arial" w:hAnsi="Arial"/>
                  <w:sz w:val="18"/>
                  <w:szCs w:val="18"/>
                  <w:color w:val="0000EE"/>
                  <w:w w:val="91"/>
                </w:rPr>
                <w:t>Unregistered Sales of Equity Securities and Use of Proceeds</w:t>
              </w:r>
            </w:hyperlink>
          </w:p>
        </w:tc>
        <w:tc>
          <w:tcPr>
            <w:tcW w:w="596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04"/>
        </w:trPr>
        <w:tc>
          <w:tcPr>
            <w:tcW w:w="1020" w:type="dxa"/>
            <w:vAlign w:val="bottom"/>
            <w:gridSpan w:val="2"/>
          </w:tcPr>
          <w:p>
            <w:pPr>
              <w:spacing w:after="0"/>
              <w:rPr>
                <w:sz w:val="20"/>
                <w:szCs w:val="20"/>
                <w:color w:val="auto"/>
              </w:rPr>
            </w:pPr>
            <w:r>
              <w:rPr>
                <w:rFonts w:ascii="Arial" w:cs="Arial" w:eastAsia="Arial" w:hAnsi="Arial"/>
                <w:sz w:val="18"/>
                <w:szCs w:val="18"/>
                <w:color w:val="auto"/>
              </w:rPr>
              <w:t>Item 6.</w:t>
            </w:r>
          </w:p>
        </w:tc>
        <w:tc>
          <w:tcPr>
            <w:tcW w:w="4240" w:type="dxa"/>
            <w:vAlign w:val="bottom"/>
            <w:tcBorders>
              <w:top w:val="single" w:sz="8" w:color="0000EE"/>
            </w:tcBorders>
            <w:gridSpan w:val="4"/>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Exhibits</w:t>
              </w:r>
            </w:hyperlink>
          </w:p>
        </w:tc>
        <w:tc>
          <w:tcPr>
            <w:tcW w:w="200" w:type="dxa"/>
            <w:vAlign w:val="bottom"/>
          </w:tcPr>
          <w:p>
            <w:pPr>
              <w:spacing w:after="0"/>
              <w:rPr>
                <w:sz w:val="24"/>
                <w:szCs w:val="24"/>
                <w:color w:val="auto"/>
              </w:rPr>
            </w:pPr>
          </w:p>
        </w:tc>
        <w:tc>
          <w:tcPr>
            <w:tcW w:w="596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04"/>
        </w:trPr>
        <w:tc>
          <w:tcPr>
            <w:tcW w:w="1020" w:type="dxa"/>
            <w:vAlign w:val="bottom"/>
            <w:gridSpan w:val="2"/>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Signature</w:t>
              </w:r>
            </w:hyperlink>
          </w:p>
        </w:tc>
        <w:tc>
          <w:tcPr>
            <w:tcW w:w="58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96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383"/>
        </w:trPr>
        <w:tc>
          <w:tcPr>
            <w:tcW w:w="680" w:type="dxa"/>
            <w:vAlign w:val="bottom"/>
            <w:tcBorders>
              <w:top w:val="single" w:sz="8" w:color="0000EE"/>
            </w:tcBorders>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960" w:type="dxa"/>
            <w:vAlign w:val="bottom"/>
          </w:tcPr>
          <w:p>
            <w:pPr>
              <w:jc w:val="right"/>
              <w:ind w:right="5572"/>
              <w:spacing w:after="0"/>
              <w:rPr>
                <w:sz w:val="20"/>
                <w:szCs w:val="20"/>
                <w:color w:val="auto"/>
              </w:rPr>
            </w:pPr>
            <w:r>
              <w:rPr>
                <w:rFonts w:ascii="Arial" w:cs="Arial" w:eastAsia="Arial" w:hAnsi="Arial"/>
                <w:sz w:val="18"/>
                <w:szCs w:val="18"/>
                <w:color w:val="auto"/>
              </w:rPr>
              <w:t>2</w:t>
            </w: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0"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2"/>
              </w:rPr>
              <w:t>March 31,</w:t>
            </w:r>
          </w:p>
        </w:tc>
        <w:tc>
          <w:tcPr>
            <w:tcW w:w="200" w:type="dxa"/>
            <w:vAlign w:val="bottom"/>
          </w:tcPr>
          <w:p>
            <w:pPr>
              <w:spacing w:after="0"/>
              <w:rPr>
                <w:sz w:val="14"/>
                <w:szCs w:val="14"/>
                <w:color w:val="auto"/>
              </w:rPr>
            </w:pPr>
          </w:p>
        </w:tc>
        <w:tc>
          <w:tcPr>
            <w:tcW w:w="96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87"/>
              </w:rPr>
              <w:t>December 31,</w:t>
            </w:r>
          </w:p>
        </w:tc>
      </w:tr>
      <w:tr>
        <w:trPr>
          <w:trHeight w:val="161"/>
        </w:trPr>
        <w:tc>
          <w:tcPr>
            <w:tcW w:w="20" w:type="dxa"/>
            <w:vAlign w:val="bottom"/>
          </w:tcPr>
          <w:p>
            <w:pPr>
              <w:spacing w:after="0"/>
              <w:rPr>
                <w:sz w:val="14"/>
                <w:szCs w:val="14"/>
                <w:color w:val="auto"/>
              </w:rPr>
            </w:pPr>
          </w:p>
        </w:tc>
        <w:tc>
          <w:tcPr>
            <w:tcW w:w="9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2010</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9140" w:type="dxa"/>
            <w:vAlign w:val="bottom"/>
            <w:shd w:val="clear" w:color="auto" w:fill="CCEEFF"/>
          </w:tcPr>
          <w:p>
            <w:pPr>
              <w:ind w:left="4080"/>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1,757,015</w:t>
            </w: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1,991,830</w:t>
            </w:r>
          </w:p>
        </w:tc>
      </w:tr>
      <w:tr>
        <w:trPr>
          <w:trHeight w:val="216"/>
        </w:trPr>
        <w:tc>
          <w:tcPr>
            <w:tcW w:w="20" w:type="dxa"/>
            <w:vAlign w:val="bottom"/>
          </w:tcPr>
          <w:p>
            <w:pPr>
              <w:spacing w:after="0"/>
              <w:rPr>
                <w:sz w:val="18"/>
                <w:szCs w:val="18"/>
                <w:color w:val="auto"/>
              </w:rPr>
            </w:pPr>
          </w:p>
        </w:tc>
        <w:tc>
          <w:tcPr>
            <w:tcW w:w="9140" w:type="dxa"/>
            <w:vAlign w:val="bottom"/>
          </w:tcPr>
          <w:p>
            <w:pPr>
              <w:ind w:left="420"/>
              <w:spacing w:after="0"/>
              <w:rPr>
                <w:sz w:val="20"/>
                <w:szCs w:val="20"/>
                <w:color w:val="auto"/>
              </w:rPr>
            </w:pPr>
            <w:r>
              <w:rPr>
                <w:rFonts w:ascii="Arial" w:cs="Arial" w:eastAsia="Arial" w:hAnsi="Arial"/>
                <w:sz w:val="18"/>
                <w:szCs w:val="18"/>
                <w:color w:val="auto"/>
              </w:rPr>
              <w:t>Receivables, net</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157,860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152,879</w:t>
            </w: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Inventories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107,158</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107,005</w:t>
            </w:r>
          </w:p>
        </w:tc>
      </w:tr>
      <w:tr>
        <w:trPr>
          <w:trHeight w:val="223"/>
        </w:trPr>
        <w:tc>
          <w:tcPr>
            <w:tcW w:w="20" w:type="dxa"/>
            <w:vAlign w:val="bottom"/>
          </w:tcPr>
          <w:p>
            <w:pPr>
              <w:spacing w:after="0"/>
              <w:rPr>
                <w:sz w:val="19"/>
                <w:szCs w:val="19"/>
                <w:color w:val="auto"/>
              </w:rPr>
            </w:pPr>
          </w:p>
        </w:tc>
        <w:tc>
          <w:tcPr>
            <w:tcW w:w="9140" w:type="dxa"/>
            <w:vAlign w:val="bottom"/>
          </w:tcPr>
          <w:p>
            <w:pPr>
              <w:ind w:left="420"/>
              <w:spacing w:after="0"/>
              <w:rPr>
                <w:sz w:val="20"/>
                <w:szCs w:val="20"/>
                <w:color w:val="auto"/>
              </w:rPr>
            </w:pPr>
            <w:r>
              <w:rPr>
                <w:rFonts w:ascii="Arial" w:cs="Arial" w:eastAsia="Arial" w:hAnsi="Arial"/>
                <w:sz w:val="18"/>
                <w:szCs w:val="18"/>
                <w:color w:val="auto"/>
              </w:rPr>
              <w:t>Prepaid expenses and other</w:t>
            </w: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28,689</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31,242</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2,050,722</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2,282,956</w:t>
            </w:r>
          </w:p>
        </w:tc>
      </w:tr>
      <w:tr>
        <w:trPr>
          <w:trHeight w:val="216"/>
        </w:trPr>
        <w:tc>
          <w:tcPr>
            <w:tcW w:w="20" w:type="dxa"/>
            <w:vAlign w:val="bottom"/>
          </w:tcPr>
          <w:p>
            <w:pPr>
              <w:spacing w:after="0"/>
              <w:rPr>
                <w:sz w:val="18"/>
                <w:szCs w:val="18"/>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5,042,195</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5,062,059</w:t>
            </w: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Intangibles, net</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43,545</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44,659</w:t>
            </w:r>
          </w:p>
        </w:tc>
      </w:tr>
      <w:tr>
        <w:trPr>
          <w:trHeight w:val="216"/>
        </w:trPr>
        <w:tc>
          <w:tcPr>
            <w:tcW w:w="20" w:type="dxa"/>
            <w:vAlign w:val="bottom"/>
          </w:tcPr>
          <w:p>
            <w:pPr>
              <w:spacing w:after="0"/>
              <w:rPr>
                <w:sz w:val="18"/>
                <w:szCs w:val="18"/>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Deferred financing costs</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58,676</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62,227</w:t>
            </w: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Deposits and other assets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91,128</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99,380</w:t>
            </w:r>
          </w:p>
        </w:tc>
      </w:tr>
      <w:tr>
        <w:trPr>
          <w:trHeight w:val="216"/>
        </w:trPr>
        <w:tc>
          <w:tcPr>
            <w:tcW w:w="20" w:type="dxa"/>
            <w:vAlign w:val="bottom"/>
          </w:tcPr>
          <w:p>
            <w:pPr>
              <w:spacing w:after="0"/>
              <w:rPr>
                <w:sz w:val="18"/>
                <w:szCs w:val="18"/>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Investment in unconsolidated affiliates</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3,896</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4,102</w:t>
            </w: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26,386</w:t>
            </w:r>
          </w:p>
        </w:tc>
        <w:tc>
          <w:tcPr>
            <w:tcW w:w="10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9140" w:type="dxa"/>
            <w:vAlign w:val="bottom"/>
          </w:tcPr>
          <w:p>
            <w:pPr>
              <w:ind w:left="860"/>
              <w:spacing w:after="0"/>
              <w:rPr>
                <w:sz w:val="20"/>
                <w:szCs w:val="20"/>
                <w:color w:val="auto"/>
              </w:rPr>
            </w:pPr>
            <w:r>
              <w:rPr>
                <w:rFonts w:ascii="Arial" w:cs="Arial" w:eastAsia="Arial" w:hAnsi="Arial"/>
                <w:sz w:val="18"/>
                <w:szCs w:val="18"/>
                <w:color w:val="auto"/>
              </w:rPr>
              <w:t>Total assets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7,290,162</w:t>
            </w:r>
          </w:p>
        </w:tc>
        <w:tc>
          <w:tcPr>
            <w:tcW w:w="240" w:type="dxa"/>
            <w:vAlign w:val="bottom"/>
          </w:tcPr>
          <w:p>
            <w:pPr>
              <w:spacing w:after="0"/>
              <w:rPr>
                <w:sz w:val="19"/>
                <w:szCs w:val="19"/>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7,581,769</w:t>
            </w:r>
          </w:p>
        </w:tc>
      </w:tr>
      <w:tr>
        <w:trPr>
          <w:trHeight w:val="20"/>
        </w:trPr>
        <w:tc>
          <w:tcPr>
            <w:tcW w:w="20" w:type="dxa"/>
            <w:vAlign w:val="bottom"/>
          </w:tcPr>
          <w:p>
            <w:pPr>
              <w:spacing w:after="0" w:line="20" w:lineRule="exact"/>
              <w:rPr>
                <w:sz w:val="1"/>
                <w:szCs w:val="1"/>
                <w:color w:val="auto"/>
              </w:rPr>
            </w:pPr>
          </w:p>
        </w:tc>
        <w:tc>
          <w:tcPr>
            <w:tcW w:w="9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9140" w:type="dxa"/>
            <w:vAlign w:val="bottom"/>
            <w:shd w:val="clear" w:color="auto" w:fill="CCEEFF"/>
          </w:tcPr>
          <w:p>
            <w:pPr>
              <w:ind w:left="2480"/>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and construction payable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120,385</w:t>
            </w: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135,501</w:t>
            </w:r>
          </w:p>
        </w:tc>
      </w:tr>
      <w:tr>
        <w:trPr>
          <w:trHeight w:val="216"/>
        </w:trPr>
        <w:tc>
          <w:tcPr>
            <w:tcW w:w="20" w:type="dxa"/>
            <w:vAlign w:val="bottom"/>
          </w:tcPr>
          <w:p>
            <w:pPr>
              <w:spacing w:after="0"/>
              <w:rPr>
                <w:sz w:val="18"/>
                <w:szCs w:val="18"/>
                <w:color w:val="auto"/>
              </w:rPr>
            </w:pPr>
          </w:p>
        </w:tc>
        <w:tc>
          <w:tcPr>
            <w:tcW w:w="9140" w:type="dxa"/>
            <w:vAlign w:val="bottom"/>
          </w:tcPr>
          <w:p>
            <w:pPr>
              <w:ind w:left="420"/>
              <w:spacing w:after="0"/>
              <w:rPr>
                <w:sz w:val="20"/>
                <w:szCs w:val="20"/>
                <w:color w:val="auto"/>
              </w:rPr>
            </w:pPr>
            <w:r>
              <w:rPr>
                <w:rFonts w:ascii="Arial" w:cs="Arial" w:eastAsia="Arial" w:hAnsi="Arial"/>
                <w:sz w:val="18"/>
                <w:szCs w:val="18"/>
                <w:color w:val="auto"/>
              </w:rPr>
              <w:t>Current portion of long-term debt</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2,675</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2,675</w:t>
            </w: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taxes payable</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1,222</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1,176</w:t>
            </w:r>
          </w:p>
        </w:tc>
      </w:tr>
      <w:tr>
        <w:trPr>
          <w:trHeight w:val="216"/>
        </w:trPr>
        <w:tc>
          <w:tcPr>
            <w:tcW w:w="20" w:type="dxa"/>
            <w:vAlign w:val="bottom"/>
          </w:tcPr>
          <w:p>
            <w:pPr>
              <w:spacing w:after="0"/>
              <w:rPr>
                <w:sz w:val="18"/>
                <w:szCs w:val="18"/>
                <w:color w:val="auto"/>
              </w:rPr>
            </w:pPr>
          </w:p>
        </w:tc>
        <w:tc>
          <w:tcPr>
            <w:tcW w:w="9140" w:type="dxa"/>
            <w:vAlign w:val="bottom"/>
          </w:tcPr>
          <w:p>
            <w:pPr>
              <w:ind w:left="420"/>
              <w:spacing w:after="0"/>
              <w:rPr>
                <w:sz w:val="20"/>
                <w:szCs w:val="20"/>
                <w:color w:val="auto"/>
              </w:rPr>
            </w:pPr>
            <w:r>
              <w:rPr>
                <w:rFonts w:ascii="Arial" w:cs="Arial" w:eastAsia="Arial" w:hAnsi="Arial"/>
                <w:sz w:val="18"/>
                <w:szCs w:val="18"/>
                <w:color w:val="auto"/>
              </w:rPr>
              <w:t>Accrued interest</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54,887</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17,520</w:t>
            </w: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compensation and benefits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55,853</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69,825</w:t>
            </w:r>
          </w:p>
        </w:tc>
      </w:tr>
      <w:tr>
        <w:trPr>
          <w:trHeight w:val="216"/>
        </w:trPr>
        <w:tc>
          <w:tcPr>
            <w:tcW w:w="20" w:type="dxa"/>
            <w:vAlign w:val="bottom"/>
          </w:tcPr>
          <w:p>
            <w:pPr>
              <w:spacing w:after="0"/>
              <w:rPr>
                <w:sz w:val="18"/>
                <w:szCs w:val="18"/>
                <w:color w:val="auto"/>
              </w:rPr>
            </w:pPr>
          </w:p>
        </w:tc>
        <w:tc>
          <w:tcPr>
            <w:tcW w:w="9140" w:type="dxa"/>
            <w:vAlign w:val="bottom"/>
          </w:tcPr>
          <w:p>
            <w:pPr>
              <w:ind w:left="420"/>
              <w:spacing w:after="0"/>
              <w:rPr>
                <w:sz w:val="20"/>
                <w:szCs w:val="20"/>
                <w:color w:val="auto"/>
              </w:rPr>
            </w:pPr>
            <w:r>
              <w:rPr>
                <w:rFonts w:ascii="Arial" w:cs="Arial" w:eastAsia="Arial" w:hAnsi="Arial"/>
                <w:sz w:val="18"/>
                <w:szCs w:val="18"/>
                <w:color w:val="auto"/>
              </w:rPr>
              <w:t>Gaming taxes payable</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105,620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100,980</w:t>
            </w: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accrued expenses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27,094</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26,751</w:t>
            </w:r>
          </w:p>
        </w:tc>
      </w:tr>
      <w:tr>
        <w:trPr>
          <w:trHeight w:val="216"/>
        </w:trPr>
        <w:tc>
          <w:tcPr>
            <w:tcW w:w="20" w:type="dxa"/>
            <w:vAlign w:val="bottom"/>
          </w:tcPr>
          <w:p>
            <w:pPr>
              <w:spacing w:after="0"/>
              <w:rPr>
                <w:sz w:val="18"/>
                <w:szCs w:val="18"/>
                <w:color w:val="auto"/>
              </w:rPr>
            </w:pPr>
          </w:p>
        </w:tc>
        <w:tc>
          <w:tcPr>
            <w:tcW w:w="9140" w:type="dxa"/>
            <w:vAlign w:val="bottom"/>
          </w:tcPr>
          <w:p>
            <w:pPr>
              <w:ind w:left="420"/>
              <w:spacing w:after="0"/>
              <w:rPr>
                <w:sz w:val="20"/>
                <w:szCs w:val="20"/>
                <w:color w:val="auto"/>
              </w:rPr>
            </w:pPr>
            <w:r>
              <w:rPr>
                <w:rFonts w:ascii="Arial" w:cs="Arial" w:eastAsia="Arial" w:hAnsi="Arial"/>
                <w:sz w:val="18"/>
                <w:szCs w:val="18"/>
                <w:color w:val="auto"/>
              </w:rPr>
              <w:t>Customer deposits</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252,724</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318,755</w:t>
            </w: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Construction retention</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11,107</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9,546</w:t>
            </w:r>
          </w:p>
        </w:tc>
      </w:tr>
      <w:tr>
        <w:trPr>
          <w:trHeight w:val="223"/>
        </w:trPr>
        <w:tc>
          <w:tcPr>
            <w:tcW w:w="20" w:type="dxa"/>
            <w:vAlign w:val="bottom"/>
          </w:tcPr>
          <w:p>
            <w:pPr>
              <w:spacing w:after="0"/>
              <w:rPr>
                <w:sz w:val="19"/>
                <w:szCs w:val="19"/>
                <w:color w:val="auto"/>
              </w:rPr>
            </w:pPr>
          </w:p>
        </w:tc>
        <w:tc>
          <w:tcPr>
            <w:tcW w:w="9140" w:type="dxa"/>
            <w:vAlign w:val="bottom"/>
          </w:tcPr>
          <w:p>
            <w:pPr>
              <w:ind w:left="420"/>
              <w:spacing w:after="0"/>
              <w:rPr>
                <w:sz w:val="20"/>
                <w:szCs w:val="20"/>
                <w:color w:val="auto"/>
              </w:rPr>
            </w:pPr>
            <w:r>
              <w:rPr>
                <w:rFonts w:ascii="Arial" w:cs="Arial" w:eastAsia="Arial" w:hAnsi="Arial"/>
                <w:sz w:val="18"/>
                <w:szCs w:val="18"/>
                <w:color w:val="auto"/>
              </w:rPr>
              <w:t>Deferred income taxes</w:t>
            </w: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2,331</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42,856</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633,898</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725,585</w:t>
            </w:r>
          </w:p>
        </w:tc>
      </w:tr>
      <w:tr>
        <w:trPr>
          <w:trHeight w:val="216"/>
        </w:trPr>
        <w:tc>
          <w:tcPr>
            <w:tcW w:w="20" w:type="dxa"/>
            <w:vAlign w:val="bottom"/>
          </w:tcPr>
          <w:p>
            <w:pPr>
              <w:spacing w:after="0"/>
              <w:rPr>
                <w:sz w:val="18"/>
                <w:szCs w:val="18"/>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Long-term debt</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3,279,055</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3,566,428</w:t>
            </w: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124,312</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120,726</w:t>
            </w:r>
          </w:p>
        </w:tc>
      </w:tr>
      <w:tr>
        <w:trPr>
          <w:trHeight w:val="216"/>
        </w:trPr>
        <w:tc>
          <w:tcPr>
            <w:tcW w:w="20" w:type="dxa"/>
            <w:vAlign w:val="bottom"/>
          </w:tcPr>
          <w:p>
            <w:pPr>
              <w:spacing w:after="0"/>
              <w:rPr>
                <w:sz w:val="18"/>
                <w:szCs w:val="18"/>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Deferred income taxes</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18,612</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Construction retention</w:t>
            </w: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8,657</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8,667</w:t>
            </w:r>
          </w:p>
        </w:tc>
        <w:tc>
          <w:tcPr>
            <w:tcW w:w="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9140" w:type="dxa"/>
            <w:vAlign w:val="bottom"/>
          </w:tcPr>
          <w:p>
            <w:pPr>
              <w:ind w:left="860"/>
              <w:spacing w:after="0"/>
              <w:rPr>
                <w:sz w:val="20"/>
                <w:szCs w:val="20"/>
                <w:color w:val="auto"/>
              </w:rPr>
            </w:pPr>
            <w:r>
              <w:rPr>
                <w:rFonts w:ascii="Arial" w:cs="Arial" w:eastAsia="Arial" w:hAnsi="Arial"/>
                <w:sz w:val="18"/>
                <w:szCs w:val="18"/>
                <w:color w:val="auto"/>
              </w:rPr>
              <w:t>Total liabilities</w:t>
            </w: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4,064,534</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4,421,406</w:t>
            </w: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14)</w:t>
            </w:r>
          </w:p>
        </w:tc>
        <w:tc>
          <w:tcPr>
            <w:tcW w:w="1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Preferred stock, par value $0.01; 40,000,000 shares authorized; zero shares issued and outstanding</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08"/>
        </w:trPr>
        <w:tc>
          <w:tcPr>
            <w:tcW w:w="20" w:type="dxa"/>
            <w:vAlign w:val="bottom"/>
          </w:tcPr>
          <w:p>
            <w:pPr>
              <w:spacing w:after="0"/>
              <w:rPr>
                <w:sz w:val="18"/>
                <w:szCs w:val="18"/>
                <w:color w:val="auto"/>
              </w:rPr>
            </w:pPr>
          </w:p>
        </w:tc>
        <w:tc>
          <w:tcPr>
            <w:tcW w:w="9140" w:type="dxa"/>
            <w:vAlign w:val="bottom"/>
          </w:tcPr>
          <w:p>
            <w:pPr>
              <w:ind w:left="420"/>
              <w:spacing w:after="0"/>
              <w:rPr>
                <w:sz w:val="20"/>
                <w:szCs w:val="20"/>
                <w:color w:val="auto"/>
              </w:rPr>
            </w:pPr>
            <w:r>
              <w:rPr>
                <w:rFonts w:ascii="Arial" w:cs="Arial" w:eastAsia="Arial" w:hAnsi="Arial"/>
                <w:sz w:val="18"/>
                <w:szCs w:val="18"/>
                <w:color w:val="auto"/>
                <w:w w:val="98"/>
              </w:rPr>
              <w:t>Common stock, par value $0.01; 400,000,000 shares authorized; 136,116,327 and 136,098,410 shares issued;</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140" w:type="dxa"/>
            <w:vAlign w:val="bottom"/>
          </w:tcPr>
          <w:p>
            <w:pPr>
              <w:ind w:left="640"/>
              <w:spacing w:after="0"/>
              <w:rPr>
                <w:sz w:val="20"/>
                <w:szCs w:val="20"/>
                <w:color w:val="auto"/>
              </w:rPr>
            </w:pPr>
            <w:r>
              <w:rPr>
                <w:rFonts w:ascii="Arial" w:cs="Arial" w:eastAsia="Arial" w:hAnsi="Arial"/>
                <w:sz w:val="18"/>
                <w:szCs w:val="18"/>
                <w:color w:val="auto"/>
              </w:rPr>
              <w:t>123,311,373 and 123,293,456 shares outstanding</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1,361</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1,361</w:t>
            </w:r>
          </w:p>
        </w:tc>
      </w:tr>
      <w:tr>
        <w:trPr>
          <w:trHeight w:val="217"/>
        </w:trPr>
        <w:tc>
          <w:tcPr>
            <w:tcW w:w="20" w:type="dxa"/>
            <w:vAlign w:val="bottom"/>
          </w:tcPr>
          <w:p>
            <w:pPr>
              <w:spacing w:after="0"/>
              <w:rPr>
                <w:sz w:val="18"/>
                <w:szCs w:val="18"/>
                <w:color w:val="auto"/>
              </w:rPr>
            </w:pPr>
          </w:p>
        </w:tc>
        <w:tc>
          <w:tcPr>
            <w:tcW w:w="9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Treasury stock, at cost; 12,804,954 shares</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(1,119,407)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6"/>
              </w:rPr>
              <w:t>(1,119,407)</w:t>
            </w:r>
          </w:p>
        </w:tc>
      </w:tr>
      <w:tr>
        <w:trPr>
          <w:trHeight w:val="216"/>
        </w:trPr>
        <w:tc>
          <w:tcPr>
            <w:tcW w:w="20" w:type="dxa"/>
            <w:vAlign w:val="bottom"/>
          </w:tcPr>
          <w:p>
            <w:pPr>
              <w:spacing w:after="0"/>
              <w:rPr>
                <w:sz w:val="18"/>
                <w:szCs w:val="18"/>
                <w:color w:val="auto"/>
              </w:rPr>
            </w:pPr>
          </w:p>
        </w:tc>
        <w:tc>
          <w:tcPr>
            <w:tcW w:w="9140" w:type="dxa"/>
            <w:vAlign w:val="bottom"/>
          </w:tcPr>
          <w:p>
            <w:pPr>
              <w:ind w:left="420"/>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4,247,380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4,239,497</w:t>
            </w: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Accumulated other comprehensive income</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1,852</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2,446</w:t>
            </w:r>
          </w:p>
        </w:tc>
      </w:tr>
      <w:tr>
        <w:trPr>
          <w:trHeight w:val="223"/>
        </w:trPr>
        <w:tc>
          <w:tcPr>
            <w:tcW w:w="20" w:type="dxa"/>
            <w:vAlign w:val="bottom"/>
          </w:tcPr>
          <w:p>
            <w:pPr>
              <w:spacing w:after="0"/>
              <w:rPr>
                <w:sz w:val="19"/>
                <w:szCs w:val="19"/>
                <w:color w:val="auto"/>
              </w:rPr>
            </w:pPr>
          </w:p>
        </w:tc>
        <w:tc>
          <w:tcPr>
            <w:tcW w:w="9140" w:type="dxa"/>
            <w:vAlign w:val="bottom"/>
          </w:tcPr>
          <w:p>
            <w:pPr>
              <w:ind w:left="420"/>
              <w:spacing w:after="0"/>
              <w:rPr>
                <w:sz w:val="20"/>
                <w:szCs w:val="20"/>
                <w:color w:val="auto"/>
              </w:rPr>
            </w:pPr>
            <w:r>
              <w:rPr>
                <w:rFonts w:ascii="Arial" w:cs="Arial" w:eastAsia="Arial" w:hAnsi="Arial"/>
                <w:sz w:val="18"/>
                <w:szCs w:val="18"/>
                <w:color w:val="auto"/>
              </w:rPr>
              <w:t>Accumulated deficit</w:t>
            </w:r>
          </w:p>
        </w:tc>
        <w:tc>
          <w:tcPr>
            <w:tcW w:w="10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(62,571)</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(89,559)</w:t>
            </w: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Wynn Resorts, Limited stockholders’ equity</w:t>
            </w:r>
          </w:p>
        </w:tc>
        <w:tc>
          <w:tcPr>
            <w:tcW w:w="1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3,068,615</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3,034,338</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Non-controlling interest</w:t>
            </w: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157,013</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126,025</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equity</w:t>
            </w: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3,225,628</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3,160,363</w:t>
            </w:r>
          </w:p>
        </w:tc>
        <w:tc>
          <w:tcPr>
            <w:tcW w:w="10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9140" w:type="dxa"/>
            <w:vAlign w:val="bottom"/>
          </w:tcPr>
          <w:p>
            <w:pPr>
              <w:ind w:left="860"/>
              <w:spacing w:after="0"/>
              <w:rPr>
                <w:sz w:val="20"/>
                <w:szCs w:val="20"/>
                <w:color w:val="auto"/>
              </w:rPr>
            </w:pPr>
            <w:r>
              <w:rPr>
                <w:rFonts w:ascii="Arial" w:cs="Arial" w:eastAsia="Arial" w:hAnsi="Arial"/>
                <w:sz w:val="18"/>
                <w:szCs w:val="18"/>
                <w:color w:val="auto"/>
              </w:rPr>
              <w:t>Total liabilities and stockholders’ equity</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7,290,162</w:t>
            </w:r>
          </w:p>
        </w:tc>
        <w:tc>
          <w:tcPr>
            <w:tcW w:w="240" w:type="dxa"/>
            <w:vAlign w:val="bottom"/>
          </w:tcPr>
          <w:p>
            <w:pPr>
              <w:spacing w:after="0"/>
              <w:rPr>
                <w:sz w:val="19"/>
                <w:szCs w:val="19"/>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7,581,769</w:t>
            </w:r>
          </w:p>
        </w:tc>
      </w:tr>
      <w:tr>
        <w:trPr>
          <w:trHeight w:val="20"/>
        </w:trPr>
        <w:tc>
          <w:tcPr>
            <w:tcW w:w="20" w:type="dxa"/>
            <w:vAlign w:val="bottom"/>
          </w:tcPr>
          <w:p>
            <w:pPr>
              <w:spacing w:after="0" w:line="20" w:lineRule="exact"/>
              <w:rPr>
                <w:sz w:val="1"/>
                <w:szCs w:val="1"/>
                <w:color w:val="auto"/>
              </w:rPr>
            </w:pPr>
          </w:p>
        </w:tc>
        <w:tc>
          <w:tcPr>
            <w:tcW w:w="9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0"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auto"/>
                <w:w w:val="99"/>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5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rPr>
              <w:t>March 31,</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5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2010</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50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tcPr>
          <w:p>
            <w:pPr>
              <w:ind w:left="420"/>
              <w:spacing w:after="0"/>
              <w:rPr>
                <w:sz w:val="20"/>
                <w:szCs w:val="20"/>
                <w:color w:val="auto"/>
              </w:rPr>
            </w:pPr>
            <w:r>
              <w:rPr>
                <w:rFonts w:ascii="Arial" w:cs="Arial" w:eastAsia="Arial" w:hAnsi="Arial"/>
                <w:sz w:val="18"/>
                <w:szCs w:val="18"/>
                <w:color w:val="auto"/>
              </w:rPr>
              <w:t>Casino</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w w:val="86"/>
              </w:rPr>
              <w:t>691,588</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541,654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Rooms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92,907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98,406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tcPr>
          <w:p>
            <w:pPr>
              <w:ind w:left="420"/>
              <w:spacing w:after="0"/>
              <w:rPr>
                <w:sz w:val="20"/>
                <w:szCs w:val="20"/>
                <w:color w:val="auto"/>
              </w:rPr>
            </w:pPr>
            <w:r>
              <w:rPr>
                <w:rFonts w:ascii="Arial" w:cs="Arial" w:eastAsia="Arial" w:hAnsi="Arial"/>
                <w:sz w:val="18"/>
                <w:szCs w:val="18"/>
                <w:color w:val="auto"/>
              </w:rPr>
              <w:t>Food and beverage</w:t>
            </w: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w w:val="86"/>
              </w:rPr>
              <w:t>111,774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109,591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Entertainment, retail and other</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82,847</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63,132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500" w:type="dxa"/>
            <w:vAlign w:val="bottom"/>
          </w:tcPr>
          <w:p>
            <w:pPr>
              <w:ind w:left="860"/>
              <w:spacing w:after="0"/>
              <w:rPr>
                <w:sz w:val="20"/>
                <w:szCs w:val="20"/>
                <w:color w:val="auto"/>
              </w:rPr>
            </w:pPr>
            <w:r>
              <w:rPr>
                <w:rFonts w:ascii="Arial" w:cs="Arial" w:eastAsia="Arial" w:hAnsi="Arial"/>
                <w:sz w:val="18"/>
                <w:szCs w:val="18"/>
                <w:color w:val="auto"/>
              </w:rPr>
              <w:t>Gross revenues</w:t>
            </w:r>
          </w:p>
        </w:tc>
        <w:tc>
          <w:tcPr>
            <w:tcW w:w="100" w:type="dxa"/>
            <w:vAlign w:val="bottom"/>
          </w:tcPr>
          <w:p>
            <w:pPr>
              <w:spacing w:after="0"/>
              <w:rPr>
                <w:sz w:val="19"/>
                <w:szCs w:val="19"/>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w w:val="86"/>
              </w:rPr>
              <w:t>979,116</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812,783</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Less: promotional allowances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(70,198)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(72,828)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500" w:type="dxa"/>
            <w:vAlign w:val="bottom"/>
          </w:tcPr>
          <w:p>
            <w:pPr>
              <w:ind w:left="860"/>
              <w:spacing w:after="0"/>
              <w:rPr>
                <w:sz w:val="20"/>
                <w:szCs w:val="20"/>
                <w:color w:val="auto"/>
              </w:rPr>
            </w:pPr>
            <w:r>
              <w:rPr>
                <w:rFonts w:ascii="Arial" w:cs="Arial" w:eastAsia="Arial" w:hAnsi="Arial"/>
                <w:sz w:val="18"/>
                <w:szCs w:val="18"/>
                <w:color w:val="auto"/>
              </w:rPr>
              <w:t>Net revenues</w:t>
            </w: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908,918</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739,955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tcPr>
          <w:p>
            <w:pPr>
              <w:ind w:left="420"/>
              <w:spacing w:after="0"/>
              <w:rPr>
                <w:sz w:val="20"/>
                <w:szCs w:val="20"/>
                <w:color w:val="auto"/>
              </w:rPr>
            </w:pPr>
            <w:r>
              <w:rPr>
                <w:rFonts w:ascii="Arial" w:cs="Arial" w:eastAsia="Arial" w:hAnsi="Arial"/>
                <w:sz w:val="18"/>
                <w:szCs w:val="18"/>
                <w:color w:val="auto"/>
              </w:rPr>
              <w:t>Casino</w:t>
            </w: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w w:val="86"/>
              </w:rPr>
              <w:t>448,191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374,017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Rooms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31,143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27,189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tcPr>
          <w:p>
            <w:pPr>
              <w:ind w:left="420"/>
              <w:spacing w:after="0"/>
              <w:rPr>
                <w:sz w:val="20"/>
                <w:szCs w:val="20"/>
                <w:color w:val="auto"/>
              </w:rPr>
            </w:pPr>
            <w:r>
              <w:rPr>
                <w:rFonts w:ascii="Arial" w:cs="Arial" w:eastAsia="Arial" w:hAnsi="Arial"/>
                <w:sz w:val="18"/>
                <w:szCs w:val="18"/>
                <w:color w:val="auto"/>
              </w:rPr>
              <w:t>Food and beverage</w:t>
            </w: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61,836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60,820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Entertainment, retail and other</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50,124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36,021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tcPr>
          <w:p>
            <w:pPr>
              <w:ind w:left="420"/>
              <w:spacing w:after="0"/>
              <w:rPr>
                <w:sz w:val="20"/>
                <w:szCs w:val="20"/>
                <w:color w:val="auto"/>
              </w:rPr>
            </w:pPr>
            <w:r>
              <w:rPr>
                <w:rFonts w:ascii="Arial" w:cs="Arial" w:eastAsia="Arial" w:hAnsi="Arial"/>
                <w:sz w:val="18"/>
                <w:szCs w:val="18"/>
                <w:color w:val="auto"/>
              </w:rPr>
              <w:t>General and administrative</w:t>
            </w: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87,001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92,912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Provision for doubtful accounts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7,018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tcPr>
          <w:p>
            <w:pPr>
              <w:ind w:left="420"/>
              <w:spacing w:after="0"/>
              <w:rPr>
                <w:sz w:val="20"/>
                <w:szCs w:val="20"/>
                <w:color w:val="auto"/>
              </w:rPr>
            </w:pPr>
            <w:r>
              <w:rPr>
                <w:rFonts w:ascii="Arial" w:cs="Arial" w:eastAsia="Arial" w:hAnsi="Arial"/>
                <w:sz w:val="18"/>
                <w:szCs w:val="18"/>
                <w:color w:val="auto"/>
              </w:rPr>
              <w:t>Pre-opening costs</w:t>
            </w: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2,311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6"/>
              </w:rPr>
              <w:t>104,565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101,468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500" w:type="dxa"/>
            <w:vAlign w:val="bottom"/>
          </w:tcPr>
          <w:p>
            <w:pPr>
              <w:ind w:left="420"/>
              <w:spacing w:after="0"/>
              <w:rPr>
                <w:sz w:val="20"/>
                <w:szCs w:val="20"/>
                <w:color w:val="auto"/>
              </w:rPr>
            </w:pPr>
            <w:r>
              <w:rPr>
                <w:rFonts w:ascii="Arial" w:cs="Arial" w:eastAsia="Arial" w:hAnsi="Arial"/>
                <w:sz w:val="18"/>
                <w:szCs w:val="18"/>
                <w:color w:val="auto"/>
              </w:rPr>
              <w:t>Property charges and other</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1,881</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operating costs and expenses</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794,070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712,806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52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100" w:type="dxa"/>
            <w:vAlign w:val="bottom"/>
          </w:tcPr>
          <w:p>
            <w:pPr>
              <w:spacing w:after="0"/>
              <w:rPr>
                <w:sz w:val="20"/>
                <w:szCs w:val="20"/>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w w:val="86"/>
              </w:rPr>
              <w:t>114,848</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27,149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tcPr>
          <w:p>
            <w:pPr>
              <w:ind w:left="420"/>
              <w:spacing w:after="0"/>
              <w:rPr>
                <w:sz w:val="20"/>
                <w:szCs w:val="20"/>
                <w:color w:val="auto"/>
              </w:rPr>
            </w:pPr>
            <w:r>
              <w:rPr>
                <w:rFonts w:ascii="Arial" w:cs="Arial" w:eastAsia="Arial" w:hAnsi="Arial"/>
                <w:sz w:val="18"/>
                <w:szCs w:val="18"/>
                <w:color w:val="auto"/>
              </w:rPr>
              <w:t>Interest income</w:t>
            </w: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288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expense, net of capitalized interest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(49,261)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(57,032)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tcPr>
          <w:p>
            <w:pPr>
              <w:ind w:left="420"/>
              <w:spacing w:after="0"/>
              <w:rPr>
                <w:sz w:val="20"/>
                <w:szCs w:val="20"/>
                <w:color w:val="auto"/>
              </w:rPr>
            </w:pPr>
            <w:r>
              <w:rPr>
                <w:rFonts w:ascii="Arial" w:cs="Arial" w:eastAsia="Arial" w:hAnsi="Arial"/>
                <w:sz w:val="18"/>
                <w:szCs w:val="18"/>
                <w:color w:val="auto"/>
              </w:rPr>
              <w:t>Increase (decrease) in swap fair value</w:t>
            </w:r>
          </w:p>
        </w:tc>
        <w:tc>
          <w:tcPr>
            <w:tcW w:w="1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(3,602)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1,095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Gain on extinguishment of debt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tcPr>
          <w:p>
            <w:pPr>
              <w:ind w:left="420"/>
              <w:spacing w:after="0"/>
              <w:rPr>
                <w:sz w:val="20"/>
                <w:szCs w:val="20"/>
                <w:color w:val="auto"/>
              </w:rPr>
            </w:pPr>
            <w:r>
              <w:rPr>
                <w:rFonts w:ascii="Arial" w:cs="Arial" w:eastAsia="Arial" w:hAnsi="Arial"/>
                <w:sz w:val="18"/>
                <w:szCs w:val="18"/>
                <w:color w:val="auto"/>
              </w:rPr>
              <w:t>Equity in income (loss) from unconsolidated affiliates</w:t>
            </w: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391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500" w:type="dxa"/>
            <w:vAlign w:val="bottom"/>
            <w:vMerge w:val="restart"/>
          </w:tcPr>
          <w:p>
            <w:pPr>
              <w:ind w:left="860"/>
              <w:spacing w:after="0"/>
              <w:rPr>
                <w:sz w:val="20"/>
                <w:szCs w:val="20"/>
                <w:color w:val="auto"/>
              </w:rPr>
            </w:pPr>
            <w:r>
              <w:rPr>
                <w:rFonts w:ascii="Arial" w:cs="Arial" w:eastAsia="Arial" w:hAnsi="Arial"/>
                <w:sz w:val="18"/>
                <w:szCs w:val="18"/>
                <w:color w:val="auto"/>
              </w:rPr>
              <w:t>Other income (expense), net</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95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(51,920)</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(45,069)</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9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0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62,928</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(17,920)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tcPr>
          <w:p>
            <w:pPr>
              <w:ind w:left="420"/>
              <w:spacing w:after="0"/>
              <w:rPr>
                <w:sz w:val="20"/>
                <w:szCs w:val="20"/>
                <w:color w:val="auto"/>
              </w:rPr>
            </w:pPr>
            <w:r>
              <w:rPr>
                <w:rFonts w:ascii="Arial" w:cs="Arial" w:eastAsia="Arial" w:hAnsi="Arial"/>
                <w:sz w:val="18"/>
                <w:szCs w:val="18"/>
                <w:color w:val="auto"/>
              </w:rPr>
              <w:t>Provision for income taxes</w:t>
            </w:r>
          </w:p>
        </w:tc>
        <w:tc>
          <w:tcPr>
            <w:tcW w:w="1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(5,069)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(15,894)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57,859</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(33,814)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tcPr>
          <w:p>
            <w:pPr>
              <w:ind w:left="420"/>
              <w:spacing w:after="0"/>
              <w:rPr>
                <w:sz w:val="20"/>
                <w:szCs w:val="20"/>
                <w:color w:val="auto"/>
              </w:rPr>
            </w:pPr>
            <w:r>
              <w:rPr>
                <w:rFonts w:ascii="Arial" w:cs="Arial" w:eastAsia="Arial" w:hAnsi="Arial"/>
                <w:sz w:val="18"/>
                <w:szCs w:val="18"/>
                <w:color w:val="auto"/>
              </w:rPr>
              <w:t>Less: Net income attributable to non-controlling interests</w:t>
            </w:r>
          </w:p>
        </w:tc>
        <w:tc>
          <w:tcPr>
            <w:tcW w:w="1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(30,871)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attributable to Wynn Resorts, Limited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26,988</w:t>
            </w: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(33,814)</w:t>
            </w:r>
          </w:p>
        </w:tc>
        <w:tc>
          <w:tcPr>
            <w:tcW w:w="0" w:type="dxa"/>
            <w:vAlign w:val="bottom"/>
          </w:tcPr>
          <w:p>
            <w:pPr>
              <w:spacing w:after="0"/>
              <w:rPr>
                <w:sz w:val="1"/>
                <w:szCs w:val="1"/>
                <w:color w:val="auto"/>
              </w:rPr>
            </w:pPr>
          </w:p>
        </w:tc>
      </w:tr>
      <w:tr>
        <w:trPr>
          <w:trHeight w:val="20"/>
        </w:trPr>
        <w:tc>
          <w:tcPr>
            <w:tcW w:w="9520" w:type="dxa"/>
            <w:vAlign w:val="bottom"/>
            <w:gridSpan w:val="2"/>
            <w:vMerge w:val="restart"/>
          </w:tcPr>
          <w:p>
            <w:pPr>
              <w:spacing w:after="0"/>
              <w:rPr>
                <w:sz w:val="20"/>
                <w:szCs w:val="20"/>
                <w:color w:val="auto"/>
              </w:rPr>
            </w:pPr>
            <w:r>
              <w:rPr>
                <w:rFonts w:ascii="Arial" w:cs="Arial" w:eastAsia="Arial" w:hAnsi="Arial"/>
                <w:sz w:val="18"/>
                <w:szCs w:val="18"/>
                <w:color w:val="auto"/>
              </w:rPr>
              <w:t>Basic and diluted income (loss) per common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5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income (loss) attributable to Wynn Resorts, Limited:</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tcPr>
          <w:p>
            <w:pPr>
              <w:ind w:left="860"/>
              <w:spacing w:after="0"/>
              <w:rPr>
                <w:sz w:val="20"/>
                <w:szCs w:val="20"/>
                <w:color w:val="auto"/>
              </w:rPr>
            </w:pPr>
            <w:r>
              <w:rPr>
                <w:rFonts w:ascii="Arial" w:cs="Arial" w:eastAsia="Arial" w:hAnsi="Arial"/>
                <w:sz w:val="18"/>
                <w:szCs w:val="18"/>
                <w:color w:val="auto"/>
              </w:rPr>
              <w:t>Basic</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0.22</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(0.30)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0.22</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tcPr>
          <w:p>
            <w:pPr>
              <w:ind w:left="420"/>
              <w:spacing w:after="0"/>
              <w:rPr>
                <w:sz w:val="20"/>
                <w:szCs w:val="20"/>
                <w:color w:val="auto"/>
              </w:rPr>
            </w:pPr>
            <w:r>
              <w:rPr>
                <w:rFonts w:ascii="Arial" w:cs="Arial" w:eastAsia="Arial" w:hAnsi="Arial"/>
                <w:sz w:val="18"/>
                <w:szCs w:val="18"/>
                <w:color w:val="auto"/>
              </w:rPr>
              <w:t>Weighted average common shares outstanding:</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6"/>
              </w:rPr>
              <w:t>122,411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112,568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500" w:type="dxa"/>
            <w:vAlign w:val="bottom"/>
          </w:tcPr>
          <w:p>
            <w:pPr>
              <w:ind w:left="860"/>
              <w:spacing w:after="0"/>
              <w:rPr>
                <w:sz w:val="20"/>
                <w:szCs w:val="20"/>
                <w:color w:val="auto"/>
              </w:rPr>
            </w:pPr>
            <w:r>
              <w:rPr>
                <w:rFonts w:ascii="Arial" w:cs="Arial" w:eastAsia="Arial" w:hAnsi="Arial"/>
                <w:sz w:val="18"/>
                <w:szCs w:val="18"/>
                <w:color w:val="auto"/>
              </w:rPr>
              <w:t>Diluted</w:t>
            </w:r>
          </w:p>
        </w:tc>
        <w:tc>
          <w:tcPr>
            <w:tcW w:w="100" w:type="dxa"/>
            <w:vAlign w:val="bottom"/>
          </w:tcPr>
          <w:p>
            <w:pPr>
              <w:spacing w:after="0"/>
              <w:rPr>
                <w:sz w:val="19"/>
                <w:szCs w:val="19"/>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w w:val="86"/>
              </w:rPr>
              <w:t>122,982</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112,568</w:t>
            </w:r>
          </w:p>
        </w:tc>
        <w:tc>
          <w:tcPr>
            <w:tcW w:w="0" w:type="dxa"/>
            <w:vAlign w:val="bottom"/>
          </w:tcPr>
          <w:p>
            <w:pPr>
              <w:spacing w:after="0"/>
              <w:rPr>
                <w:sz w:val="1"/>
                <w:szCs w:val="1"/>
                <w:color w:val="auto"/>
              </w:rPr>
            </w:pPr>
          </w:p>
        </w:tc>
      </w:tr>
    </w:tbl>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0"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6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rPr>
              <w:t>March 31,</w:t>
            </w:r>
          </w:p>
        </w:tc>
        <w:tc>
          <w:tcPr>
            <w:tcW w:w="7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6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2010</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2009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spacing w:after="0"/>
              <w:rPr>
                <w:sz w:val="20"/>
                <w:szCs w:val="20"/>
                <w:color w:val="auto"/>
              </w:rPr>
            </w:pPr>
            <w:r>
              <w:rPr>
                <w:rFonts w:ascii="Arial" w:cs="Arial" w:eastAsia="Arial" w:hAnsi="Arial"/>
                <w:sz w:val="18"/>
                <w:szCs w:val="18"/>
                <w:color w:val="auto"/>
              </w:rPr>
              <w:t>Net income (loss)</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57,859</w:t>
            </w:r>
          </w:p>
        </w:tc>
        <w:tc>
          <w:tcPr>
            <w:tcW w:w="26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(33,814)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(loss) to net cash provided by operating activities:</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104,565</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101,468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income taxes</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4,795</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15,831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ind w:left="420"/>
              <w:spacing w:after="0"/>
              <w:rPr>
                <w:sz w:val="20"/>
                <w:szCs w:val="20"/>
                <w:color w:val="auto"/>
              </w:rPr>
            </w:pPr>
            <w:r>
              <w:rPr>
                <w:rFonts w:ascii="Arial" w:cs="Arial" w:eastAsia="Arial" w:hAnsi="Arial"/>
                <w:sz w:val="18"/>
                <w:szCs w:val="18"/>
                <w:color w:val="auto"/>
              </w:rPr>
              <w:t>Stock-based compensation</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6,927</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5,429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Excess tax benefits from stock-based compensation</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(38,616)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ind w:left="420"/>
              <w:spacing w:after="0"/>
              <w:rPr>
                <w:sz w:val="20"/>
                <w:szCs w:val="20"/>
                <w:color w:val="auto"/>
              </w:rPr>
            </w:pPr>
            <w:r>
              <w:rPr>
                <w:rFonts w:ascii="Arial" w:cs="Arial" w:eastAsia="Arial" w:hAnsi="Arial"/>
                <w:sz w:val="18"/>
                <w:szCs w:val="18"/>
                <w:color w:val="auto"/>
              </w:rPr>
              <w:t>Amortization and write-offs of deferred financing costs, and other</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5,709</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8,153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Gain on extinguishment of debt</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(10,635)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ind w:left="420"/>
              <w:spacing w:after="0"/>
              <w:rPr>
                <w:sz w:val="20"/>
                <w:szCs w:val="20"/>
                <w:color w:val="auto"/>
              </w:rPr>
            </w:pPr>
            <w:r>
              <w:rPr>
                <w:rFonts w:ascii="Arial" w:cs="Arial" w:eastAsia="Arial" w:hAnsi="Arial"/>
                <w:sz w:val="18"/>
                <w:szCs w:val="18"/>
                <w:color w:val="auto"/>
              </w:rPr>
              <w:t>Provision for doubtful accounts</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7,018</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3,894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Property charges and other</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1,881</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16,485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ind w:left="420"/>
              <w:spacing w:after="0"/>
              <w:rPr>
                <w:sz w:val="20"/>
                <w:szCs w:val="20"/>
                <w:color w:val="auto"/>
              </w:rPr>
            </w:pPr>
            <w:r>
              <w:rPr>
                <w:rFonts w:ascii="Arial" w:cs="Arial" w:eastAsia="Arial" w:hAnsi="Arial"/>
                <w:sz w:val="18"/>
                <w:szCs w:val="18"/>
                <w:color w:val="auto"/>
              </w:rPr>
              <w:t>Equity in income of unconsolidated affiliates, net of distributions</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206</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631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(Increase) decrease in swap fair value</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3,602</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ind w:left="420"/>
              <w:spacing w:after="0"/>
              <w:rPr>
                <w:sz w:val="20"/>
                <w:szCs w:val="20"/>
                <w:color w:val="auto"/>
              </w:rPr>
            </w:pPr>
            <w:r>
              <w:rPr>
                <w:rFonts w:ascii="Arial" w:cs="Arial" w:eastAsia="Arial" w:hAnsi="Arial"/>
                <w:sz w:val="18"/>
                <w:szCs w:val="18"/>
                <w:color w:val="auto"/>
              </w:rPr>
              <w:t>Increase (decrease) in cash from changes in:</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Receivables, net</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(12,048)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ind w:left="860"/>
              <w:spacing w:after="0"/>
              <w:rPr>
                <w:sz w:val="20"/>
                <w:szCs w:val="20"/>
                <w:color w:val="auto"/>
              </w:rPr>
            </w:pPr>
            <w:r>
              <w:rPr>
                <w:rFonts w:ascii="Arial" w:cs="Arial" w:eastAsia="Arial" w:hAnsi="Arial"/>
                <w:sz w:val="18"/>
                <w:szCs w:val="18"/>
                <w:color w:val="auto"/>
              </w:rPr>
              <w:t>Inventories and prepaid expenses and other</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1,842</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3,883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Accounts payable and accrued expenses</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(40,942)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(10,214)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60" w:type="dxa"/>
            <w:vAlign w:val="bottom"/>
          </w:tcPr>
          <w:p>
            <w:pPr>
              <w:ind w:left="1280"/>
              <w:spacing w:after="0"/>
              <w:rPr>
                <w:sz w:val="20"/>
                <w:szCs w:val="20"/>
                <w:color w:val="auto"/>
              </w:rPr>
            </w:pPr>
            <w:r>
              <w:rPr>
                <w:rFonts w:ascii="Arial" w:cs="Arial" w:eastAsia="Arial" w:hAnsi="Arial"/>
                <w:sz w:val="18"/>
                <w:szCs w:val="18"/>
                <w:color w:val="auto"/>
              </w:rPr>
              <w:t>Net cash provided by operating activities</w:t>
            </w:r>
          </w:p>
        </w:tc>
        <w:tc>
          <w:tcPr>
            <w:tcW w:w="15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141,096</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60,721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ind w:left="420"/>
              <w:spacing w:after="0"/>
              <w:rPr>
                <w:sz w:val="20"/>
                <w:szCs w:val="20"/>
                <w:color w:val="auto"/>
              </w:rPr>
            </w:pPr>
            <w:r>
              <w:rPr>
                <w:rFonts w:ascii="Arial" w:cs="Arial" w:eastAsia="Arial" w:hAnsi="Arial"/>
                <w:sz w:val="18"/>
                <w:szCs w:val="18"/>
                <w:color w:val="auto"/>
              </w:rPr>
              <w:t>Capital expenditures, net of construction payables and retention</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(89,259)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(183,715)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Deposits and purchase of other assets</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(4,227)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60" w:type="dxa"/>
            <w:vAlign w:val="bottom"/>
          </w:tcPr>
          <w:p>
            <w:pPr>
              <w:ind w:left="420"/>
              <w:spacing w:after="0"/>
              <w:rPr>
                <w:sz w:val="20"/>
                <w:szCs w:val="20"/>
                <w:color w:val="auto"/>
              </w:rPr>
            </w:pPr>
            <w:r>
              <w:rPr>
                <w:rFonts w:ascii="Arial" w:cs="Arial" w:eastAsia="Arial" w:hAnsi="Arial"/>
                <w:sz w:val="18"/>
                <w:szCs w:val="18"/>
                <w:color w:val="auto"/>
              </w:rPr>
              <w:t>Proceeds from sale of equipment</w:t>
            </w:r>
          </w:p>
        </w:tc>
        <w:tc>
          <w:tcPr>
            <w:tcW w:w="15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used in investing activities</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(89,457)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(187,764)</w:t>
            </w:r>
          </w:p>
        </w:tc>
        <w:tc>
          <w:tcPr>
            <w:tcW w:w="0" w:type="dxa"/>
            <w:vAlign w:val="bottom"/>
          </w:tcPr>
          <w:p>
            <w:pPr>
              <w:spacing w:after="0"/>
              <w:rPr>
                <w:sz w:val="1"/>
                <w:szCs w:val="1"/>
                <w:color w:val="auto"/>
              </w:rPr>
            </w:pPr>
          </w:p>
        </w:tc>
      </w:tr>
      <w:tr>
        <w:trPr>
          <w:trHeight w:val="222"/>
        </w:trPr>
        <w:tc>
          <w:tcPr>
            <w:tcW w:w="768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15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exercise of stock options</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822</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ind w:left="420"/>
              <w:spacing w:after="0"/>
              <w:rPr>
                <w:sz w:val="20"/>
                <w:szCs w:val="20"/>
                <w:color w:val="auto"/>
              </w:rPr>
            </w:pPr>
            <w:r>
              <w:rPr>
                <w:rFonts w:ascii="Arial" w:cs="Arial" w:eastAsia="Arial" w:hAnsi="Arial"/>
                <w:sz w:val="18"/>
                <w:szCs w:val="18"/>
                <w:color w:val="auto"/>
              </w:rPr>
              <w:t>Excess tax benefits from stock-based compensation</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318</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38,616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issuance of common stock</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202,145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ind w:left="420"/>
              <w:spacing w:after="0"/>
              <w:rPr>
                <w:sz w:val="20"/>
                <w:szCs w:val="20"/>
                <w:color w:val="auto"/>
              </w:rPr>
            </w:pPr>
            <w:r>
              <w:rPr>
                <w:rFonts w:ascii="Arial" w:cs="Arial" w:eastAsia="Arial" w:hAnsi="Arial"/>
                <w:sz w:val="18"/>
                <w:szCs w:val="18"/>
                <w:color w:val="auto"/>
              </w:rPr>
              <w:t>Proceeds from issuance of long-term debt</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552,248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Principal payments on long-term debt</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(286,866)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(50,902)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ind w:left="420"/>
              <w:spacing w:after="0"/>
              <w:rPr>
                <w:sz w:val="20"/>
                <w:szCs w:val="20"/>
                <w:color w:val="auto"/>
              </w:rPr>
            </w:pPr>
            <w:r>
              <w:rPr>
                <w:rFonts w:ascii="Arial" w:cs="Arial" w:eastAsia="Arial" w:hAnsi="Arial"/>
                <w:sz w:val="18"/>
                <w:szCs w:val="18"/>
                <w:color w:val="auto"/>
              </w:rPr>
              <w:t>Repurchase of Wynn Las Vegas First Mortgage Notes</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(27,423)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Payments on long-term land concession obligation</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60" w:type="dxa"/>
            <w:vAlign w:val="bottom"/>
            <w:vMerge w:val="restart"/>
          </w:tcPr>
          <w:p>
            <w:pPr>
              <w:ind w:left="1280"/>
              <w:spacing w:after="0"/>
              <w:rPr>
                <w:sz w:val="20"/>
                <w:szCs w:val="20"/>
                <w:color w:val="auto"/>
              </w:rPr>
            </w:pPr>
            <w:r>
              <w:rPr>
                <w:rFonts w:ascii="Arial" w:cs="Arial" w:eastAsia="Arial" w:hAnsi="Arial"/>
                <w:sz w:val="18"/>
                <w:szCs w:val="18"/>
                <w:color w:val="auto"/>
              </w:rPr>
              <w:t>Net cash provided by (used in) financing activities</w:t>
            </w:r>
          </w:p>
        </w:tc>
        <w:tc>
          <w:tcPr>
            <w:tcW w:w="1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7660" w:type="dxa"/>
            <w:vAlign w:val="bottom"/>
            <w:vMerge w:val="continue"/>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(285,726)</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711,716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76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on cash</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(728)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68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15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Increase (decrease) in cash and cash equivalents</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(234,815)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584,818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60" w:type="dxa"/>
            <w:vAlign w:val="bottom"/>
          </w:tcPr>
          <w:p>
            <w:pPr>
              <w:ind w:left="420"/>
              <w:spacing w:after="0"/>
              <w:rPr>
                <w:sz w:val="20"/>
                <w:szCs w:val="20"/>
                <w:color w:val="auto"/>
              </w:rPr>
            </w:pPr>
            <w:r>
              <w:rPr>
                <w:rFonts w:ascii="Arial" w:cs="Arial" w:eastAsia="Arial" w:hAnsi="Arial"/>
                <w:sz w:val="18"/>
                <w:szCs w:val="18"/>
                <w:color w:val="auto"/>
              </w:rPr>
              <w:t>Balance, beginning of period</w:t>
            </w:r>
          </w:p>
        </w:tc>
        <w:tc>
          <w:tcPr>
            <w:tcW w:w="15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1,991,830</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1,133,904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Balance, end of period</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1,757,015</w:t>
            </w:r>
          </w:p>
        </w:tc>
        <w:tc>
          <w:tcPr>
            <w:tcW w:w="2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1,718,722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0" w:lineRule="exact"/>
        <w:rPr>
          <w:sz w:val="20"/>
          <w:szCs w:val="20"/>
          <w:color w:val="auto"/>
        </w:rPr>
      </w:pPr>
    </w:p>
    <w:p>
      <w:pPr>
        <w:ind w:left="284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Basis of Presentation</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Organization</w:t>
      </w:r>
    </w:p>
    <w:p>
      <w:pPr>
        <w:spacing w:after="0" w:line="9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Wynn Resorts, Limited, a Nevada corporation (together with its subsidiaries, “Wynn Resorts” or the “Company”), was formed in June 2002 and completed an initial public offering of its common stock on October 25, 2002.</w:t>
      </w:r>
    </w:p>
    <w:p>
      <w:pPr>
        <w:spacing w:after="0" w:line="132"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In June 2002, the Company’s indirect subsidiary, Wynn Resorts (Macau), S.A. (“Wynn Macau, S.A.”), entered into an agreement with the government of the Macau Special Administrative Region of the People’s Republic of China (“Macau”), granting Wynn Macau, S.A. the right to construct and operate one or more casino gaming properties in Macau. Wynn Macau, S.A.’s first casino resort in Macau is hereinafter referred to as “Wynn Macau”.</w:t>
      </w:r>
    </w:p>
    <w:p>
      <w:pPr>
        <w:spacing w:after="0" w:line="107" w:lineRule="exact"/>
        <w:rPr>
          <w:sz w:val="20"/>
          <w:szCs w:val="20"/>
          <w:color w:val="auto"/>
        </w:rPr>
      </w:pPr>
    </w:p>
    <w:p>
      <w:pPr>
        <w:jc w:val="both"/>
        <w:ind w:right="400" w:firstLine="456"/>
        <w:spacing w:after="0" w:line="335" w:lineRule="auto"/>
        <w:rPr>
          <w:sz w:val="20"/>
          <w:szCs w:val="20"/>
          <w:color w:val="auto"/>
        </w:rPr>
      </w:pPr>
      <w:r>
        <w:rPr>
          <w:rFonts w:ascii="Arial" w:cs="Arial" w:eastAsia="Arial" w:hAnsi="Arial"/>
          <w:sz w:val="15"/>
          <w:szCs w:val="15"/>
          <w:color w:val="auto"/>
        </w:rPr>
        <w:t>The Company currently owns and operates casino hotel resort properties in Las Vegas, Nevada and Macau. In Las Vegas, Nevada, the Company owns Wynn Las Vegas, which opened on April 28, 2005 and was expanded with the opening of Encore at Wynn Las Vegas on December 22, 2008. In Macau, the Company owns Wynn Macau, which opened on September 6, 2006 and was expanded with the opening of Encore at Wynn Macau on April 21, 2010.</w:t>
      </w:r>
    </w:p>
    <w:p>
      <w:pPr>
        <w:spacing w:after="0" w:line="88"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In October 2009, Wynn Macau, Limited, a newly formed and indirect wholly-owned subsidiary of the Company and the developer, owner and operator of Wynn Macau, had its ordinary shares of common stock listed on The Stock Exchange of Hong Kong Limited. Through an initial public offering, including the over allotment, Wynn Macau, Limited sold 1,437,500,000 shares (27.7%) of this subsidiary’s common stock.</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Basis of Presentation</w:t>
      </w:r>
    </w:p>
    <w:p>
      <w:pPr>
        <w:spacing w:after="0" w:line="90"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The accompanying condensed consolidated financial statements include the accounts of the Company and its majority-owned subsidiaries. Investments in the 50%-owned joint ventures operating the Ferrari and Maserati automobile dealership and the Brioni mens’ retail clothing store inside Wynn Las Vegas are accounted for under the equity method. All significant intercompany accounts and transactions have been eliminated.</w:t>
      </w:r>
    </w:p>
    <w:p>
      <w:pPr>
        <w:spacing w:after="0" w:line="107"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The accompanying condensed consolidated financial statements have been prepared by the Company pursuant to the rules and regulations of the Securities and Exchange Commission (“SEC”). Certain information and footnote disclosures normally included in financial statements prepared in accordance with accounting principles generally accepted in the United States of America have been condensed or omitted pursuant to such rules and regulations, although the Company believes that the disclosures herein are adequate to make the information presented not misleading. In the opinion of management, all adjustments (which include only normal recurring adjustments) necessary for a fair presentation of the results for the interim periods have been made. The results for the three months ended March 31, 2010 are not necessarily indicative of results to be expected for the full fiscal year. These condensed consolidated financial statements should be read in conjunction with the consolidated financial statements and notes thereto in the Company’s Annual Report on Form 10-K for the year ended December 31, 2009.</w:t>
      </w:r>
    </w:p>
    <w:p>
      <w:pPr>
        <w:spacing w:after="0" w:line="193" w:lineRule="exact"/>
        <w:rPr>
          <w:sz w:val="20"/>
          <w:szCs w:val="20"/>
          <w:color w:val="auto"/>
        </w:rPr>
      </w:pPr>
    </w:p>
    <w:p>
      <w:pPr>
        <w:ind w:left="240" w:right="7920" w:hanging="232"/>
        <w:spacing w:after="0" w:line="347" w:lineRule="auto"/>
        <w:tabs>
          <w:tab w:leader="none" w:pos="187"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i w:val="1"/>
          <w:iCs w:val="1"/>
          <w:color w:val="auto"/>
        </w:rPr>
        <w:t>Cash and Cash Equivalents</w:t>
      </w:r>
    </w:p>
    <w:p>
      <w:pPr>
        <w:spacing w:after="0" w:line="2"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Cash and cash equivalents are comprised of highly liquid investments with purchase maturities of three months or less. Cash equivalents are carried at cost, which approximates fair value. Cash and cash equivalents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459" w:right="2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total $1.76 billion and $1.99 billion at March 31, 2010 and December 31, 2009, respectively of which $1.2 billion and $1.4 billion at March 31, 2010 and December 31, 2009, respectively, were invested in money market accounts, U.S. treasuries and time deposits. The Company utilized Level 1 inputs as described in Note 9 to determine fair value.</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Accounts Receivable and Credit Risk</w:t>
      </w:r>
    </w:p>
    <w:p>
      <w:pPr>
        <w:spacing w:after="0" w:line="9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Financial instruments that potentially subject the Company to concentrations of credit risk consist principally of casino accounts receivable. The Company issues credit in the form of “markers” to approved casino customers following investigations of creditworthiness. At March 31, 2010 and December 31, 2009, approximately 79% and 76%, respectively, of the Company’s markers were due from customers residing outside the United States, primarily in Asia. Business or economic conditions or other significant events in these countries could affect the collectibility of such receivables.</w:t>
      </w:r>
    </w:p>
    <w:p>
      <w:pPr>
        <w:spacing w:after="0" w:line="11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Accounts receivable, including casino and hotel receivables, are typically non-interest bearing and are initially recorded at cost. Accounts are written off when management deems them to be uncollectible. Recoveries of accounts previously written off are recorded when received. An allowance for doubtful accounts is maintained to reduce the Company’s receivables to their estimated carrying amount, which approximates fair value. The allowance is estimated based on specific review of customer accounts as well as management’s experience with collection trends in the casino industry and current economic and business conditions.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Inventories</w:t>
      </w:r>
    </w:p>
    <w:p>
      <w:pPr>
        <w:spacing w:after="0" w:line="90"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Inventories consist of retail, food and beverage items, which are stated at the lower of cost or market value, and certain operating supplies. Cost is determined by the first-in, first-out, average and specific identification methods.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 Recognition and Promotional Allowances</w:t>
      </w:r>
    </w:p>
    <w:p>
      <w:pPr>
        <w:spacing w:after="0" w:line="9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Casino revenues are measured by the aggregate net difference between gaming wins and losses, with liabilities recognized for funds deposited by customers before gaming play occurs and for chips in the customers’ possession. Hotel, food and beverage, entertainment and other operating revenues are recognized when services are performed. Advance deposits on rooms and advance ticket sales are recorded as deferred revenues until services are provided to the customer.</w:t>
      </w:r>
    </w:p>
    <w:p>
      <w:pPr>
        <w:spacing w:after="0" w:line="143"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Revenues are recognized net of certain sales incentives which are required to be recorded as a reduction of revenue; consequently, the Company’s casino revenues are reduced by discounts, commissions and points earned in customer loyalty programs, such as the player’s club loyalty program.</w:t>
      </w:r>
    </w:p>
    <w:p>
      <w:pPr>
        <w:spacing w:after="0" w:line="85"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retail value of accommodations, food and beverage, and other services furnished to guests without charge is included in gross revenue and then deducted as promotional allowances. The estimated cost of providing such promotional allowances is primarily included in casino expenses as follows (amounts in thousands):</w:t>
      </w:r>
    </w:p>
    <w:p>
      <w:pPr>
        <w:spacing w:after="0" w:line="16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68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1700" w:type="dxa"/>
            <w:vAlign w:val="bottom"/>
            <w:gridSpan w:val="4"/>
          </w:tcPr>
          <w:p>
            <w:pPr>
              <w:jc w:val="right"/>
              <w:ind w:right="24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61"/>
        </w:trPr>
        <w:tc>
          <w:tcPr>
            <w:tcW w:w="368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170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42"/>
        </w:trPr>
        <w:tc>
          <w:tcPr>
            <w:tcW w:w="368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620" w:type="dxa"/>
            <w:vAlign w:val="bottom"/>
            <w:tcBorders>
              <w:top w:val="single" w:sz="8" w:color="auto"/>
              <w:bottom w:val="single" w:sz="8" w:color="auto"/>
            </w:tcBorders>
          </w:tcPr>
          <w:p>
            <w:pPr>
              <w:jc w:val="right"/>
              <w:ind w:right="107"/>
              <w:spacing w:after="0" w:line="142" w:lineRule="exact"/>
              <w:rPr>
                <w:sz w:val="20"/>
                <w:szCs w:val="20"/>
                <w:color w:val="auto"/>
              </w:rPr>
            </w:pPr>
            <w:r>
              <w:rPr>
                <w:rFonts w:ascii="Arial" w:cs="Arial" w:eastAsia="Arial" w:hAnsi="Arial"/>
                <w:sz w:val="14"/>
                <w:szCs w:val="14"/>
                <w:b w:val="1"/>
                <w:bCs w:val="1"/>
                <w:color w:val="auto"/>
              </w:rPr>
              <w:t>2010</w:t>
            </w:r>
          </w:p>
        </w:tc>
        <w:tc>
          <w:tcPr>
            <w:tcW w:w="420" w:type="dxa"/>
            <w:vAlign w:val="bottom"/>
            <w:tcBorders>
              <w:top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02"/>
              <w:spacing w:after="0" w:line="142" w:lineRule="exact"/>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Rooms</w:t>
            </w:r>
          </w:p>
        </w:tc>
        <w:tc>
          <w:tcPr>
            <w:tcW w:w="5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$ 12,841</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$ 16,247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Food and beverage</w:t>
            </w:r>
          </w:p>
        </w:tc>
        <w:tc>
          <w:tcPr>
            <w:tcW w:w="5760" w:type="dxa"/>
            <w:vAlign w:val="bottom"/>
            <w:gridSpan w:val="2"/>
          </w:tcPr>
          <w:p>
            <w:pPr>
              <w:jc w:val="right"/>
              <w:spacing w:after="0"/>
              <w:rPr>
                <w:sz w:val="20"/>
                <w:szCs w:val="20"/>
                <w:color w:val="auto"/>
              </w:rPr>
            </w:pPr>
            <w:r>
              <w:rPr>
                <w:rFonts w:ascii="Arial" w:cs="Arial" w:eastAsia="Arial" w:hAnsi="Arial"/>
                <w:sz w:val="18"/>
                <w:szCs w:val="18"/>
                <w:color w:val="auto"/>
              </w:rPr>
              <w:t>23,348</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24,149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Entertainment, retail and other</w:t>
            </w:r>
          </w:p>
        </w:tc>
        <w:tc>
          <w:tcPr>
            <w:tcW w:w="514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5,083</w:t>
            </w:r>
          </w:p>
        </w:tc>
        <w:tc>
          <w:tcPr>
            <w:tcW w:w="42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680" w:type="dxa"/>
            <w:vAlign w:val="bottom"/>
          </w:tcPr>
          <w:p>
            <w:pPr>
              <w:ind w:left="440"/>
              <w:spacing w:after="0"/>
              <w:rPr>
                <w:sz w:val="20"/>
                <w:szCs w:val="20"/>
                <w:color w:val="auto"/>
              </w:rPr>
            </w:pPr>
            <w:r>
              <w:rPr>
                <w:rFonts w:ascii="Arial" w:cs="Arial" w:eastAsia="Arial" w:hAnsi="Arial"/>
                <w:sz w:val="18"/>
                <w:szCs w:val="18"/>
                <w:color w:val="auto"/>
              </w:rPr>
              <w:t>Total</w:t>
            </w:r>
          </w:p>
        </w:tc>
        <w:tc>
          <w:tcPr>
            <w:tcW w:w="5760" w:type="dxa"/>
            <w:vAlign w:val="bottom"/>
            <w:gridSpan w:val="2"/>
          </w:tcPr>
          <w:p>
            <w:pPr>
              <w:jc w:val="right"/>
              <w:spacing w:after="0"/>
              <w:rPr>
                <w:sz w:val="20"/>
                <w:szCs w:val="20"/>
                <w:color w:val="auto"/>
              </w:rPr>
            </w:pPr>
            <w:r>
              <w:rPr>
                <w:rFonts w:ascii="Arial" w:cs="Arial" w:eastAsia="Arial" w:hAnsi="Arial"/>
                <w:sz w:val="18"/>
                <w:szCs w:val="18"/>
                <w:color w:val="auto"/>
              </w:rPr>
              <w:t>$ 41,272</w:t>
            </w:r>
          </w:p>
        </w:tc>
        <w:tc>
          <w:tcPr>
            <w:tcW w:w="1080" w:type="dxa"/>
            <w:vAlign w:val="bottom"/>
            <w:gridSpan w:val="3"/>
          </w:tcPr>
          <w:p>
            <w:pPr>
              <w:jc w:val="right"/>
              <w:ind w:right="20"/>
              <w:spacing w:after="0"/>
              <w:rPr>
                <w:sz w:val="20"/>
                <w:szCs w:val="20"/>
                <w:color w:val="auto"/>
              </w:rPr>
            </w:pPr>
            <w:r>
              <w:rPr>
                <w:rFonts w:ascii="Arial" w:cs="Arial" w:eastAsia="Arial" w:hAnsi="Arial"/>
                <w:sz w:val="18"/>
                <w:szCs w:val="18"/>
                <w:color w:val="auto"/>
              </w:rPr>
              <w:t>$ 43,362</w:t>
            </w: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5140" w:type="dxa"/>
            <w:vAlign w:val="bottom"/>
            <w:vMerge w:val="restart"/>
          </w:tcPr>
          <w:p>
            <w:pPr>
              <w:jc w:val="right"/>
              <w:ind w:right="3432"/>
              <w:spacing w:after="0"/>
              <w:rPr>
                <w:sz w:val="20"/>
                <w:szCs w:val="20"/>
                <w:color w:val="auto"/>
              </w:rPr>
            </w:pPr>
            <w:r>
              <w:rPr>
                <w:rFonts w:ascii="Arial" w:cs="Arial" w:eastAsia="Arial" w:hAnsi="Arial"/>
                <w:sz w:val="18"/>
                <w:szCs w:val="18"/>
                <w:color w:val="auto"/>
              </w:rPr>
              <w:t>7</w:t>
            </w:r>
          </w:p>
        </w:tc>
        <w:tc>
          <w:tcPr>
            <w:tcW w:w="6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680" w:type="dxa"/>
            <w:vAlign w:val="bottom"/>
          </w:tcPr>
          <w:p>
            <w:pPr>
              <w:spacing w:after="0"/>
              <w:rPr>
                <w:sz w:val="24"/>
                <w:szCs w:val="24"/>
                <w:color w:val="auto"/>
              </w:rPr>
            </w:pPr>
          </w:p>
        </w:tc>
        <w:tc>
          <w:tcPr>
            <w:tcW w:w="51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459" w:right="29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Gaming taxes</w:t>
      </w:r>
    </w:p>
    <w:p>
      <w:pPr>
        <w:spacing w:after="0" w:line="90"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The Company is subject to taxes based on gross gaming revenue in the jurisdictions in which it operates, subject to applicable jurisdictional adjustments. These gaming taxes are an assessment on the Company’s gaming revenue and are recorded as an expense within the “Casino” line item in the accompanying Condensed Consolidated Statements of Operations. These taxes totaled approximately $287.8 million and $220.5 million for the three months ended March 31, 2010 and 2009, respectively.</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Advertising Costs</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Company expenses advertising costs the first time the advertising takes place. Advertising costs incurred in development periods are included in pre-opening costs. Once a project is completed, advertising costs are included in general and administrative expenses. For the three months ended March 31, 2010 and 2009, advertising costs totaled approximately $4.3 million and $8.3 million, respectively.</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Reclassifications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Certain amounts in the condensed consolidated financial statements for 2009 have been reclassified to be consistent with the current year presentation.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These reclassifications had no effect on the previously reported net loss.</w:t>
      </w:r>
    </w:p>
    <w:p>
      <w:pPr>
        <w:spacing w:after="0" w:line="24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Recently Issued Accounting Standards</w:t>
      </w:r>
    </w:p>
    <w:p>
      <w:pPr>
        <w:spacing w:after="0" w:line="90" w:lineRule="exact"/>
        <w:rPr>
          <w:sz w:val="20"/>
          <w:szCs w:val="20"/>
          <w:color w:val="auto"/>
        </w:rPr>
      </w:pPr>
    </w:p>
    <w:p>
      <w:pPr>
        <w:ind w:right="200" w:firstLine="456"/>
        <w:spacing w:after="0" w:line="290" w:lineRule="auto"/>
        <w:rPr>
          <w:sz w:val="20"/>
          <w:szCs w:val="20"/>
          <w:color w:val="auto"/>
        </w:rPr>
      </w:pPr>
      <w:r>
        <w:rPr>
          <w:rFonts w:ascii="Arial" w:cs="Arial" w:eastAsia="Arial" w:hAnsi="Arial"/>
          <w:sz w:val="16"/>
          <w:szCs w:val="16"/>
          <w:color w:val="auto"/>
        </w:rPr>
        <w:t>In June 2009, the Financial Accounting Standards Board (the “FASB”) issued new accounting standards regarding the consolidation of variable interest entities. These new accounting standards address the effects of elimination of the qualifying special-purpose entity concept from previous standards. These new accounting standards amend previous guidance in determining whether an enterprise has a controlling financial interest in a variable interest entity. This determination identifies the primary beneficiary of a variable interest entity as the enterprise that has both the power to direct the activities of a variable interest entity that most significantly impacts the entity’s economic performance and the ability to absorb losses or the right to receive benefits of the entity that could potentially be significant to the variable interest entity. The Company adopted the new accounting standards on January 1, 2010. The adoption of these new accounting standards did not have a material effect on the Company’s condensed consolidated financial statements.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Earnings Per Share</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6"/>
          <w:szCs w:val="16"/>
          <w:color w:val="auto"/>
        </w:rPr>
        <w:t>Basic earnings per share (“EPS”) is computed by dividing net income (loss) attributable to Wynn Resorts by the weighted average number of shares</w:t>
      </w:r>
    </w:p>
    <w:p>
      <w:pPr>
        <w:spacing w:after="0" w:line="38"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outstanding during the year. Diluted EPS reflects the addition of potentially dilutive securities which for the Company include stock options and nonvested stock.</w:t>
      </w:r>
    </w:p>
    <w:p>
      <w:pPr>
        <w:spacing w:after="0" w:line="188"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The weighted average number of common and common equivalent shares used in the calculation of basic and diluted EPS consisted of the following (amounts in thousands):</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80" w:type="dxa"/>
            <w:vAlign w:val="bottom"/>
          </w:tcPr>
          <w:p>
            <w:pPr>
              <w:spacing w:after="0"/>
              <w:rPr>
                <w:sz w:val="14"/>
                <w:szCs w:val="14"/>
                <w:color w:val="auto"/>
              </w:rPr>
            </w:pPr>
          </w:p>
        </w:tc>
        <w:tc>
          <w:tcPr>
            <w:tcW w:w="1820" w:type="dxa"/>
            <w:vAlign w:val="bottom"/>
            <w:gridSpan w:val="5"/>
          </w:tcPr>
          <w:p>
            <w:pPr>
              <w:jc w:val="center"/>
              <w:ind w:right="20"/>
              <w:spacing w:after="0"/>
              <w:rPr>
                <w:sz w:val="20"/>
                <w:szCs w:val="20"/>
                <w:color w:val="auto"/>
              </w:rPr>
            </w:pPr>
            <w:r>
              <w:rPr>
                <w:rFonts w:ascii="Arial" w:cs="Arial" w:eastAsia="Arial" w:hAnsi="Arial"/>
                <w:sz w:val="14"/>
                <w:szCs w:val="14"/>
                <w:b w:val="1"/>
                <w:bCs w:val="1"/>
                <w:color w:val="auto"/>
                <w:w w:val="89"/>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680" w:type="dxa"/>
            <w:vAlign w:val="bottom"/>
          </w:tcPr>
          <w:p>
            <w:pPr>
              <w:spacing w:after="0"/>
              <w:rPr>
                <w:sz w:val="14"/>
                <w:szCs w:val="14"/>
                <w:color w:val="auto"/>
              </w:rPr>
            </w:pPr>
          </w:p>
        </w:tc>
        <w:tc>
          <w:tcPr>
            <w:tcW w:w="1220" w:type="dxa"/>
            <w:vAlign w:val="bottom"/>
            <w:tcBorders>
              <w:bottom w:val="single" w:sz="8" w:color="auto"/>
            </w:tcBorders>
            <w:gridSpan w:val="3"/>
          </w:tcPr>
          <w:p>
            <w:pPr>
              <w:jc w:val="center"/>
              <w:ind w:left="502"/>
              <w:spacing w:after="0"/>
              <w:rPr>
                <w:sz w:val="20"/>
                <w:szCs w:val="20"/>
                <w:color w:val="auto"/>
              </w:rPr>
            </w:pPr>
            <w:r>
              <w:rPr>
                <w:rFonts w:ascii="Arial" w:cs="Arial" w:eastAsia="Arial" w:hAnsi="Arial"/>
                <w:sz w:val="14"/>
                <w:szCs w:val="14"/>
                <w:b w:val="1"/>
                <w:bCs w:val="1"/>
                <w:color w:val="auto"/>
                <w:w w:val="92"/>
              </w:rPr>
              <w:t>March 31,</w:t>
            </w:r>
          </w:p>
        </w:tc>
        <w:tc>
          <w:tcPr>
            <w:tcW w:w="5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680" w:type="dxa"/>
            <w:vAlign w:val="bottom"/>
          </w:tcPr>
          <w:p>
            <w:pPr>
              <w:spacing w:after="0"/>
              <w:rPr>
                <w:sz w:val="12"/>
                <w:szCs w:val="12"/>
                <w:color w:val="auto"/>
              </w:rPr>
            </w:pPr>
          </w:p>
        </w:tc>
        <w:tc>
          <w:tcPr>
            <w:tcW w:w="740" w:type="dxa"/>
            <w:vAlign w:val="bottom"/>
            <w:tcBorders>
              <w:bottom w:val="single" w:sz="8" w:color="auto"/>
            </w:tcBorders>
          </w:tcPr>
          <w:p>
            <w:pPr>
              <w:jc w:val="right"/>
              <w:ind w:right="142"/>
              <w:spacing w:after="0" w:line="142" w:lineRule="exact"/>
              <w:rPr>
                <w:sz w:val="20"/>
                <w:szCs w:val="20"/>
                <w:color w:val="auto"/>
              </w:rPr>
            </w:pPr>
            <w:r>
              <w:rPr>
                <w:rFonts w:ascii="Arial" w:cs="Arial" w:eastAsia="Arial" w:hAnsi="Arial"/>
                <w:sz w:val="14"/>
                <w:szCs w:val="14"/>
                <w:b w:val="1"/>
                <w:bCs w:val="1"/>
                <w:color w:val="auto"/>
              </w:rPr>
              <w:t>2010</w:t>
            </w:r>
          </w:p>
        </w:tc>
        <w:tc>
          <w:tcPr>
            <w:tcW w:w="3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57"/>
              <w:spacing w:after="0" w:line="142" w:lineRule="exact"/>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outstanding (used in calculation of basic earnings per share)</w:t>
            </w: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122,411</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112,568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Potential dilution from the assumed exercise of stock options and nonvested stock</w:t>
            </w: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571</w:t>
            </w:r>
          </w:p>
        </w:tc>
        <w:tc>
          <w:tcPr>
            <w:tcW w:w="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w w:val="94"/>
              </w:rPr>
              <w:t>Weighted average common and common equivalent shares outstanding (used in calculation of diluted earnings per</w:t>
            </w:r>
          </w:p>
        </w:tc>
        <w:tc>
          <w:tcPr>
            <w:tcW w:w="74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680" w:type="dxa"/>
            <w:vAlign w:val="bottom"/>
            <w:shd w:val="clear" w:color="auto" w:fill="CCEEFF"/>
          </w:tcPr>
          <w:p>
            <w:pPr>
              <w:jc w:val="right"/>
              <w:ind w:right="7952"/>
              <w:spacing w:after="0"/>
              <w:rPr>
                <w:sz w:val="20"/>
                <w:szCs w:val="20"/>
                <w:color w:val="auto"/>
              </w:rPr>
            </w:pPr>
            <w:r>
              <w:rPr>
                <w:rFonts w:ascii="Arial" w:cs="Arial" w:eastAsia="Arial" w:hAnsi="Arial"/>
                <w:sz w:val="18"/>
                <w:szCs w:val="18"/>
                <w:color w:val="auto"/>
              </w:rPr>
              <w:t>share)</w:t>
            </w: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122,982</w:t>
            </w: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112,568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700" w:type="dxa"/>
            <w:vAlign w:val="bottom"/>
            <w:gridSpan w:val="2"/>
            <w:vMerge w:val="restart"/>
          </w:tcPr>
          <w:p>
            <w:pPr>
              <w:jc w:val="right"/>
              <w:ind w:right="3312"/>
              <w:spacing w:after="0"/>
              <w:rPr>
                <w:sz w:val="20"/>
                <w:szCs w:val="20"/>
                <w:color w:val="auto"/>
              </w:rPr>
            </w:pPr>
            <w:r>
              <w:rPr>
                <w:rFonts w:ascii="Arial" w:cs="Arial" w:eastAsia="Arial" w:hAnsi="Arial"/>
                <w:sz w:val="18"/>
                <w:szCs w:val="18"/>
                <w:color w:val="auto"/>
              </w:rPr>
              <w:t>8</w:t>
            </w: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8700" w:type="dxa"/>
            <w:vAlign w:val="bottom"/>
            <w:gridSpan w:val="2"/>
            <w:vMerge w:val="continue"/>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40" w:firstLine="456"/>
        <w:spacing w:after="0" w:line="298" w:lineRule="auto"/>
        <w:rPr>
          <w:sz w:val="20"/>
          <w:szCs w:val="20"/>
          <w:color w:val="auto"/>
        </w:rPr>
      </w:pPr>
      <w:r>
        <w:rPr>
          <w:rFonts w:ascii="Arial" w:cs="Arial" w:eastAsia="Arial" w:hAnsi="Arial"/>
          <w:sz w:val="16"/>
          <w:szCs w:val="16"/>
          <w:color w:val="auto"/>
        </w:rPr>
        <w:t>A total of 3,012,500 stock options were excluded from the calculation of diluted EPS at March 31, 2010 because including them would have been anti-dilutive. Another 1,053,500 stock options were out-of-the-money at March 31, 2010 and were also excluded. For the three months ended March 31, 2009, the Company recorded a net loss. Accordingly, the potential dilution from the assumed exercise of stock options and nonvested stock is anti-dilutive. As a result, basic EPS is equal to diluted EPS for the three months ended March 31, 2009.</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Comprehensive Income (loss)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Total comprehensive income (loss) consisted of the following (amounts in thousands):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6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860" w:type="dxa"/>
            <w:vAlign w:val="bottom"/>
            <w:gridSpan w:val="5"/>
          </w:tcPr>
          <w:p>
            <w:pPr>
              <w:jc w:val="right"/>
              <w:ind w:right="380"/>
              <w:spacing w:after="0"/>
              <w:rPr>
                <w:sz w:val="20"/>
                <w:szCs w:val="20"/>
                <w:color w:val="auto"/>
              </w:rPr>
            </w:pPr>
            <w:r>
              <w:rPr>
                <w:rFonts w:ascii="Arial" w:cs="Arial" w:eastAsia="Arial" w:hAnsi="Arial"/>
                <w:sz w:val="14"/>
                <w:szCs w:val="14"/>
                <w:b w:val="1"/>
                <w:bCs w:val="1"/>
                <w:color w:val="auto"/>
              </w:rPr>
              <w:t>Three Months Ended</w:t>
            </w:r>
          </w:p>
        </w:tc>
      </w:tr>
      <w:tr>
        <w:trPr>
          <w:trHeight w:val="161"/>
        </w:trPr>
        <w:tc>
          <w:tcPr>
            <w:tcW w:w="20" w:type="dxa"/>
            <w:vAlign w:val="bottom"/>
          </w:tcPr>
          <w:p>
            <w:pPr>
              <w:spacing w:after="0"/>
              <w:rPr>
                <w:sz w:val="14"/>
                <w:szCs w:val="14"/>
                <w:color w:val="auto"/>
              </w:rPr>
            </w:pPr>
          </w:p>
        </w:tc>
        <w:tc>
          <w:tcPr>
            <w:tcW w:w="586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80" w:type="dxa"/>
            <w:vAlign w:val="bottom"/>
            <w:gridSpan w:val="4"/>
          </w:tcPr>
          <w:p>
            <w:pPr>
              <w:jc w:val="right"/>
              <w:ind w:right="680"/>
              <w:spacing w:after="0"/>
              <w:rPr>
                <w:sz w:val="20"/>
                <w:szCs w:val="20"/>
                <w:color w:val="auto"/>
              </w:rPr>
            </w:pPr>
            <w:r>
              <w:rPr>
                <w:rFonts w:ascii="Arial" w:cs="Arial" w:eastAsia="Arial" w:hAnsi="Arial"/>
                <w:sz w:val="14"/>
                <w:szCs w:val="14"/>
                <w:b w:val="1"/>
                <w:bCs w:val="1"/>
                <w:color w:val="auto"/>
                <w:w w:val="89"/>
              </w:rPr>
              <w:t>March 31,</w:t>
            </w:r>
          </w:p>
        </w:tc>
      </w:tr>
      <w:tr>
        <w:trPr>
          <w:trHeight w:val="142"/>
        </w:trPr>
        <w:tc>
          <w:tcPr>
            <w:tcW w:w="20" w:type="dxa"/>
            <w:vAlign w:val="bottom"/>
          </w:tcPr>
          <w:p>
            <w:pPr>
              <w:spacing w:after="0"/>
              <w:rPr>
                <w:sz w:val="12"/>
                <w:szCs w:val="12"/>
                <w:color w:val="auto"/>
              </w:rPr>
            </w:pPr>
          </w:p>
        </w:tc>
        <w:tc>
          <w:tcPr>
            <w:tcW w:w="586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ind w:right="82"/>
              <w:spacing w:after="0" w:line="142" w:lineRule="exact"/>
              <w:rPr>
                <w:sz w:val="20"/>
                <w:szCs w:val="20"/>
                <w:color w:val="auto"/>
              </w:rPr>
            </w:pPr>
            <w:r>
              <w:rPr>
                <w:rFonts w:ascii="Arial" w:cs="Arial" w:eastAsia="Arial" w:hAnsi="Arial"/>
                <w:sz w:val="14"/>
                <w:szCs w:val="14"/>
                <w:b w:val="1"/>
                <w:bCs w:val="1"/>
                <w:color w:val="auto"/>
              </w:rPr>
              <w:t>2010</w:t>
            </w:r>
          </w:p>
        </w:tc>
        <w:tc>
          <w:tcPr>
            <w:tcW w:w="3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3640" w:type="dxa"/>
            <w:vAlign w:val="bottom"/>
            <w:gridSpan w:val="3"/>
            <w:shd w:val="clear" w:color="auto" w:fill="CCEEFF"/>
          </w:tcPr>
          <w:p>
            <w:pPr>
              <w:jc w:val="right"/>
              <w:ind w:right="232"/>
              <w:spacing w:after="0"/>
              <w:rPr>
                <w:sz w:val="20"/>
                <w:szCs w:val="20"/>
                <w:color w:val="auto"/>
              </w:rPr>
            </w:pPr>
            <w:r>
              <w:rPr>
                <w:rFonts w:ascii="Arial" w:cs="Arial" w:eastAsia="Arial" w:hAnsi="Arial"/>
                <w:sz w:val="18"/>
                <w:szCs w:val="18"/>
                <w:color w:val="auto"/>
              </w:rPr>
              <w:t>$57,859</w:t>
            </w: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 (33,814)</w:t>
            </w:r>
          </w:p>
        </w:tc>
      </w:tr>
      <w:tr>
        <w:trPr>
          <w:trHeight w:val="216"/>
        </w:trPr>
        <w:tc>
          <w:tcPr>
            <w:tcW w:w="2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Currency translation adjustment</w:t>
            </w:r>
          </w:p>
        </w:tc>
        <w:tc>
          <w:tcPr>
            <w:tcW w:w="2760" w:type="dxa"/>
            <w:vAlign w:val="bottom"/>
          </w:tcPr>
          <w:p>
            <w:pPr>
              <w:spacing w:after="0"/>
              <w:rPr>
                <w:sz w:val="18"/>
                <w:szCs w:val="18"/>
                <w:color w:val="auto"/>
              </w:rPr>
            </w:pPr>
          </w:p>
        </w:tc>
        <w:tc>
          <w:tcPr>
            <w:tcW w:w="880" w:type="dxa"/>
            <w:vAlign w:val="bottom"/>
            <w:gridSpan w:val="2"/>
          </w:tcPr>
          <w:p>
            <w:pPr>
              <w:jc w:val="right"/>
              <w:ind w:right="172"/>
              <w:spacing w:after="0"/>
              <w:rPr>
                <w:sz w:val="20"/>
                <w:szCs w:val="20"/>
                <w:color w:val="auto"/>
              </w:rPr>
            </w:pPr>
            <w:r>
              <w:rPr>
                <w:rFonts w:ascii="Arial" w:cs="Arial" w:eastAsia="Arial" w:hAnsi="Arial"/>
                <w:sz w:val="18"/>
                <w:szCs w:val="18"/>
                <w:color w:val="auto"/>
              </w:rPr>
              <w:t>(822)</w:t>
            </w: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12</w:t>
            </w:r>
          </w:p>
        </w:tc>
      </w:tr>
      <w:tr>
        <w:trPr>
          <w:trHeight w:val="27"/>
        </w:trPr>
        <w:tc>
          <w:tcPr>
            <w:tcW w:w="20" w:type="dxa"/>
            <w:vAlign w:val="bottom"/>
          </w:tcPr>
          <w:p>
            <w:pPr>
              <w:spacing w:after="0"/>
              <w:rPr>
                <w:sz w:val="2"/>
                <w:szCs w:val="2"/>
                <w:color w:val="auto"/>
              </w:rPr>
            </w:pPr>
          </w:p>
        </w:tc>
        <w:tc>
          <w:tcPr>
            <w:tcW w:w="5860" w:type="dxa"/>
            <w:vAlign w:val="bottom"/>
          </w:tcPr>
          <w:p>
            <w:pPr>
              <w:spacing w:after="0"/>
              <w:rPr>
                <w:sz w:val="2"/>
                <w:szCs w:val="2"/>
                <w:color w:val="auto"/>
              </w:rPr>
            </w:pPr>
          </w:p>
        </w:tc>
        <w:tc>
          <w:tcPr>
            <w:tcW w:w="27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comprehensive income (loss)</w:t>
            </w:r>
          </w:p>
        </w:tc>
        <w:tc>
          <w:tcPr>
            <w:tcW w:w="27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57,037</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(33,802)</w:t>
            </w:r>
          </w:p>
        </w:tc>
      </w:tr>
      <w:tr>
        <w:trPr>
          <w:trHeight w:val="208"/>
        </w:trPr>
        <w:tc>
          <w:tcPr>
            <w:tcW w:w="2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Less: Comprehensive income attributable to</w:t>
            </w:r>
          </w:p>
        </w:tc>
        <w:tc>
          <w:tcPr>
            <w:tcW w:w="27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1"/>
        </w:trPr>
        <w:tc>
          <w:tcPr>
            <w:tcW w:w="20" w:type="dxa"/>
            <w:vAlign w:val="bottom"/>
          </w:tcPr>
          <w:p>
            <w:pPr>
              <w:spacing w:after="0"/>
              <w:rPr>
                <w:sz w:val="20"/>
                <w:szCs w:val="20"/>
                <w:color w:val="auto"/>
              </w:rPr>
            </w:pPr>
          </w:p>
        </w:tc>
        <w:tc>
          <w:tcPr>
            <w:tcW w:w="5860" w:type="dxa"/>
            <w:vAlign w:val="bottom"/>
          </w:tcPr>
          <w:p>
            <w:pPr>
              <w:ind w:left="200"/>
              <w:spacing w:after="0"/>
              <w:rPr>
                <w:sz w:val="20"/>
                <w:szCs w:val="20"/>
                <w:color w:val="auto"/>
              </w:rPr>
            </w:pPr>
            <w:r>
              <w:rPr>
                <w:rFonts w:ascii="Arial" w:cs="Arial" w:eastAsia="Arial" w:hAnsi="Arial"/>
                <w:sz w:val="18"/>
                <w:szCs w:val="18"/>
                <w:color w:val="auto"/>
              </w:rPr>
              <w:t>Non-controlling interests</w:t>
            </w:r>
          </w:p>
        </w:tc>
        <w:tc>
          <w:tcPr>
            <w:tcW w:w="3640" w:type="dxa"/>
            <w:vAlign w:val="bottom"/>
            <w:gridSpan w:val="3"/>
          </w:tcPr>
          <w:p>
            <w:pPr>
              <w:jc w:val="right"/>
              <w:ind w:right="232"/>
              <w:spacing w:after="0"/>
              <w:rPr>
                <w:sz w:val="20"/>
                <w:szCs w:val="20"/>
                <w:color w:val="auto"/>
              </w:rPr>
            </w:pPr>
            <w:r>
              <w:rPr>
                <w:rFonts w:ascii="Arial" w:cs="Arial" w:eastAsia="Arial" w:hAnsi="Arial"/>
                <w:sz w:val="18"/>
                <w:szCs w:val="18"/>
                <w:color w:val="auto"/>
              </w:rPr>
              <w:t>30,643</w:t>
            </w:r>
          </w:p>
        </w:tc>
        <w:tc>
          <w:tcPr>
            <w:tcW w:w="220" w:type="dxa"/>
            <w:vAlign w:val="bottom"/>
          </w:tcPr>
          <w:p>
            <w:pPr>
              <w:spacing w:after="0"/>
              <w:rPr>
                <w:sz w:val="20"/>
                <w:szCs w:val="20"/>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08"/>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 (loss) attributable to</w:t>
            </w:r>
          </w:p>
        </w:tc>
        <w:tc>
          <w:tcPr>
            <w:tcW w:w="276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5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Wynn Resorts</w:t>
            </w:r>
          </w:p>
        </w:tc>
        <w:tc>
          <w:tcPr>
            <w:tcW w:w="3640" w:type="dxa"/>
            <w:vAlign w:val="bottom"/>
            <w:gridSpan w:val="3"/>
            <w:shd w:val="clear" w:color="auto" w:fill="CCEEFF"/>
          </w:tcPr>
          <w:p>
            <w:pPr>
              <w:jc w:val="right"/>
              <w:ind w:right="232"/>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26,394</w:t>
            </w: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(33,802)</w:t>
            </w:r>
          </w:p>
        </w:tc>
      </w:tr>
      <w:tr>
        <w:trPr>
          <w:trHeight w:val="20"/>
        </w:trPr>
        <w:tc>
          <w:tcPr>
            <w:tcW w:w="2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March 31, 2010 and December 31, 2009, accumulated other comprehensive income consisted solely of currency translation adjustments.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Supplemental Disclosure of Cash Flow Information</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Interest paid for the three months ended March 31, 2010 and 2009 totaled approximately $13.4 million and $25.6 million, respectively. Interest capitalized for the three months ended March 31, 2010 and 2009, totaled approximately $5.4 million and $2.4 million, respectively.</w:t>
      </w:r>
    </w:p>
    <w:p>
      <w:pPr>
        <w:spacing w:after="0" w:line="132"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During the three months ended March 31, 2010 and 2009, capital expenditures include a decrease of $9.8 million and $101 million, respectively, in construction payables and retention.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Receivables, net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Receivables, net consisted of the following (amounts in thousands):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94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144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w w:val="92"/>
              </w:rPr>
              <w:t>March 31,</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61"/>
        </w:trPr>
        <w:tc>
          <w:tcPr>
            <w:tcW w:w="394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72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b w:val="1"/>
                <w:bCs w:val="1"/>
                <w:color w:val="auto"/>
              </w:rPr>
              <w:t>2010</w:t>
            </w:r>
          </w:p>
        </w:tc>
        <w:tc>
          <w:tcPr>
            <w:tcW w:w="7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Casino</w:t>
            </w:r>
          </w:p>
        </w:tc>
        <w:tc>
          <w:tcPr>
            <w:tcW w:w="566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$ 220,707</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205,330</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Hotel</w:t>
            </w:r>
          </w:p>
        </w:tc>
        <w:tc>
          <w:tcPr>
            <w:tcW w:w="5660" w:type="dxa"/>
            <w:vAlign w:val="bottom"/>
            <w:gridSpan w:val="3"/>
          </w:tcPr>
          <w:p>
            <w:pPr>
              <w:jc w:val="right"/>
              <w:ind w:right="720"/>
              <w:spacing w:after="0"/>
              <w:rPr>
                <w:sz w:val="20"/>
                <w:szCs w:val="20"/>
                <w:color w:val="auto"/>
              </w:rPr>
            </w:pPr>
            <w:r>
              <w:rPr>
                <w:rFonts w:ascii="Arial" w:cs="Arial" w:eastAsia="Arial" w:hAnsi="Arial"/>
                <w:sz w:val="18"/>
                <w:szCs w:val="18"/>
                <w:color w:val="auto"/>
              </w:rPr>
              <w:t>19,128</w:t>
            </w: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18,177</w:t>
            </w: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4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25,510</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31,453</w:t>
            </w: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3940" w:type="dxa"/>
            <w:vAlign w:val="bottom"/>
          </w:tcPr>
          <w:p>
            <w:pPr>
              <w:spacing w:after="0"/>
              <w:rPr>
                <w:sz w:val="19"/>
                <w:szCs w:val="19"/>
                <w:color w:val="auto"/>
              </w:rPr>
            </w:pPr>
          </w:p>
        </w:tc>
        <w:tc>
          <w:tcPr>
            <w:tcW w:w="4220" w:type="dxa"/>
            <w:vAlign w:val="bottom"/>
          </w:tcPr>
          <w:p>
            <w:pPr>
              <w:spacing w:after="0"/>
              <w:rPr>
                <w:sz w:val="19"/>
                <w:szCs w:val="19"/>
                <w:color w:val="auto"/>
              </w:rPr>
            </w:pPr>
          </w:p>
        </w:tc>
        <w:tc>
          <w:tcPr>
            <w:tcW w:w="1440" w:type="dxa"/>
            <w:vAlign w:val="bottom"/>
            <w:gridSpan w:val="2"/>
          </w:tcPr>
          <w:p>
            <w:pPr>
              <w:jc w:val="right"/>
              <w:ind w:right="720"/>
              <w:spacing w:after="0"/>
              <w:rPr>
                <w:sz w:val="20"/>
                <w:szCs w:val="20"/>
                <w:color w:val="auto"/>
              </w:rPr>
            </w:pPr>
            <w:r>
              <w:rPr>
                <w:rFonts w:ascii="Arial" w:cs="Arial" w:eastAsia="Arial" w:hAnsi="Arial"/>
                <w:sz w:val="18"/>
                <w:szCs w:val="18"/>
                <w:color w:val="auto"/>
              </w:rPr>
              <w:t>265,345</w:t>
            </w:r>
          </w:p>
        </w:tc>
        <w:tc>
          <w:tcPr>
            <w:tcW w:w="12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254,960</w:t>
            </w:r>
          </w:p>
        </w:tc>
        <w:tc>
          <w:tcPr>
            <w:tcW w:w="0" w:type="dxa"/>
            <w:vAlign w:val="bottom"/>
          </w:tcPr>
          <w:p>
            <w:pPr>
              <w:spacing w:after="0"/>
              <w:rPr>
                <w:sz w:val="1"/>
                <w:szCs w:val="1"/>
                <w:color w:val="auto"/>
              </w:rPr>
            </w:pPr>
          </w:p>
        </w:tc>
      </w:tr>
      <w:tr>
        <w:trPr>
          <w:trHeight w:val="218"/>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Less: allowance for doubtful accounts</w:t>
            </w:r>
          </w:p>
        </w:tc>
        <w:tc>
          <w:tcPr>
            <w:tcW w:w="4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8"/>
              </w:rPr>
              <w:t>(107,485)</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3"/>
              </w:rPr>
              <w:t>(102,081)</w:t>
            </w: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3940" w:type="dxa"/>
            <w:vAlign w:val="bottom"/>
          </w:tcPr>
          <w:p>
            <w:pPr>
              <w:spacing w:after="0"/>
              <w:rPr>
                <w:sz w:val="19"/>
                <w:szCs w:val="19"/>
                <w:color w:val="auto"/>
              </w:rPr>
            </w:pPr>
          </w:p>
        </w:tc>
        <w:tc>
          <w:tcPr>
            <w:tcW w:w="5660" w:type="dxa"/>
            <w:vAlign w:val="bottom"/>
            <w:gridSpan w:val="3"/>
          </w:tcPr>
          <w:p>
            <w:pPr>
              <w:jc w:val="right"/>
              <w:ind w:right="720"/>
              <w:spacing w:after="0"/>
              <w:rPr>
                <w:sz w:val="20"/>
                <w:szCs w:val="20"/>
                <w:color w:val="auto"/>
              </w:rPr>
            </w:pPr>
            <w:r>
              <w:rPr>
                <w:rFonts w:ascii="Arial" w:cs="Arial" w:eastAsia="Arial" w:hAnsi="Arial"/>
                <w:sz w:val="18"/>
                <w:szCs w:val="18"/>
                <w:color w:val="auto"/>
              </w:rPr>
              <w:t>$ 157,860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152,879</w:t>
            </w: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4220" w:type="dxa"/>
            <w:vAlign w:val="bottom"/>
            <w:vMerge w:val="restart"/>
          </w:tcPr>
          <w:p>
            <w:pPr>
              <w:jc w:val="right"/>
              <w:ind w:right="2772"/>
              <w:spacing w:after="0"/>
              <w:rPr>
                <w:sz w:val="20"/>
                <w:szCs w:val="20"/>
                <w:color w:val="auto"/>
              </w:rPr>
            </w:pPr>
            <w:r>
              <w:rPr>
                <w:rFonts w:ascii="Arial" w:cs="Arial" w:eastAsia="Arial" w:hAnsi="Arial"/>
                <w:sz w:val="18"/>
                <w:szCs w:val="18"/>
                <w:color w:val="auto"/>
              </w:rPr>
              <w:t>9</w:t>
            </w:r>
          </w:p>
        </w:tc>
        <w:tc>
          <w:tcPr>
            <w:tcW w:w="7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940" w:type="dxa"/>
            <w:vAlign w:val="bottom"/>
          </w:tcPr>
          <w:p>
            <w:pPr>
              <w:spacing w:after="0"/>
              <w:rPr>
                <w:sz w:val="24"/>
                <w:szCs w:val="24"/>
                <w:color w:val="auto"/>
              </w:rPr>
            </w:pPr>
          </w:p>
        </w:tc>
        <w:tc>
          <w:tcPr>
            <w:tcW w:w="4220" w:type="dxa"/>
            <w:vAlign w:val="bottom"/>
            <w:vMerge w:val="continue"/>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Property and Equipment, net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Property and equipment, net consisted of the following (amounts in thousands):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5"/>
              </w:rPr>
              <w:t>March 31,</w:t>
            </w:r>
          </w:p>
        </w:tc>
        <w:tc>
          <w:tcPr>
            <w:tcW w:w="280" w:type="dxa"/>
            <w:vAlign w:val="bottom"/>
          </w:tcPr>
          <w:p>
            <w:pPr>
              <w:spacing w:after="0"/>
              <w:rPr>
                <w:sz w:val="14"/>
                <w:szCs w:val="14"/>
                <w:color w:val="auto"/>
              </w:rPr>
            </w:pPr>
          </w:p>
        </w:tc>
        <w:tc>
          <w:tcPr>
            <w:tcW w:w="98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90"/>
              </w:rPr>
              <w:t>December 31,</w:t>
            </w:r>
          </w:p>
        </w:tc>
      </w:tr>
      <w:tr>
        <w:trPr>
          <w:trHeight w:val="161"/>
        </w:trPr>
        <w:tc>
          <w:tcPr>
            <w:tcW w:w="520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2010</w:t>
            </w: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r>
      <w:tr>
        <w:trPr>
          <w:trHeight w:val="210"/>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Land and improvements</w:t>
            </w:r>
          </w:p>
        </w:tc>
        <w:tc>
          <w:tcPr>
            <w:tcW w:w="2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704,733</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704,733</w:t>
            </w: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Buildings and improvements</w:t>
            </w:r>
          </w:p>
        </w:tc>
        <w:tc>
          <w:tcPr>
            <w:tcW w:w="2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w w:val="92"/>
              </w:rPr>
              <w:t>3,222,286</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3,215,400</w:t>
            </w: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Airplanes</w:t>
            </w:r>
          </w:p>
        </w:tc>
        <w:tc>
          <w:tcPr>
            <w:tcW w:w="2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77,326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77,326</w:t>
            </w: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Furniture, fixtures and equipment</w:t>
            </w:r>
          </w:p>
        </w:tc>
        <w:tc>
          <w:tcPr>
            <w:tcW w:w="2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w w:val="92"/>
              </w:rPr>
              <w:t>1,594,702</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1,585,495</w:t>
            </w: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Leasehold interest in land</w:t>
            </w:r>
          </w:p>
        </w:tc>
        <w:tc>
          <w:tcPr>
            <w:tcW w:w="2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81,436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81,521</w:t>
            </w: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2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519,099</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457,594</w:t>
            </w:r>
          </w:p>
        </w:tc>
      </w:tr>
      <w:tr>
        <w:trPr>
          <w:trHeight w:val="27"/>
        </w:trPr>
        <w:tc>
          <w:tcPr>
            <w:tcW w:w="5200" w:type="dxa"/>
            <w:vAlign w:val="bottom"/>
          </w:tcPr>
          <w:p>
            <w:pPr>
              <w:spacing w:after="0"/>
              <w:rPr>
                <w:sz w:val="2"/>
                <w:szCs w:val="2"/>
                <w:color w:val="auto"/>
              </w:rPr>
            </w:pPr>
          </w:p>
        </w:tc>
        <w:tc>
          <w:tcPr>
            <w:tcW w:w="28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20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2"/>
              </w:rPr>
              <w:t>6,199,582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6,122,069</w:t>
            </w: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2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w w:val="86"/>
              </w:rPr>
              <w:t>(1,157,387)</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(1,060,010)</w:t>
            </w:r>
          </w:p>
        </w:tc>
      </w:tr>
      <w:tr>
        <w:trPr>
          <w:trHeight w:val="27"/>
        </w:trPr>
        <w:tc>
          <w:tcPr>
            <w:tcW w:w="5200" w:type="dxa"/>
            <w:vAlign w:val="bottom"/>
          </w:tcPr>
          <w:p>
            <w:pPr>
              <w:spacing w:after="0"/>
              <w:rPr>
                <w:sz w:val="2"/>
                <w:szCs w:val="2"/>
                <w:color w:val="auto"/>
              </w:rPr>
            </w:pPr>
          </w:p>
        </w:tc>
        <w:tc>
          <w:tcPr>
            <w:tcW w:w="28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20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2"/>
              </w:rPr>
              <w:t>5,042,195</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5,062,059</w:t>
            </w:r>
          </w:p>
        </w:tc>
      </w:tr>
      <w:tr>
        <w:trPr>
          <w:trHeight w:val="20"/>
        </w:trPr>
        <w:tc>
          <w:tcPr>
            <w:tcW w:w="52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As of March 31, 2010 and December 31, 2009, construction in progress primarily consisted of costs capitalized in conjunction with the development and construction of Encore at Wynn Macau which opened on April 21, 2010.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Long-Term Debt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Long-term debt consisted of the following (amounts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March 31,</w:t>
            </w:r>
          </w:p>
        </w:tc>
        <w:tc>
          <w:tcPr>
            <w:tcW w:w="180" w:type="dxa"/>
            <w:vAlign w:val="bottom"/>
          </w:tcPr>
          <w:p>
            <w:pPr>
              <w:spacing w:after="0"/>
              <w:rPr>
                <w:sz w:val="14"/>
                <w:szCs w:val="14"/>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85"/>
              </w:rPr>
              <w:t>December 31,</w:t>
            </w:r>
          </w:p>
        </w:tc>
      </w:tr>
      <w:tr>
        <w:trPr>
          <w:trHeight w:val="161"/>
        </w:trPr>
        <w:tc>
          <w:tcPr>
            <w:tcW w:w="9040" w:type="dxa"/>
            <w:vAlign w:val="bottom"/>
          </w:tcPr>
          <w:p>
            <w:pPr>
              <w:spacing w:after="0"/>
              <w:rPr>
                <w:sz w:val="14"/>
                <w:szCs w:val="14"/>
                <w:color w:val="auto"/>
              </w:rPr>
            </w:pPr>
          </w:p>
        </w:tc>
        <w:tc>
          <w:tcPr>
            <w:tcW w:w="1000" w:type="dxa"/>
            <w:vAlign w:val="bottom"/>
            <w:gridSpan w:val="2"/>
          </w:tcPr>
          <w:p>
            <w:pPr>
              <w:jc w:val="right"/>
              <w:ind w:right="177"/>
              <w:spacing w:after="0"/>
              <w:rPr>
                <w:sz w:val="20"/>
                <w:szCs w:val="20"/>
                <w:color w:val="auto"/>
              </w:rPr>
            </w:pPr>
            <w:r>
              <w:rPr>
                <w:rFonts w:ascii="Arial" w:cs="Arial" w:eastAsia="Arial" w:hAnsi="Arial"/>
                <w:sz w:val="14"/>
                <w:szCs w:val="14"/>
                <w:b w:val="1"/>
                <w:bCs w:val="1"/>
                <w:color w:val="auto"/>
              </w:rPr>
              <w:t>2010</w:t>
            </w:r>
          </w:p>
        </w:tc>
        <w:tc>
          <w:tcPr>
            <w:tcW w:w="260" w:type="dxa"/>
            <w:vAlign w:val="bottom"/>
          </w:tcPr>
          <w:p>
            <w:pPr>
              <w:spacing w:after="0"/>
              <w:rPr>
                <w:sz w:val="14"/>
                <w:szCs w:val="14"/>
                <w:color w:val="auto"/>
              </w:rPr>
            </w:pPr>
          </w:p>
        </w:tc>
        <w:tc>
          <w:tcPr>
            <w:tcW w:w="1000" w:type="dxa"/>
            <w:vAlign w:val="bottom"/>
            <w:gridSpan w:val="2"/>
          </w:tcPr>
          <w:p>
            <w:pPr>
              <w:jc w:val="right"/>
              <w:ind w:right="199"/>
              <w:spacing w:after="0"/>
              <w:rPr>
                <w:sz w:val="20"/>
                <w:szCs w:val="20"/>
                <w:color w:val="auto"/>
              </w:rPr>
            </w:pPr>
            <w:r>
              <w:rPr>
                <w:rFonts w:ascii="Arial" w:cs="Arial" w:eastAsia="Arial" w:hAnsi="Arial"/>
                <w:sz w:val="14"/>
                <w:szCs w:val="14"/>
                <w:b w:val="1"/>
                <w:bCs w:val="1"/>
                <w:color w:val="auto"/>
              </w:rPr>
              <w:t>2009</w:t>
            </w:r>
          </w:p>
        </w:tc>
        <w:tc>
          <w:tcPr>
            <w:tcW w:w="120" w:type="dxa"/>
            <w:vAlign w:val="bottom"/>
          </w:tcPr>
          <w:p>
            <w:pPr>
              <w:spacing w:after="0"/>
              <w:rPr>
                <w:sz w:val="14"/>
                <w:szCs w:val="14"/>
                <w:color w:val="auto"/>
              </w:rPr>
            </w:pPr>
          </w:p>
        </w:tc>
      </w:tr>
      <w:tr>
        <w:trPr>
          <w:trHeight w:val="201"/>
        </w:trPr>
        <w:tc>
          <w:tcPr>
            <w:tcW w:w="90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 xml:space="preserve">6 </w:t>
            </w:r>
            <w:r>
              <w:rPr>
                <w:rFonts w:ascii="Arial" w:cs="Arial" w:eastAsia="Arial" w:hAnsi="Arial"/>
                <w:sz w:val="11"/>
                <w:szCs w:val="11"/>
                <w:color w:val="auto"/>
                <w:w w:val="91"/>
              </w:rPr>
              <w:t>5</w:t>
            </w:r>
            <w:r>
              <w:rPr>
                <w:rFonts w:ascii="Arial" w:cs="Arial" w:eastAsia="Arial" w:hAnsi="Arial"/>
                <w:sz w:val="18"/>
                <w:szCs w:val="18"/>
                <w:color w:val="auto"/>
                <w:w w:val="91"/>
              </w:rPr>
              <w:t>/</w:t>
            </w:r>
            <w:r>
              <w:rPr>
                <w:rFonts w:ascii="Arial" w:cs="Arial" w:eastAsia="Arial" w:hAnsi="Arial"/>
                <w:sz w:val="13"/>
                <w:szCs w:val="13"/>
                <w:color w:val="auto"/>
                <w:w w:val="91"/>
              </w:rPr>
              <w:t>8</w:t>
            </w:r>
            <w:r>
              <w:rPr>
                <w:rFonts w:ascii="Arial" w:cs="Arial" w:eastAsia="Arial" w:hAnsi="Arial"/>
                <w:sz w:val="18"/>
                <w:szCs w:val="18"/>
                <w:color w:val="auto"/>
                <w:w w:val="91"/>
              </w:rPr>
              <w:t xml:space="preserve"> % Wynn Las Vegas First Mortgage Notes, due December 1, 2014, net of original issue discount of $6,558 at March 31,</w:t>
            </w:r>
          </w:p>
        </w:tc>
        <w:tc>
          <w:tcPr>
            <w:tcW w:w="200" w:type="dxa"/>
            <w:vAlign w:val="bottom"/>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24"/>
        </w:trPr>
        <w:tc>
          <w:tcPr>
            <w:tcW w:w="9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2010 and $6,852 at December 31, 2009</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$1,627,672</w:t>
            </w: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$ 1,627,378</w:t>
            </w:r>
          </w:p>
        </w:tc>
        <w:tc>
          <w:tcPr>
            <w:tcW w:w="120" w:type="dxa"/>
            <w:vAlign w:val="bottom"/>
            <w:shd w:val="clear" w:color="auto" w:fill="CCEEFF"/>
          </w:tcPr>
          <w:p>
            <w:pPr>
              <w:spacing w:after="0"/>
              <w:rPr>
                <w:sz w:val="19"/>
                <w:szCs w:val="19"/>
                <w:color w:val="auto"/>
              </w:rPr>
            </w:pPr>
          </w:p>
        </w:tc>
      </w:tr>
      <w:tr>
        <w:trPr>
          <w:trHeight w:val="208"/>
        </w:trPr>
        <w:tc>
          <w:tcPr>
            <w:tcW w:w="9040" w:type="dxa"/>
            <w:vAlign w:val="bottom"/>
          </w:tcPr>
          <w:p>
            <w:pPr>
              <w:spacing w:after="0"/>
              <w:rPr>
                <w:sz w:val="20"/>
                <w:szCs w:val="20"/>
                <w:color w:val="auto"/>
              </w:rPr>
            </w:pPr>
            <w:r>
              <w:rPr>
                <w:rFonts w:ascii="Arial" w:cs="Arial" w:eastAsia="Arial" w:hAnsi="Arial"/>
                <w:sz w:val="18"/>
                <w:szCs w:val="18"/>
                <w:color w:val="auto"/>
                <w:w w:val="90"/>
              </w:rPr>
              <w:t xml:space="preserve">7 </w:t>
            </w:r>
            <w:r>
              <w:rPr>
                <w:rFonts w:ascii="Arial" w:cs="Arial" w:eastAsia="Arial" w:hAnsi="Arial"/>
                <w:sz w:val="11"/>
                <w:szCs w:val="11"/>
                <w:color w:val="auto"/>
                <w:w w:val="90"/>
              </w:rPr>
              <w:t>7</w:t>
            </w:r>
            <w:r>
              <w:rPr>
                <w:rFonts w:ascii="Arial" w:cs="Arial" w:eastAsia="Arial" w:hAnsi="Arial"/>
                <w:sz w:val="18"/>
                <w:szCs w:val="18"/>
                <w:color w:val="auto"/>
                <w:w w:val="90"/>
              </w:rPr>
              <w:t>/</w:t>
            </w:r>
            <w:r>
              <w:rPr>
                <w:rFonts w:ascii="Arial" w:cs="Arial" w:eastAsia="Arial" w:hAnsi="Arial"/>
                <w:sz w:val="13"/>
                <w:szCs w:val="13"/>
                <w:color w:val="auto"/>
                <w:w w:val="90"/>
              </w:rPr>
              <w:t>8</w:t>
            </w:r>
            <w:r>
              <w:rPr>
                <w:rFonts w:ascii="Arial" w:cs="Arial" w:eastAsia="Arial" w:hAnsi="Arial"/>
                <w:sz w:val="18"/>
                <w:szCs w:val="18"/>
                <w:color w:val="auto"/>
                <w:w w:val="90"/>
              </w:rPr>
              <w:t xml:space="preserve"> % Wynn Las Vegas First Mortgage Notes, due November 1, 2017, net of original issue discount of $ 10,449 at March 31,</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22"/>
        </w:trPr>
        <w:tc>
          <w:tcPr>
            <w:tcW w:w="9040" w:type="dxa"/>
            <w:vAlign w:val="bottom"/>
          </w:tcPr>
          <w:p>
            <w:pPr>
              <w:ind w:left="220"/>
              <w:spacing w:after="0"/>
              <w:rPr>
                <w:sz w:val="20"/>
                <w:szCs w:val="20"/>
                <w:color w:val="auto"/>
              </w:rPr>
            </w:pPr>
            <w:r>
              <w:rPr>
                <w:rFonts w:ascii="Arial" w:cs="Arial" w:eastAsia="Arial" w:hAnsi="Arial"/>
                <w:sz w:val="18"/>
                <w:szCs w:val="18"/>
                <w:color w:val="auto"/>
              </w:rPr>
              <w:t>2010 and $10,529 at December 31, 2009</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489,551</w:t>
            </w:r>
          </w:p>
        </w:tc>
        <w:tc>
          <w:tcPr>
            <w:tcW w:w="26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489,471</w:t>
            </w:r>
          </w:p>
        </w:tc>
        <w:tc>
          <w:tcPr>
            <w:tcW w:w="120" w:type="dxa"/>
            <w:vAlign w:val="bottom"/>
          </w:tcPr>
          <w:p>
            <w:pPr>
              <w:spacing w:after="0"/>
              <w:rPr>
                <w:sz w:val="19"/>
                <w:szCs w:val="19"/>
                <w:color w:val="auto"/>
              </w:rPr>
            </w:pPr>
          </w:p>
        </w:tc>
      </w:tr>
      <w:tr>
        <w:trPr>
          <w:trHeight w:val="218"/>
        </w:trPr>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Wynn Las Vegas Revolving Credit Facility; due July 15, 2013; interest at LIBOR plus 3%</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252,717</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252,717</w:t>
            </w:r>
          </w:p>
        </w:tc>
        <w:tc>
          <w:tcPr>
            <w:tcW w:w="120" w:type="dxa"/>
            <w:vAlign w:val="bottom"/>
            <w:shd w:val="clear" w:color="auto" w:fill="CCEEFF"/>
          </w:tcPr>
          <w:p>
            <w:pPr>
              <w:spacing w:after="0"/>
              <w:rPr>
                <w:sz w:val="18"/>
                <w:szCs w:val="18"/>
                <w:color w:val="auto"/>
              </w:rPr>
            </w:pPr>
          </w:p>
        </w:tc>
      </w:tr>
      <w:tr>
        <w:trPr>
          <w:trHeight w:val="208"/>
        </w:trPr>
        <w:tc>
          <w:tcPr>
            <w:tcW w:w="9040" w:type="dxa"/>
            <w:vAlign w:val="bottom"/>
          </w:tcPr>
          <w:p>
            <w:pPr>
              <w:spacing w:after="0"/>
              <w:rPr>
                <w:sz w:val="20"/>
                <w:szCs w:val="20"/>
                <w:color w:val="auto"/>
              </w:rPr>
            </w:pPr>
            <w:r>
              <w:rPr>
                <w:rFonts w:ascii="Arial" w:cs="Arial" w:eastAsia="Arial" w:hAnsi="Arial"/>
                <w:sz w:val="18"/>
                <w:szCs w:val="18"/>
                <w:color w:val="auto"/>
                <w:w w:val="94"/>
              </w:rPr>
              <w:t>Wynn Las Vegas Term Loan Facility; $40.2 million due September 30, 2012 with remaining $40.2 million due August 15,</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22"/>
        </w:trPr>
        <w:tc>
          <w:tcPr>
            <w:tcW w:w="9040" w:type="dxa"/>
            <w:vAlign w:val="bottom"/>
          </w:tcPr>
          <w:p>
            <w:pPr>
              <w:ind w:left="220"/>
              <w:spacing w:after="0"/>
              <w:rPr>
                <w:sz w:val="20"/>
                <w:szCs w:val="20"/>
                <w:color w:val="auto"/>
              </w:rPr>
            </w:pPr>
            <w:r>
              <w:rPr>
                <w:rFonts w:ascii="Arial" w:cs="Arial" w:eastAsia="Arial" w:hAnsi="Arial"/>
                <w:sz w:val="18"/>
                <w:szCs w:val="18"/>
                <w:color w:val="auto"/>
              </w:rPr>
              <w:t>2013; interest at LIBOR plus 1.875%</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80,446</w:t>
            </w:r>
          </w:p>
        </w:tc>
        <w:tc>
          <w:tcPr>
            <w:tcW w:w="26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80,446</w:t>
            </w:r>
          </w:p>
        </w:tc>
        <w:tc>
          <w:tcPr>
            <w:tcW w:w="120" w:type="dxa"/>
            <w:vAlign w:val="bottom"/>
          </w:tcPr>
          <w:p>
            <w:pPr>
              <w:spacing w:after="0"/>
              <w:rPr>
                <w:sz w:val="19"/>
                <w:szCs w:val="19"/>
                <w:color w:val="auto"/>
              </w:rPr>
            </w:pPr>
          </w:p>
        </w:tc>
      </w:tr>
      <w:tr>
        <w:trPr>
          <w:trHeight w:val="210"/>
        </w:trPr>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w w:val="93"/>
              </w:rPr>
              <w:t>Wynn Macau Senior Term Loan Facilities (as amended June 2007); due June 27, 2014; interest at LIBOR or HIBOR plus</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24"/>
        </w:trPr>
        <w:tc>
          <w:tcPr>
            <w:tcW w:w="9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1.75%</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551,823</w:t>
            </w: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552,292</w:t>
            </w:r>
          </w:p>
        </w:tc>
        <w:tc>
          <w:tcPr>
            <w:tcW w:w="120" w:type="dxa"/>
            <w:vAlign w:val="bottom"/>
            <w:shd w:val="clear" w:color="auto" w:fill="CCEEFF"/>
          </w:tcPr>
          <w:p>
            <w:pPr>
              <w:spacing w:after="0"/>
              <w:rPr>
                <w:sz w:val="19"/>
                <w:szCs w:val="19"/>
                <w:color w:val="auto"/>
              </w:rPr>
            </w:pPr>
          </w:p>
        </w:tc>
      </w:tr>
      <w:tr>
        <w:trPr>
          <w:trHeight w:val="216"/>
        </w:trPr>
        <w:tc>
          <w:tcPr>
            <w:tcW w:w="9040" w:type="dxa"/>
            <w:vAlign w:val="bottom"/>
          </w:tcPr>
          <w:p>
            <w:pPr>
              <w:spacing w:after="0"/>
              <w:rPr>
                <w:sz w:val="20"/>
                <w:szCs w:val="20"/>
                <w:color w:val="auto"/>
              </w:rPr>
            </w:pPr>
            <w:r>
              <w:rPr>
                <w:rFonts w:ascii="Arial" w:cs="Arial" w:eastAsia="Arial" w:hAnsi="Arial"/>
                <w:sz w:val="18"/>
                <w:szCs w:val="18"/>
                <w:color w:val="auto"/>
              </w:rPr>
              <w:t>Wynn Macau Senior Revolving Credit Facility, due June 2012; interest at LIBOR or HIBOR plus 1.75%</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215,721</w:t>
            </w:r>
          </w:p>
        </w:tc>
        <w:tc>
          <w:tcPr>
            <w:tcW w:w="26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502,108</w:t>
            </w:r>
          </w:p>
        </w:tc>
        <w:tc>
          <w:tcPr>
            <w:tcW w:w="120" w:type="dxa"/>
            <w:vAlign w:val="bottom"/>
          </w:tcPr>
          <w:p>
            <w:pPr>
              <w:spacing w:after="0"/>
              <w:rPr>
                <w:sz w:val="18"/>
                <w:szCs w:val="18"/>
                <w:color w:val="auto"/>
              </w:rPr>
            </w:pPr>
          </w:p>
        </w:tc>
      </w:tr>
      <w:tr>
        <w:trPr>
          <w:trHeight w:val="216"/>
        </w:trPr>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$42 million Note Payable; due April 1, 2017; interest at LIBOR plus 1.25%</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37,800</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38,150</w:t>
            </w:r>
          </w:p>
        </w:tc>
        <w:tc>
          <w:tcPr>
            <w:tcW w:w="120" w:type="dxa"/>
            <w:vAlign w:val="bottom"/>
            <w:shd w:val="clear" w:color="auto" w:fill="CCEEFF"/>
          </w:tcPr>
          <w:p>
            <w:pPr>
              <w:spacing w:after="0"/>
              <w:rPr>
                <w:sz w:val="18"/>
                <w:szCs w:val="18"/>
                <w:color w:val="auto"/>
              </w:rPr>
            </w:pPr>
          </w:p>
        </w:tc>
      </w:tr>
      <w:tr>
        <w:trPr>
          <w:trHeight w:val="223"/>
        </w:trPr>
        <w:tc>
          <w:tcPr>
            <w:tcW w:w="9040" w:type="dxa"/>
            <w:vAlign w:val="bottom"/>
          </w:tcPr>
          <w:p>
            <w:pPr>
              <w:spacing w:after="0"/>
              <w:rPr>
                <w:sz w:val="20"/>
                <w:szCs w:val="20"/>
                <w:color w:val="auto"/>
              </w:rPr>
            </w:pPr>
            <w:r>
              <w:rPr>
                <w:rFonts w:ascii="Arial" w:cs="Arial" w:eastAsia="Arial" w:hAnsi="Arial"/>
                <w:sz w:val="18"/>
                <w:szCs w:val="18"/>
                <w:color w:val="auto"/>
              </w:rPr>
              <w:t>$32.5 million Note Payable; due August 10, 2012; interest at LIBOR plus 1.15%</w:t>
            </w:r>
          </w:p>
        </w:tc>
        <w:tc>
          <w:tcPr>
            <w:tcW w:w="20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26,000</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26,541</w:t>
            </w:r>
          </w:p>
        </w:tc>
        <w:tc>
          <w:tcPr>
            <w:tcW w:w="120" w:type="dxa"/>
            <w:vAlign w:val="bottom"/>
          </w:tcPr>
          <w:p>
            <w:pPr>
              <w:spacing w:after="0"/>
              <w:rPr>
                <w:sz w:val="19"/>
                <w:szCs w:val="19"/>
                <w:color w:val="auto"/>
              </w:rPr>
            </w:pPr>
          </w:p>
        </w:tc>
      </w:tr>
      <w:tr>
        <w:trPr>
          <w:trHeight w:val="216"/>
        </w:trPr>
        <w:tc>
          <w:tcPr>
            <w:tcW w:w="90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3,281,730</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3,569,103</w:t>
            </w:r>
          </w:p>
        </w:tc>
        <w:tc>
          <w:tcPr>
            <w:tcW w:w="120" w:type="dxa"/>
            <w:vAlign w:val="bottom"/>
            <w:shd w:val="clear" w:color="auto" w:fill="CCEEFF"/>
          </w:tcPr>
          <w:p>
            <w:pPr>
              <w:spacing w:after="0"/>
              <w:rPr>
                <w:sz w:val="18"/>
                <w:szCs w:val="18"/>
                <w:color w:val="auto"/>
              </w:rPr>
            </w:pPr>
          </w:p>
        </w:tc>
      </w:tr>
      <w:tr>
        <w:trPr>
          <w:trHeight w:val="223"/>
        </w:trPr>
        <w:tc>
          <w:tcPr>
            <w:tcW w:w="9040" w:type="dxa"/>
            <w:vAlign w:val="bottom"/>
          </w:tcPr>
          <w:p>
            <w:pPr>
              <w:spacing w:after="0"/>
              <w:rPr>
                <w:sz w:val="20"/>
                <w:szCs w:val="20"/>
                <w:color w:val="auto"/>
              </w:rPr>
            </w:pPr>
            <w:r>
              <w:rPr>
                <w:rFonts w:ascii="Arial" w:cs="Arial" w:eastAsia="Arial" w:hAnsi="Arial"/>
                <w:sz w:val="18"/>
                <w:szCs w:val="18"/>
                <w:color w:val="auto"/>
              </w:rPr>
              <w:t>Current portion of long-term debt</w:t>
            </w:r>
          </w:p>
        </w:tc>
        <w:tc>
          <w:tcPr>
            <w:tcW w:w="20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(2,675)</w:t>
            </w:r>
          </w:p>
        </w:tc>
        <w:tc>
          <w:tcPr>
            <w:tcW w:w="1120" w:type="dxa"/>
            <w:vAlign w:val="bottom"/>
            <w:gridSpan w:val="3"/>
          </w:tcPr>
          <w:p>
            <w:pPr>
              <w:jc w:val="right"/>
              <w:ind w:right="60"/>
              <w:spacing w:after="0"/>
              <w:rPr>
                <w:sz w:val="20"/>
                <w:szCs w:val="20"/>
                <w:color w:val="auto"/>
              </w:rPr>
            </w:pPr>
            <w:r>
              <w:rPr>
                <w:rFonts w:ascii="Arial" w:cs="Arial" w:eastAsia="Arial" w:hAnsi="Arial"/>
                <w:sz w:val="18"/>
                <w:szCs w:val="18"/>
                <w:color w:val="auto"/>
              </w:rPr>
              <w:t>(2,675)</w:t>
            </w:r>
          </w:p>
        </w:tc>
      </w:tr>
      <w:tr>
        <w:trPr>
          <w:trHeight w:val="216"/>
        </w:trPr>
        <w:tc>
          <w:tcPr>
            <w:tcW w:w="9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3,279,055</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 xml:space="preserve"> 3,566,428</w:t>
            </w:r>
          </w:p>
        </w:tc>
        <w:tc>
          <w:tcPr>
            <w:tcW w:w="120" w:type="dxa"/>
            <w:vAlign w:val="bottom"/>
            <w:shd w:val="clear" w:color="auto" w:fill="CCEEFF"/>
          </w:tcPr>
          <w:p>
            <w:pPr>
              <w:spacing w:after="0"/>
              <w:rPr>
                <w:sz w:val="18"/>
                <w:szCs w:val="18"/>
                <w:color w:val="auto"/>
              </w:rPr>
            </w:pPr>
          </w:p>
        </w:tc>
      </w:tr>
      <w:tr>
        <w:trPr>
          <w:trHeight w:val="20"/>
        </w:trPr>
        <w:tc>
          <w:tcPr>
            <w:tcW w:w="9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 xml:space="preserve">6 </w:t>
      </w:r>
      <w:r>
        <w:rPr>
          <w:rFonts w:ascii="Arial" w:cs="Arial" w:eastAsia="Arial" w:hAnsi="Arial"/>
          <w:sz w:val="11"/>
          <w:szCs w:val="11"/>
          <w:i w:val="1"/>
          <w:iCs w:val="1"/>
          <w:color w:val="auto"/>
        </w:rPr>
        <w:t>5</w:t>
      </w:r>
      <w:r>
        <w:rPr>
          <w:rFonts w:ascii="Arial" w:cs="Arial" w:eastAsia="Arial" w:hAnsi="Arial"/>
          <w:sz w:val="18"/>
          <w:szCs w:val="18"/>
          <w:i w:val="1"/>
          <w:iCs w:val="1"/>
          <w:color w:val="auto"/>
        </w:rPr>
        <w:t>/</w:t>
      </w:r>
      <w:r>
        <w:rPr>
          <w:rFonts w:ascii="Arial" w:cs="Arial" w:eastAsia="Arial" w:hAnsi="Arial"/>
          <w:sz w:val="13"/>
          <w:szCs w:val="13"/>
          <w:i w:val="1"/>
          <w:iCs w:val="1"/>
          <w:color w:val="auto"/>
        </w:rPr>
        <w:t>8</w:t>
      </w:r>
      <w:r>
        <w:rPr>
          <w:rFonts w:ascii="Arial" w:cs="Arial" w:eastAsia="Arial" w:hAnsi="Arial"/>
          <w:sz w:val="18"/>
          <w:szCs w:val="18"/>
          <w:i w:val="1"/>
          <w:iCs w:val="1"/>
          <w:color w:val="auto"/>
        </w:rPr>
        <w:t>% Wynn Las Vegas First Mortgage Notes</w:t>
      </w:r>
    </w:p>
    <w:p>
      <w:pPr>
        <w:spacing w:after="0" w:line="90"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 xml:space="preserve">On March 26, 2010, Wynn Las Vegas, LLC and Wynn Las Vegas Capital Corp. (the “issuers”), each a direct or indirect wholly-owned subsidiary of Wynn Resorts, Limited, commenced an offer to exchange all outstanding 6 </w:t>
      </w:r>
      <w:r>
        <w:rPr>
          <w:rFonts w:ascii="Arial" w:cs="Arial" w:eastAsia="Arial" w:hAnsi="Arial"/>
          <w:sz w:val="11"/>
          <w:szCs w:val="11"/>
          <w:color w:val="auto"/>
        </w:rPr>
        <w:t>5</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xml:space="preserve">% First Mortgage Notes due 2014 (the “2014 Notes”) for 7 </w:t>
      </w:r>
      <w:r>
        <w:rPr>
          <w:rFonts w:ascii="Arial" w:cs="Arial" w:eastAsia="Arial" w:hAnsi="Arial"/>
          <w:sz w:val="11"/>
          <w:szCs w:val="11"/>
          <w:color w:val="auto"/>
        </w:rPr>
        <w:t>7</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First Mortgage Notes due 2020</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(the “2020 Notes”) of the issuers, upon the terms and subject to the conditions set forth in an offering memorandum (the “offering memorandum”), and a related letter of transmittal (the “exchange offer”). The exchange offer was conditioned upon, among other things, the tender of at least $250 million aggregate principal amount of 2014 Notes. The 2020 Notes were offered only to qualified institutional buyers and outside the United States in accordance with Rule 144A and Regulation S, respectively, under the Securities Act of 1933, as amended (the “Securities Act”). As of April 23, 2010, the expiration date, approximately $382 million of the 2014 Notes were validly tendered for exchange to the 2020 Notes. The exchange offer closed on April 28, 2010.</w:t>
      </w:r>
    </w:p>
    <w:p>
      <w:pPr>
        <w:spacing w:after="0" w:line="116"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 xml:space="preserve">The 2020 Notes rank pari passu in right of payment with borrowings under Wynn Las Vegas, LLC’s credit facilities, the 2014 Notes and the issuers’ 7 </w:t>
      </w:r>
      <w:r>
        <w:rPr>
          <w:rFonts w:ascii="Arial" w:cs="Arial" w:eastAsia="Arial" w:hAnsi="Arial"/>
          <w:sz w:val="10"/>
          <w:szCs w:val="10"/>
          <w:color w:val="auto"/>
        </w:rPr>
        <w:t>7</w:t>
      </w:r>
      <w:r>
        <w:rPr>
          <w:rFonts w:ascii="Arial" w:cs="Arial" w:eastAsia="Arial" w:hAnsi="Arial"/>
          <w:sz w:val="16"/>
          <w:szCs w:val="16"/>
          <w:color w:val="auto"/>
        </w:rPr>
        <w:t>/</w:t>
      </w:r>
      <w:r>
        <w:rPr>
          <w:rFonts w:ascii="Arial" w:cs="Arial" w:eastAsia="Arial" w:hAnsi="Arial"/>
          <w:sz w:val="12"/>
          <w:szCs w:val="12"/>
          <w:color w:val="auto"/>
        </w:rPr>
        <w:t>8</w:t>
      </w:r>
      <w:r>
        <w:rPr>
          <w:rFonts w:ascii="Arial" w:cs="Arial" w:eastAsia="Arial" w:hAnsi="Arial"/>
          <w:sz w:val="16"/>
          <w:szCs w:val="16"/>
          <w:color w:val="auto"/>
        </w:rPr>
        <w:t>% First Mortgage Notes due 2017 (the “2017 Notes”). The 2020 Notes are senior secured obligations of the issuers, will be guaranteed by certain of Wynn Las Vegas, LLC’s subsidiaries and are secured by a first priority lien on substantially all of the existing and future assets of the issuers and guarantors and, subject to approval from the Nevada Gaming Commission, a first priority lien on the equity interests of Wynn Las Vegas, LLC, all of which is the same collateral that secures borrowings under Wynn Las Vegas, LLC’s credit facilities, the 2014 Notes and the 2017 Notes.</w:t>
      </w:r>
    </w:p>
    <w:p>
      <w:pPr>
        <w:spacing w:after="0" w:line="11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As further described in the offering memorandum, noteholders who validly tendered 2014 Notes prior to the early delivery time received an early delivery payment on April 28, 2010 of 1% of the amount tendered in cash, which totaled approximately $3.8 million. In accordance with accounting standards, this will be included as deferred financing costs and amortized over the life of the 2020 Notes.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Macau Senior Revolving Credit Facility</w:t>
      </w:r>
    </w:p>
    <w:p>
      <w:pPr>
        <w:spacing w:after="0" w:line="90"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During the three months ended March 31, 2010, the Company repaid approximately $286 million of borrowings under the Wynn Macau Senior Revolving Credit Facility. As of March 31, 2010, the outstanding balance was approximately $215.7 million and the Company had approximately $785 million available to borrow under the Wynn Macau Credit Facilities.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Debt Covenant Compliance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March 31, 2010, management believes the Company was in compliance with all debt covenants.</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Fair Value of Long-Term Debt</w:t>
      </w:r>
    </w:p>
    <w:p>
      <w:pPr>
        <w:spacing w:after="0" w:line="90" w:lineRule="exact"/>
        <w:rPr>
          <w:sz w:val="20"/>
          <w:szCs w:val="20"/>
          <w:color w:val="auto"/>
        </w:rPr>
      </w:pPr>
    </w:p>
    <w:p>
      <w:pPr>
        <w:jc w:val="both"/>
        <w:ind w:right="220" w:firstLine="456"/>
        <w:spacing w:after="0" w:line="323" w:lineRule="auto"/>
        <w:rPr>
          <w:sz w:val="20"/>
          <w:szCs w:val="20"/>
          <w:color w:val="auto"/>
        </w:rPr>
      </w:pPr>
      <w:r>
        <w:rPr>
          <w:rFonts w:ascii="Arial" w:cs="Arial" w:eastAsia="Arial" w:hAnsi="Arial"/>
          <w:sz w:val="15"/>
          <w:szCs w:val="15"/>
          <w:color w:val="auto"/>
        </w:rPr>
        <w:t>The net book value of the 2014 Notes and the 2017 Notes at March 31, 2010 and December 31, 2009, was approximately $2.1 billion. The estimated fair value of the 2014 Notes and the 2017 Notes was approximately $2.1 billion at March 31, 2010 and December 31, 2009, respectively. The net book value of the Company’s other debt instruments was approximately $1.2 billion and $1.5 billion at March 31, 2010 and December 31, 2009, respectively. The estimated fair value of the Company’s other debt instruments was approximately $1.1 billion and $1.3 billion at March 31, 2010 and December 31, 2009, respectively.</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Interest Rate Swaps</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Company has entered into floating-for-fixed interest rate swap arrangements in order to manage interest rate risk relating to certain of its debt facilities. These interest rate swap agreements modify the Company’s exposure to interest rate risk by converting a portion of the Company’s floating-rate debt to a fixed rate. These interest rate swaps essentially fix the interest rate at the percentages noted below; however, changes in the fair value of the interest rate swaps for each reporting period have been recorded as an increase/decrease in swap fair value in the accompanying Condensed Consolidated Statements of Operations, as the interest rate swaps do not qualify for hedge accounting.</w:t>
      </w:r>
    </w:p>
    <w:p>
      <w:pPr>
        <w:spacing w:after="0" w:line="143"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The Company measures the fair value of its interest rate swaps on a recurring basis pursuant to accounting standards for fair value measurements. These standards establish a three-tier fair value hierarchy, which</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335" w:lineRule="auto"/>
        <w:rPr>
          <w:sz w:val="20"/>
          <w:szCs w:val="20"/>
          <w:color w:val="auto"/>
        </w:rPr>
      </w:pPr>
      <w:r>
        <w:rPr>
          <w:rFonts w:ascii="Arial" w:cs="Arial" w:eastAsia="Arial" w:hAnsi="Arial"/>
          <w:sz w:val="15"/>
          <w:szCs w:val="15"/>
          <w:color w:val="auto"/>
        </w:rPr>
        <w:t>prioritizes the inputs used in measuring fair value. These tiers include: Level 1, defined as observable inputs such as quoted prices in active markets; Level 2, defined as inputs other than quoted prices in active markets that are either directly or indirectly observable; and Level 3, defined as unobservable inputs in which little or no market data exists, therefore requiring an entity to develop its own assumptions. The Company categorizes these interest rate swaps as Level 2.</w:t>
      </w:r>
    </w:p>
    <w:p>
      <w:pPr>
        <w:spacing w:after="0" w:line="88"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The following table presents the historical fair value of the interest rate swaps recorded in the accompanying Condensed Consolidated Balance Sheets as of March 31, 2010 and December 31, 2009. The fair value approximates the amount the Company would pay if these contracts were settled at the respective valuation dates. Fair value is estimated based upon current, and predictions of future, interest rate levels along a yield curve, the remaining duration of the instruments and other market conditions, and therefore, is subject to significant estimation and a high degree of variability and fluctuation between periods. The fair value is adjusted to reflect the impact of credit ratings of the counterparties or the Company, as applicable. These adjustments resulted in a reduction in the fair values as compared to their settlement values. As of March 31, 2010 and December 31, 2009, these interest rate swaps are included in other long-term liabilities.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Liability fair value:</w:t>
            </w:r>
          </w:p>
        </w:tc>
        <w:tc>
          <w:tcPr>
            <w:tcW w:w="7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tcPr>
          <w:p>
            <w:pPr>
              <w:ind w:left="1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35"/>
        </w:trPr>
        <w:tc>
          <w:tcPr>
            <w:tcW w:w="1420" w:type="dxa"/>
            <w:vAlign w:val="bottom"/>
            <w:gridSpan w:val="3"/>
            <w:vMerge w:val="continue"/>
          </w:tcPr>
          <w:p>
            <w:pPr>
              <w:spacing w:after="0"/>
              <w:rPr>
                <w:sz w:val="11"/>
                <w:szCs w:val="11"/>
                <w:color w:val="auto"/>
              </w:rPr>
            </w:pPr>
          </w:p>
        </w:tc>
        <w:tc>
          <w:tcPr>
            <w:tcW w:w="7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ind w:right="39"/>
              <w:spacing w:after="0" w:line="135" w:lineRule="exact"/>
              <w:rPr>
                <w:sz w:val="20"/>
                <w:szCs w:val="20"/>
                <w:color w:val="auto"/>
              </w:rPr>
            </w:pPr>
            <w:r>
              <w:rPr>
                <w:rFonts w:ascii="Arial" w:cs="Arial" w:eastAsia="Arial" w:hAnsi="Arial"/>
                <w:sz w:val="14"/>
                <w:szCs w:val="14"/>
                <w:b w:val="1"/>
                <w:bCs w:val="1"/>
                <w:color w:val="auto"/>
                <w:w w:val="89"/>
              </w:rPr>
              <w:t>Wynn</w:t>
            </w:r>
          </w:p>
        </w:tc>
        <w:tc>
          <w:tcPr>
            <w:tcW w:w="440" w:type="dxa"/>
            <w:vAlign w:val="bottom"/>
          </w:tcPr>
          <w:p>
            <w:pPr>
              <w:spacing w:after="0"/>
              <w:rPr>
                <w:sz w:val="11"/>
                <w:szCs w:val="11"/>
                <w:color w:val="auto"/>
              </w:rPr>
            </w:pPr>
          </w:p>
        </w:tc>
        <w:tc>
          <w:tcPr>
            <w:tcW w:w="5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9"/>
              </w:rPr>
              <w:t>Wynn</w:t>
            </w: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4"/>
                <w:szCs w:val="14"/>
                <w:b w:val="1"/>
                <w:bCs w:val="1"/>
                <w:color w:val="auto"/>
              </w:rPr>
              <w:t>Interest</w:t>
            </w:r>
          </w:p>
        </w:tc>
        <w:tc>
          <w:tcPr>
            <w:tcW w:w="0" w:type="dxa"/>
            <w:vAlign w:val="bottom"/>
          </w:tcPr>
          <w:p>
            <w:pPr>
              <w:spacing w:after="0"/>
              <w:rPr>
                <w:sz w:val="1"/>
                <w:szCs w:val="1"/>
                <w:color w:val="auto"/>
              </w:rPr>
            </w:pPr>
          </w:p>
        </w:tc>
      </w:tr>
      <w:tr>
        <w:trPr>
          <w:trHeight w:val="161"/>
        </w:trPr>
        <w:tc>
          <w:tcPr>
            <w:tcW w:w="1420" w:type="dxa"/>
            <w:vAlign w:val="bottom"/>
            <w:gridSpan w:val="3"/>
          </w:tcPr>
          <w:p>
            <w:pPr>
              <w:spacing w:after="0"/>
              <w:rPr>
                <w:sz w:val="20"/>
                <w:szCs w:val="20"/>
                <w:color w:val="auto"/>
              </w:rPr>
            </w:pPr>
            <w:r>
              <w:rPr>
                <w:rFonts w:ascii="Arial" w:cs="Arial" w:eastAsia="Arial" w:hAnsi="Arial"/>
                <w:sz w:val="14"/>
                <w:szCs w:val="14"/>
                <w:b w:val="1"/>
                <w:bCs w:val="1"/>
                <w:color w:val="auto"/>
                <w:w w:val="88"/>
              </w:rPr>
              <w:t>(amounts in thousands)</w:t>
            </w:r>
          </w:p>
        </w:tc>
        <w:tc>
          <w:tcPr>
            <w:tcW w:w="7280" w:type="dxa"/>
            <w:vAlign w:val="bottom"/>
          </w:tcPr>
          <w:p>
            <w:pPr>
              <w:spacing w:after="0"/>
              <w:rPr>
                <w:sz w:val="14"/>
                <w:szCs w:val="14"/>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b w:val="1"/>
                <w:bCs w:val="1"/>
                <w:color w:val="auto"/>
                <w:w w:val="77"/>
              </w:rPr>
              <w:t>Las Vegas</w:t>
            </w:r>
          </w:p>
        </w:tc>
        <w:tc>
          <w:tcPr>
            <w:tcW w:w="44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91"/>
              </w:rPr>
              <w:t>Macau</w:t>
            </w:r>
          </w:p>
        </w:tc>
        <w:tc>
          <w:tcPr>
            <w:tcW w:w="440" w:type="dxa"/>
            <w:vAlign w:val="bottom"/>
          </w:tcPr>
          <w:p>
            <w:pPr>
              <w:spacing w:after="0"/>
              <w:rPr>
                <w:sz w:val="14"/>
                <w:szCs w:val="14"/>
                <w:color w:val="auto"/>
              </w:rPr>
            </w:pPr>
          </w:p>
        </w:tc>
        <w:tc>
          <w:tcPr>
            <w:tcW w:w="700" w:type="dxa"/>
            <w:vAlign w:val="bottom"/>
            <w:gridSpan w:val="3"/>
          </w:tcPr>
          <w:p>
            <w:pPr>
              <w:spacing w:after="0"/>
              <w:rPr>
                <w:sz w:val="20"/>
                <w:szCs w:val="20"/>
                <w:color w:val="auto"/>
              </w:rPr>
            </w:pPr>
            <w:r>
              <w:rPr>
                <w:rFonts w:ascii="Arial" w:cs="Arial" w:eastAsia="Arial" w:hAnsi="Arial"/>
                <w:sz w:val="14"/>
                <w:szCs w:val="14"/>
                <w:b w:val="1"/>
                <w:bCs w:val="1"/>
                <w:color w:val="auto"/>
                <w:w w:val="86"/>
              </w:rPr>
              <w:t>Rate Swaps</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7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0" w:type="dxa"/>
            <w:vAlign w:val="bottom"/>
            <w:shd w:val="clear" w:color="auto" w:fill="CCEEFF"/>
          </w:tcPr>
          <w:p>
            <w:pPr>
              <w:spacing w:after="0"/>
              <w:rPr>
                <w:sz w:val="20"/>
                <w:szCs w:val="20"/>
                <w:color w:val="auto"/>
              </w:rPr>
            </w:pPr>
            <w:r>
              <w:rPr>
                <w:rFonts w:ascii="Arial" w:cs="Arial" w:eastAsia="Arial" w:hAnsi="Arial"/>
                <w:sz w:val="18"/>
                <w:szCs w:val="18"/>
                <w:color w:val="auto"/>
                <w:w w:val="89"/>
              </w:rPr>
              <w:t>March 31,</w:t>
            </w:r>
          </w:p>
        </w:tc>
        <w:tc>
          <w:tcPr>
            <w:tcW w:w="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2010</w:t>
            </w:r>
          </w:p>
        </w:tc>
        <w:tc>
          <w:tcPr>
            <w:tcW w:w="7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6,502</w:t>
            </w:r>
          </w:p>
        </w:tc>
        <w:tc>
          <w:tcPr>
            <w:tcW w:w="1020" w:type="dxa"/>
            <w:vAlign w:val="bottom"/>
            <w:gridSpan w:val="2"/>
            <w:shd w:val="clear" w:color="auto" w:fill="CCEEFF"/>
          </w:tcPr>
          <w:p>
            <w:pPr>
              <w:jc w:val="center"/>
              <w:ind w:left="352"/>
              <w:spacing w:after="0"/>
              <w:rPr>
                <w:sz w:val="20"/>
                <w:szCs w:val="20"/>
                <w:color w:val="auto"/>
              </w:rPr>
            </w:pPr>
            <w:r>
              <w:rPr>
                <w:rFonts w:ascii="Arial" w:cs="Arial" w:eastAsia="Arial" w:hAnsi="Arial"/>
                <w:sz w:val="18"/>
                <w:szCs w:val="18"/>
                <w:color w:val="auto"/>
                <w:w w:val="89"/>
              </w:rPr>
              <w:t>$17,669</w:t>
            </w:r>
          </w:p>
        </w:tc>
        <w:tc>
          <w:tcPr>
            <w:tcW w:w="5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ind w:left="100"/>
              <w:spacing w:after="0"/>
              <w:rPr>
                <w:sz w:val="20"/>
                <w:szCs w:val="20"/>
                <w:color w:val="auto"/>
              </w:rPr>
            </w:pPr>
            <w:r>
              <w:rPr>
                <w:rFonts w:ascii="Arial" w:cs="Arial" w:eastAsia="Arial" w:hAnsi="Arial"/>
                <w:sz w:val="18"/>
                <w:szCs w:val="18"/>
                <w:color w:val="auto"/>
                <w:w w:val="83"/>
              </w:rPr>
              <w:t>24,171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20"/>
                <w:szCs w:val="20"/>
                <w:color w:val="auto"/>
              </w:rPr>
            </w:pPr>
            <w:r>
              <w:rPr>
                <w:rFonts w:ascii="Arial" w:cs="Arial" w:eastAsia="Arial" w:hAnsi="Arial"/>
                <w:sz w:val="18"/>
                <w:szCs w:val="18"/>
                <w:color w:val="auto"/>
                <w:w w:val="86"/>
              </w:rPr>
              <w:t>December</w:t>
            </w:r>
          </w:p>
        </w:tc>
        <w:tc>
          <w:tcPr>
            <w:tcW w:w="660" w:type="dxa"/>
            <w:vAlign w:val="bottom"/>
          </w:tcPr>
          <w:p>
            <w:pPr>
              <w:ind w:left="20"/>
              <w:spacing w:after="0"/>
              <w:rPr>
                <w:sz w:val="20"/>
                <w:szCs w:val="20"/>
                <w:color w:val="auto"/>
              </w:rPr>
            </w:pPr>
            <w:r>
              <w:rPr>
                <w:rFonts w:ascii="Arial" w:cs="Arial" w:eastAsia="Arial" w:hAnsi="Arial"/>
                <w:sz w:val="18"/>
                <w:szCs w:val="18"/>
                <w:color w:val="auto"/>
                <w:w w:val="88"/>
              </w:rPr>
              <w:t>31, 2009</w:t>
            </w:r>
          </w:p>
        </w:tc>
        <w:tc>
          <w:tcPr>
            <w:tcW w:w="7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4,224</w:t>
            </w:r>
          </w:p>
        </w:tc>
        <w:tc>
          <w:tcPr>
            <w:tcW w:w="1020" w:type="dxa"/>
            <w:vAlign w:val="bottom"/>
            <w:gridSpan w:val="2"/>
          </w:tcPr>
          <w:p>
            <w:pPr>
              <w:jc w:val="center"/>
              <w:ind w:left="352"/>
              <w:spacing w:after="0"/>
              <w:rPr>
                <w:sz w:val="20"/>
                <w:szCs w:val="20"/>
                <w:color w:val="auto"/>
              </w:rPr>
            </w:pPr>
            <w:r>
              <w:rPr>
                <w:rFonts w:ascii="Arial" w:cs="Arial" w:eastAsia="Arial" w:hAnsi="Arial"/>
                <w:sz w:val="18"/>
                <w:szCs w:val="18"/>
                <w:color w:val="auto"/>
                <w:w w:val="89"/>
              </w:rPr>
              <w:t>$16,345</w:t>
            </w:r>
          </w:p>
        </w:tc>
        <w:tc>
          <w:tcPr>
            <w:tcW w:w="540" w:type="dxa"/>
            <w:vAlign w:val="bottom"/>
            <w:gridSpan w:val="2"/>
          </w:tcPr>
          <w:p>
            <w:pPr>
              <w:ind w:left="440"/>
              <w:spacing w:after="0"/>
              <w:rPr>
                <w:sz w:val="20"/>
                <w:szCs w:val="20"/>
                <w:color w:val="auto"/>
              </w:rPr>
            </w:pPr>
            <w:r>
              <w:rPr>
                <w:rFonts w:ascii="Arial" w:cs="Arial" w:eastAsia="Arial" w:hAnsi="Arial"/>
                <w:sz w:val="18"/>
                <w:szCs w:val="18"/>
                <w:color w:val="auto"/>
                <w:w w:val="79"/>
              </w:rPr>
              <w:t>$</w:t>
            </w:r>
          </w:p>
        </w:tc>
        <w:tc>
          <w:tcPr>
            <w:tcW w:w="580" w:type="dxa"/>
            <w:vAlign w:val="bottom"/>
          </w:tcPr>
          <w:p>
            <w:pPr>
              <w:ind w:left="100"/>
              <w:spacing w:after="0"/>
              <w:rPr>
                <w:sz w:val="20"/>
                <w:szCs w:val="20"/>
                <w:color w:val="auto"/>
              </w:rPr>
            </w:pPr>
            <w:r>
              <w:rPr>
                <w:rFonts w:ascii="Arial" w:cs="Arial" w:eastAsia="Arial" w:hAnsi="Arial"/>
                <w:sz w:val="18"/>
                <w:szCs w:val="18"/>
                <w:color w:val="auto"/>
                <w:w w:val="83"/>
              </w:rPr>
              <w:t>20,569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2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Las Vegas Swap</w:t>
      </w:r>
    </w:p>
    <w:p>
      <w:pPr>
        <w:spacing w:after="0" w:line="90" w:lineRule="exact"/>
        <w:rPr>
          <w:sz w:val="20"/>
          <w:szCs w:val="20"/>
          <w:color w:val="auto"/>
        </w:rPr>
      </w:pPr>
    </w:p>
    <w:p>
      <w:pPr>
        <w:ind w:right="200" w:firstLine="456"/>
        <w:spacing w:after="0" w:line="323" w:lineRule="auto"/>
        <w:rPr>
          <w:sz w:val="20"/>
          <w:szCs w:val="20"/>
          <w:color w:val="auto"/>
        </w:rPr>
      </w:pPr>
      <w:r>
        <w:rPr>
          <w:rFonts w:ascii="Arial" w:cs="Arial" w:eastAsia="Arial" w:hAnsi="Arial"/>
          <w:sz w:val="15"/>
          <w:szCs w:val="15"/>
          <w:color w:val="auto"/>
        </w:rPr>
        <w:t>The Company currently has one interest rate swap agreement to hedge a portion of the underlying interest rate risk on borrowings under the Wynn Las Vegas Credit Facilities. Under this swap agreement, the Company pays a fixed interest rate of 2.485% on borrowings of $250 million incurred under the Wynn Las Vegas Credit Facilities in exchange for receipts on the same amount at a variable interest rate based on the applicable LIBOR at the time of payment. This interest rate swap fixes the interest rate on $250 million of borrowings at approximately 5.485%. This interest rate swap agreement matures in November 2012.</w:t>
      </w:r>
    </w:p>
    <w:p>
      <w:pPr>
        <w:spacing w:after="0" w:line="17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Macau Swaps</w:t>
      </w:r>
    </w:p>
    <w:p>
      <w:pPr>
        <w:spacing w:after="0" w:line="90"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The Company has two interest rate swap agreements to hedge a portion of the underlying interest rate risk on borrowings under the Wynn Macau Term Loan. Under the first swap agreement, the Company pays a fixed interest rate of 3.632% on U.S. dollar borrowings of approximately $153.8 million incurred under the Wynn Macau Term Loan in exchange for receipts on the same amount at a variable interest rate based on the applicable LIBOR at the time of payment. Under the second swap agreement, the Company pays a fixed interest rate of 3.39% on Hong Kong dollar borrowings of approximately HK $991.6 million (approximately U.S. $127.9 million) incurred under the Wynn Macau Term Loan in exchange for receipt on the same amount at a variable interest rate based on the applicable HIBOR at the time of payment. These interest rate swaps fix the interest rates on the U.S. dollar and the Hong Kong dollar borrowings under the Wynn Macau Term Loan at approximately 5.382% and 5.14%, respectively. These interest rate swap agreements mature in August 2011.</w:t>
      </w:r>
    </w:p>
    <w:p>
      <w:pPr>
        <w:spacing w:after="0" w:line="118"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Company entered into a third interest rate swap agreement effective November 27, 2009, to hedge a portion of the underlying interest rate risk on borrowings under the Wynn Macau Revolver. Under this swap agreement, the Company pays a fixed interest rate of 2.15% on borrowings of approximately HK$2.3 billion (approximately U.S. $300 million) incurred under the Wynn Macau Revolver in exchange for receipts on the same amount at a variable interest rate based on the applicable HIBOR at the time of payment. This interest rate swap fixes the interest rate on such borrowings at approximately 3.9%. This interest rate swap agreement matures in June 2012.</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Related Party Transactions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Amounts Due to Officers</w:t>
      </w:r>
    </w:p>
    <w:p>
      <w:pPr>
        <w:spacing w:after="0" w:line="9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Company periodically provides services to Stephen A. Wynn, Chairman of the Board of Directors and Chief Executive Officer (“Mr. Wynn”), and certain other officers and directors of the Company, including household employees, construction work and other personal services. Mr. Wynn and the other officers and directors have deposits with the Company to prepay any such items, which are replenished on an ongoing basis as needed. As of March 31, 2010 and December 31, 2009, Mr. Wynn and the other officers and directors had a net deposit balance with the Company of approximately $402,139 and $789,095, respectively.</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Villa Suite Lease</w:t>
      </w:r>
    </w:p>
    <w:p>
      <w:pPr>
        <w:spacing w:after="0" w:line="9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Mr. Wynn and Elaine P. Wynn, who is also a director of Wynn Resorts, each lease from year to year a villa suite in the Wynn Las Vegas resort. Pursuant to a lease agreement, as of July 1, 2008, the rent was $520,000 per year for a villa suite. In March 2009, this lease was amended to add an additional unit with no change in rent due to due to the significant deterioration in the Las Vegas rental market.</w:t>
      </w:r>
    </w:p>
    <w:p>
      <w:pPr>
        <w:spacing w:after="0" w:line="14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On March 17, 2010, Elaine P. Wynn and Wynn Las Vegas entered into an Agreement of Lease (the “EW Lease”) for the lease of a villa suite as Elaine P. Wynn’s personal residence. The EW Lease was approved by the Audit Committee of the Board of Directors of the Company. The term of the lease commenced as of March 1, 2010 and terminates December 31, 2010. Pursuant to the terms of the EW Lease, Elaine P. Wynn will pay annual rent equal to $350,000, which amount was determined by the Audit Committee with the assistance of a third-party appraisal. Certain services for, and maintenance of, the villa suite are included in the rental. The EW Lease superseded the terms of the prior agreement.</w:t>
      </w:r>
    </w:p>
    <w:p>
      <w:pPr>
        <w:spacing w:after="0" w:line="116"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On March 18, 2010, Mr. Wynn and Wynn Las Vegas entered into an Amended and Restated Agreement of Lease (the “SW Lease”) for a villa suite to serve as Mr. Wynn’s personal residence. The SW Lease amends and restates a prior lease. The SW Lease was approved by the Audit Committee of the Board of Directors of the Company. The term of the SW Lease commenced as of March 1, 2010 and runs concurrent with Mr. Wynn’s employment agreement with the Company; provided that either party may terminate on 90 days notice. Pursuant to the SW Lease, the rental value of the villa suite will be treated as imputed income to Mr. Wynn, and will be equal to the fair market value of the accommodations provided. Effective March 1, 2010, and for the first two years of the term of the SW Lease, the rental value will be $503,831 per year. The rental value for the villa suite will be re-determined every two years during the term of the lease by the Audit Committee, with the assistance of an independent third-party appraisal. Certain services for, and maintenance of, the villa suite is included in the rental.</w:t>
      </w:r>
    </w:p>
    <w:p>
      <w:pPr>
        <w:spacing w:after="0" w:line="22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The “Wynn” Surname Rights Agreement</w:t>
      </w:r>
    </w:p>
    <w:p>
      <w:pPr>
        <w:spacing w:after="0" w:line="9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On August 6, 2004, the Company entered into agreements with Mr. Wynn that confirm and clarify the Company’s rights to use the “Wynn” name and Mr. Wynn’s persona in connection with its casino resorts. Under the parties’ Surname Rights Agreement, Mr. Wynn granted the Company an exclusive, fully paid-up, perpetual, worldwide license to use, and to own and register trademarks and service marks incorporating the “Wynn” name for casino resorts and related businesses, together with the right to sublicense the name and marks to its affiliates. Under the parties’ Rights of Publicity License, Mr. Wynn granted the Company the exclusive, royalty-free, worldwide right to use his full name, persona and related rights of publicity for casino resorts and related businesses, together with the ability to sublicense the persona and publicity rights to its affiliates, until October 24, 2017.</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Property Charges and Other</w:t>
      </w:r>
    </w:p>
    <w:p>
      <w:pPr>
        <w:spacing w:after="0" w:line="96"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Property charges and other for the three months ended March 31, 2010 and 2009 were $1.9 million and $16.5 million, respectively. Property charges generally include costs related to the retirement of assets for remodels and asset abandonments. Property charges and other for the three months ended March 31, 2010, were related to miscellaneous renovations and abandonments at Wynn Las Vegas and Wynn Macau.</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Property charges and other for the three months ended March 31, 2009, include the write-off of $14.9 million of aircraft purchase deposits. On February 19, 2009, the Company cancelled agreements to purchase two aircraft. The deposit on one of the aircraft was refundable to the extent another buyer was found. Due to the uncertainty as to the recoverability of this deposit and a $1.5 million nonrefundable deposit on a second aircraft, the Company wrote off these deposits in the first quarter of 2009. In the second quarter of 2009 another buyer was found and we recovered $8.1 million of these deposits. The remaining property charges were related to renovations, abandonments and loss on sale of equipment at Wynn Las Vegas and Wynn Macau.</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Non-controlling Interest</w:t>
      </w:r>
    </w:p>
    <w:p>
      <w:pPr>
        <w:spacing w:after="0" w:line="96"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In October 2009, Wynn Macau, Limited, a newly formed and indirect wholly-owned subsidiary of the Company and the developer, owner and operator of Wynn Macau, had its ordinary shares of common stock listed on The Stock Exchange of Hong Kong Limited. Through an initial public offering, including the over allotment, Wynn Macau, Limited sold 1,437,500,000 shares (27.7%) of this subsidiary’s common stock (the “Wynn Macau Limited IPO”). The shares of Wynn Macau, Limited were not and will not be registered under the Securities Act and may not be offered or sold in the United States absent a registration under the Securities Act as amended, or an applicable exception from such registration requirements. Net income attributable to non-controlling interest was $30.9 million for the three months ended March 31, 2010.</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Share-Based Compensation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total compensation cost relating both to stock options and nonvested stock is allocated as follows (amounts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5"/>
          </w:tcPr>
          <w:p>
            <w:pPr>
              <w:jc w:val="right"/>
              <w:ind w:right="200"/>
              <w:spacing w:after="0"/>
              <w:rPr>
                <w:sz w:val="20"/>
                <w:szCs w:val="20"/>
                <w:color w:val="auto"/>
              </w:rPr>
            </w:pPr>
            <w:r>
              <w:rPr>
                <w:rFonts w:ascii="Arial" w:cs="Arial" w:eastAsia="Arial" w:hAnsi="Arial"/>
                <w:sz w:val="14"/>
                <w:szCs w:val="14"/>
                <w:b w:val="1"/>
                <w:bCs w:val="1"/>
                <w:color w:val="auto"/>
                <w:w w:val="92"/>
              </w:rPr>
              <w:t>Three Months Ended</w:t>
            </w:r>
          </w:p>
        </w:tc>
      </w:tr>
      <w:tr>
        <w:trPr>
          <w:trHeight w:val="161"/>
        </w:trPr>
        <w:tc>
          <w:tcPr>
            <w:tcW w:w="98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rPr>
              <w:t>March 31,</w:t>
            </w:r>
          </w:p>
        </w:tc>
        <w:tc>
          <w:tcPr>
            <w:tcW w:w="4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42"/>
        </w:trPr>
        <w:tc>
          <w:tcPr>
            <w:tcW w:w="98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58"/>
              <w:spacing w:after="0" w:line="142" w:lineRule="exact"/>
              <w:rPr>
                <w:sz w:val="20"/>
                <w:szCs w:val="20"/>
                <w:color w:val="auto"/>
              </w:rPr>
            </w:pPr>
            <w:r>
              <w:rPr>
                <w:rFonts w:ascii="Arial" w:cs="Arial" w:eastAsia="Arial" w:hAnsi="Arial"/>
                <w:sz w:val="14"/>
                <w:szCs w:val="14"/>
                <w:b w:val="1"/>
                <w:bCs w:val="1"/>
                <w:color w:val="auto"/>
                <w:w w:val="89"/>
              </w:rPr>
              <w:t>2010</w:t>
            </w:r>
          </w:p>
        </w:tc>
        <w:tc>
          <w:tcPr>
            <w:tcW w:w="4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w w:val="89"/>
              </w:rPr>
              <w:t>2009</w:t>
            </w:r>
          </w:p>
        </w:tc>
        <w:tc>
          <w:tcPr>
            <w:tcW w:w="20" w:type="dxa"/>
            <w:vAlign w:val="bottom"/>
          </w:tcPr>
          <w:p>
            <w:pPr>
              <w:spacing w:after="0"/>
              <w:rPr>
                <w:sz w:val="12"/>
                <w:szCs w:val="12"/>
                <w:color w:val="auto"/>
              </w:rPr>
            </w:pPr>
          </w:p>
        </w:tc>
      </w:tr>
      <w:tr>
        <w:trPr>
          <w:trHeight w:val="210"/>
        </w:trPr>
        <w:tc>
          <w:tcPr>
            <w:tcW w:w="9820" w:type="dxa"/>
            <w:vAlign w:val="bottom"/>
            <w:shd w:val="clear" w:color="auto" w:fill="CCEEFF"/>
          </w:tcPr>
          <w:p>
            <w:pPr>
              <w:spacing w:after="0"/>
              <w:rPr>
                <w:sz w:val="20"/>
                <w:szCs w:val="20"/>
                <w:color w:val="auto"/>
              </w:rPr>
            </w:pPr>
            <w:r>
              <w:rPr>
                <w:rFonts w:ascii="Arial" w:cs="Arial" w:eastAsia="Arial" w:hAnsi="Arial"/>
                <w:sz w:val="18"/>
                <w:szCs w:val="18"/>
                <w:color w:val="auto"/>
              </w:rPr>
              <w:t>Casino</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2,501</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1,850</w:t>
            </w:r>
          </w:p>
        </w:tc>
        <w:tc>
          <w:tcPr>
            <w:tcW w:w="20" w:type="dxa"/>
            <w:vAlign w:val="bottom"/>
          </w:tcPr>
          <w:p>
            <w:pPr>
              <w:spacing w:after="0"/>
              <w:rPr>
                <w:sz w:val="18"/>
                <w:szCs w:val="18"/>
                <w:color w:val="auto"/>
              </w:rPr>
            </w:pPr>
          </w:p>
        </w:tc>
      </w:tr>
      <w:tr>
        <w:trPr>
          <w:trHeight w:val="216"/>
        </w:trPr>
        <w:tc>
          <w:tcPr>
            <w:tcW w:w="9820" w:type="dxa"/>
            <w:vAlign w:val="bottom"/>
          </w:tcPr>
          <w:p>
            <w:pPr>
              <w:spacing w:after="0"/>
              <w:rPr>
                <w:sz w:val="20"/>
                <w:szCs w:val="20"/>
                <w:color w:val="auto"/>
              </w:rPr>
            </w:pPr>
            <w:r>
              <w:rPr>
                <w:rFonts w:ascii="Arial" w:cs="Arial" w:eastAsia="Arial" w:hAnsi="Arial"/>
                <w:sz w:val="18"/>
                <w:szCs w:val="18"/>
                <w:color w:val="auto"/>
              </w:rPr>
              <w:t>Rooms</w:t>
            </w: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135</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135</w:t>
            </w:r>
          </w:p>
        </w:tc>
        <w:tc>
          <w:tcPr>
            <w:tcW w:w="20" w:type="dxa"/>
            <w:vAlign w:val="bottom"/>
          </w:tcPr>
          <w:p>
            <w:pPr>
              <w:spacing w:after="0"/>
              <w:rPr>
                <w:sz w:val="18"/>
                <w:szCs w:val="18"/>
                <w:color w:val="auto"/>
              </w:rPr>
            </w:pPr>
          </w:p>
        </w:tc>
      </w:tr>
      <w:tr>
        <w:trPr>
          <w:trHeight w:val="216"/>
        </w:trPr>
        <w:tc>
          <w:tcPr>
            <w:tcW w:w="9820" w:type="dxa"/>
            <w:vAlign w:val="bottom"/>
            <w:shd w:val="clear" w:color="auto" w:fill="CCEEFF"/>
          </w:tcPr>
          <w:p>
            <w:pPr>
              <w:spacing w:after="0"/>
              <w:rPr>
                <w:sz w:val="20"/>
                <w:szCs w:val="20"/>
                <w:color w:val="auto"/>
              </w:rPr>
            </w:pPr>
            <w:r>
              <w:rPr>
                <w:rFonts w:ascii="Arial" w:cs="Arial" w:eastAsia="Arial" w:hAnsi="Arial"/>
                <w:sz w:val="18"/>
                <w:szCs w:val="18"/>
                <w:color w:val="auto"/>
              </w:rPr>
              <w:t>Food and beverage</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20" w:type="dxa"/>
            <w:vAlign w:val="bottom"/>
          </w:tcPr>
          <w:p>
            <w:pPr>
              <w:spacing w:after="0"/>
              <w:rPr>
                <w:sz w:val="18"/>
                <w:szCs w:val="18"/>
                <w:color w:val="auto"/>
              </w:rPr>
            </w:pPr>
          </w:p>
        </w:tc>
      </w:tr>
      <w:tr>
        <w:trPr>
          <w:trHeight w:val="216"/>
        </w:trPr>
        <w:tc>
          <w:tcPr>
            <w:tcW w:w="9820" w:type="dxa"/>
            <w:vAlign w:val="bottom"/>
          </w:tcPr>
          <w:p>
            <w:pPr>
              <w:spacing w:after="0"/>
              <w:rPr>
                <w:sz w:val="20"/>
                <w:szCs w:val="20"/>
                <w:color w:val="auto"/>
              </w:rPr>
            </w:pPr>
            <w:r>
              <w:rPr>
                <w:rFonts w:ascii="Arial" w:cs="Arial" w:eastAsia="Arial" w:hAnsi="Arial"/>
                <w:sz w:val="18"/>
                <w:szCs w:val="18"/>
                <w:color w:val="auto"/>
              </w:rPr>
              <w:t>Entertainment, retail and other</w:t>
            </w: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35</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50</w:t>
            </w:r>
          </w:p>
        </w:tc>
        <w:tc>
          <w:tcPr>
            <w:tcW w:w="20" w:type="dxa"/>
            <w:vAlign w:val="bottom"/>
          </w:tcPr>
          <w:p>
            <w:pPr>
              <w:spacing w:after="0"/>
              <w:rPr>
                <w:sz w:val="18"/>
                <w:szCs w:val="18"/>
                <w:color w:val="auto"/>
              </w:rPr>
            </w:pPr>
          </w:p>
        </w:tc>
      </w:tr>
      <w:tr>
        <w:trPr>
          <w:trHeight w:val="216"/>
        </w:trPr>
        <w:tc>
          <w:tcPr>
            <w:tcW w:w="982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2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4,200</w:t>
            </w:r>
          </w:p>
        </w:tc>
        <w:tc>
          <w:tcPr>
            <w:tcW w:w="4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3,216</w:t>
            </w:r>
          </w:p>
        </w:tc>
        <w:tc>
          <w:tcPr>
            <w:tcW w:w="20" w:type="dxa"/>
            <w:vAlign w:val="bottom"/>
          </w:tcPr>
          <w:p>
            <w:pPr>
              <w:spacing w:after="0"/>
              <w:rPr>
                <w:sz w:val="18"/>
                <w:szCs w:val="18"/>
                <w:color w:val="auto"/>
              </w:rPr>
            </w:pPr>
          </w:p>
        </w:tc>
      </w:tr>
      <w:tr>
        <w:trPr>
          <w:trHeight w:val="221"/>
        </w:trPr>
        <w:tc>
          <w:tcPr>
            <w:tcW w:w="9820" w:type="dxa"/>
            <w:vAlign w:val="bottom"/>
          </w:tcPr>
          <w:p>
            <w:pPr>
              <w:ind w:left="440"/>
              <w:spacing w:after="0"/>
              <w:rPr>
                <w:sz w:val="20"/>
                <w:szCs w:val="20"/>
                <w:color w:val="auto"/>
              </w:rPr>
            </w:pPr>
            <w:r>
              <w:rPr>
                <w:rFonts w:ascii="Arial" w:cs="Arial" w:eastAsia="Arial" w:hAnsi="Arial"/>
                <w:sz w:val="18"/>
                <w:szCs w:val="18"/>
                <w:color w:val="auto"/>
              </w:rPr>
              <w:t>Total stock-based compensation expense</w:t>
            </w:r>
          </w:p>
        </w:tc>
        <w:tc>
          <w:tcPr>
            <w:tcW w:w="1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6,927</w:t>
            </w: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5,429</w:t>
            </w:r>
          </w:p>
        </w:tc>
      </w:tr>
      <w:tr>
        <w:trPr>
          <w:trHeight w:val="218"/>
        </w:trPr>
        <w:tc>
          <w:tcPr>
            <w:tcW w:w="98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stock-based compensation capitalized</w:t>
            </w:r>
          </w:p>
        </w:tc>
        <w:tc>
          <w:tcPr>
            <w:tcW w:w="12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4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20" w:type="dxa"/>
            <w:vAlign w:val="bottom"/>
          </w:tcPr>
          <w:p>
            <w:pPr>
              <w:spacing w:after="0"/>
              <w:rPr>
                <w:sz w:val="18"/>
                <w:szCs w:val="18"/>
                <w:color w:val="auto"/>
              </w:rPr>
            </w:pPr>
          </w:p>
        </w:tc>
      </w:tr>
      <w:tr>
        <w:trPr>
          <w:trHeight w:val="222"/>
        </w:trPr>
        <w:tc>
          <w:tcPr>
            <w:tcW w:w="9820" w:type="dxa"/>
            <w:vAlign w:val="bottom"/>
          </w:tcPr>
          <w:p>
            <w:pPr>
              <w:spacing w:after="0"/>
              <w:rPr>
                <w:sz w:val="20"/>
                <w:szCs w:val="20"/>
                <w:color w:val="auto"/>
              </w:rPr>
            </w:pPr>
            <w:r>
              <w:rPr>
                <w:rFonts w:ascii="Arial" w:cs="Arial" w:eastAsia="Arial" w:hAnsi="Arial"/>
                <w:sz w:val="18"/>
                <w:szCs w:val="18"/>
                <w:color w:val="auto"/>
              </w:rPr>
              <w:t>Total stock-based compensation costs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7,073</w:t>
            </w: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5,575</w:t>
            </w:r>
          </w:p>
        </w:tc>
      </w:tr>
      <w:tr>
        <w:trPr>
          <w:trHeight w:val="20"/>
        </w:trPr>
        <w:tc>
          <w:tcPr>
            <w:tcW w:w="98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42" w:lineRule="exact"/>
        <w:rPr>
          <w:sz w:val="20"/>
          <w:szCs w:val="20"/>
          <w:color w:val="auto"/>
        </w:rPr>
      </w:pPr>
    </w:p>
    <w:p>
      <w:pPr>
        <w:ind w:right="8660" w:firstLine="8"/>
        <w:spacing w:after="0" w:line="347" w:lineRule="auto"/>
        <w:tabs>
          <w:tab w:leader="none" w:pos="263"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b w:val="1"/>
          <w:bCs w:val="1"/>
          <w:i w:val="1"/>
          <w:iCs w:val="1"/>
          <w:color w:val="auto"/>
        </w:rPr>
        <w:t>Wynn Macau</w:t>
      </w:r>
    </w:p>
    <w:p>
      <w:pPr>
        <w:spacing w:after="0" w:line="2" w:lineRule="exact"/>
        <w:rPr>
          <w:sz w:val="20"/>
          <w:szCs w:val="20"/>
          <w:color w:val="auto"/>
        </w:rPr>
      </w:pPr>
    </w:p>
    <w:p>
      <w:pPr>
        <w:jc w:val="both"/>
        <w:ind w:right="360" w:firstLine="456"/>
        <w:spacing w:after="0" w:line="259" w:lineRule="auto"/>
        <w:rPr>
          <w:sz w:val="20"/>
          <w:szCs w:val="20"/>
          <w:color w:val="auto"/>
        </w:rPr>
      </w:pPr>
      <w:r>
        <w:rPr>
          <w:rFonts w:ascii="Arial" w:cs="Arial" w:eastAsia="Arial" w:hAnsi="Arial"/>
          <w:sz w:val="18"/>
          <w:szCs w:val="18"/>
          <w:i w:val="1"/>
          <w:iCs w:val="1"/>
          <w:u w:val="single" w:color="auto"/>
          <w:color w:val="auto"/>
        </w:rPr>
        <w:t>Encore at Wynn Macau.</w:t>
      </w:r>
      <w:r>
        <w:rPr>
          <w:rFonts w:ascii="Arial" w:cs="Arial" w:eastAsia="Arial" w:hAnsi="Arial"/>
          <w:sz w:val="18"/>
          <w:szCs w:val="18"/>
          <w:i w:val="1"/>
          <w:iCs w:val="1"/>
          <w:color w:val="auto"/>
        </w:rPr>
        <w:t xml:space="preserve"> </w:t>
      </w:r>
      <w:r>
        <w:rPr>
          <w:rFonts w:ascii="Arial" w:cs="Arial" w:eastAsia="Arial" w:hAnsi="Arial"/>
          <w:sz w:val="18"/>
          <w:szCs w:val="18"/>
          <w:color w:val="auto"/>
        </w:rPr>
        <w:t>Encore at Wynn Macau opened on April 21, 2010. Total development and construction costs are expected to be approximately</w:t>
      </w:r>
      <w:r>
        <w:rPr>
          <w:rFonts w:ascii="Arial" w:cs="Arial" w:eastAsia="Arial" w:hAnsi="Arial"/>
          <w:sz w:val="18"/>
          <w:szCs w:val="18"/>
          <w:i w:val="1"/>
          <w:iCs w:val="1"/>
          <w:color w:val="auto"/>
        </w:rPr>
        <w:t xml:space="preserve"> </w:t>
      </w:r>
      <w:r>
        <w:rPr>
          <w:rFonts w:ascii="Arial" w:cs="Arial" w:eastAsia="Arial" w:hAnsi="Arial"/>
          <w:sz w:val="18"/>
          <w:szCs w:val="18"/>
          <w:color w:val="auto"/>
        </w:rPr>
        <w:t>$575 million. As of March 31, 2010, we had incurred approximately $499.7 million of project costs related to the development and construction of Encore at Wynn Macau.</w:t>
      </w:r>
    </w:p>
    <w:p>
      <w:pPr>
        <w:spacing w:after="0" w:line="14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i w:val="1"/>
          <w:iCs w:val="1"/>
          <w:u w:val="single" w:color="auto"/>
          <w:color w:val="auto"/>
        </w:rPr>
        <w:t>Cotai Development.</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has applied to the government of Macau for a land concession on approximately 52 aces of land on Cotai and are</w:t>
      </w:r>
      <w:r>
        <w:rPr>
          <w:rFonts w:ascii="Arial" w:cs="Arial" w:eastAsia="Arial" w:hAnsi="Arial"/>
          <w:sz w:val="18"/>
          <w:szCs w:val="18"/>
          <w:i w:val="1"/>
          <w:iCs w:val="1"/>
          <w:color w:val="auto"/>
        </w:rPr>
        <w:t xml:space="preserve"> </w:t>
      </w:r>
      <w:r>
        <w:rPr>
          <w:rFonts w:ascii="Arial" w:cs="Arial" w:eastAsia="Arial" w:hAnsi="Arial"/>
          <w:sz w:val="18"/>
          <w:szCs w:val="18"/>
          <w:color w:val="auto"/>
        </w:rPr>
        <w:t>awaiting final government approval on the concession. We continue work on the concept and design of this property, but cannot prepare a final timeline or budget until government approval on the land concession has been received.</w:t>
      </w:r>
    </w:p>
    <w:p>
      <w:pPr>
        <w:spacing w:after="0" w:line="14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i w:val="1"/>
          <w:iCs w:val="1"/>
          <w:u w:val="single" w:color="auto"/>
          <w:color w:val="auto"/>
        </w:rPr>
        <w:t>Cotai Land Agreement.</w:t>
      </w:r>
      <w:r>
        <w:rPr>
          <w:rFonts w:ascii="Arial" w:cs="Arial" w:eastAsia="Arial" w:hAnsi="Arial"/>
          <w:sz w:val="18"/>
          <w:szCs w:val="18"/>
          <w:i w:val="1"/>
          <w:iCs w:val="1"/>
          <w:color w:val="auto"/>
        </w:rPr>
        <w:t xml:space="preserve"> </w:t>
      </w:r>
      <w:r>
        <w:rPr>
          <w:rFonts w:ascii="Arial" w:cs="Arial" w:eastAsia="Arial" w:hAnsi="Arial"/>
          <w:sz w:val="18"/>
          <w:szCs w:val="18"/>
          <w:color w:val="auto"/>
        </w:rPr>
        <w:t>On August 1, 2008, subsidiaries of Wynn Resorts, Limited entered into an agreement with an unrelated third party to make a one-time payment in the amount of $50 million in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consideration of the unrelated third party’s relinquishment of certain rights in and to any future development on the 52 acres of land in the Cotai area of Macau. The payment will be made within 15 days after the Government of the Special Administrative Region of the People’s Republic of China publishes the Company’s rights to the land in the government’s official gazette.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Philadelphia Casino Project</w:t>
      </w:r>
    </w:p>
    <w:p>
      <w:pPr>
        <w:spacing w:after="0" w:line="90"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On February 23, 2010, the Company entered into a letter of intent with Philadelphia Entertainment and Development Partners, LP, providing that an affiliate of the Company will become the manager and managing general partner in a casino project slated for the Philadelphia waterfront. On April 8, 2010, the Company and its subsidiaries announced the termination of its negotiations with respect to this project.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does not have any material litigation as of March 31, 2010.</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and Use Tax on Complimentary Meals</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In March 2008, the Nevada Supreme Court ruled, in the matter captioned </w:t>
      </w:r>
      <w:r>
        <w:rPr>
          <w:rFonts w:ascii="Arial" w:cs="Arial" w:eastAsia="Arial" w:hAnsi="Arial"/>
          <w:sz w:val="18"/>
          <w:szCs w:val="18"/>
          <w:i w:val="1"/>
          <w:iCs w:val="1"/>
          <w:color w:val="auto"/>
        </w:rPr>
        <w:t>Sparks Nugget, Inc. vs. The State of Nevada Ex Rel. Department of Taxation</w:t>
      </w:r>
      <w:r>
        <w:rPr>
          <w:rFonts w:ascii="Arial" w:cs="Arial" w:eastAsia="Arial" w:hAnsi="Arial"/>
          <w:sz w:val="18"/>
          <w:szCs w:val="18"/>
          <w:color w:val="auto"/>
        </w:rPr>
        <w:t>, that food and non-alcoholic beverages purchased for use in providing complimentary meals to customers and to employees was exempt from sales and use tax. In July 2008, the Court denied the State’s motion for rehearing. Through April 2008, Wynn Las Vegas paid use tax on these items and has filed for refunds for the periods from April 2005 to April 2008. The amount subject to these refunds is approximately $5.4 million. As of March 31, 2010, the Company had not recorded a receivable related to this matter.</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Income Taxes</w:t>
      </w:r>
    </w:p>
    <w:p>
      <w:pPr>
        <w:spacing w:after="0" w:line="96"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During the three months ended March 31, 2010, the Company recorded a tax expense of $5.1 million. The Company’s provision for income taxes is primarily comprised of increases in our foreign and domestic valuation allowances relating to foreign tax loss carryforwards, other foreign deferred tax assets and U.S. foreign tax credits not considered more likely than not realizable in the future. The tax provision recorded for the valuation allowance increases was reduced by an income tax benefit recorded for the loss from our U.S. operations. Since October 2009, all of the Company’s foreign earnings are considered permanently invested abroad. The decrease in the Company’s current deferred tax liability of approximately $41.5 million is primarily attributable to the repatriation of approximately $1.14 billion of Wynn Macau, Limited IPO proceeds not considered permanently invested. During the three months ended March 31, 2010, the Company recognized income tax benefits related to excess tax deductions associated with stock compensation costs of $0.3 million.</w:t>
      </w:r>
    </w:p>
    <w:p>
      <w:pPr>
        <w:spacing w:after="0" w:line="118"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Effective September 6, 2006, Wynn Macau, S.A. received a 5-year exemption from Macau’s 12% Complementary Tax on casino gaming profits. Accordingly, the Company was exempted from the payment of approximately $13.3 million in such taxes during the three months ended March 31, 2010. The Company’s non-gaming profits remain subject to the Macau Complementary Tax and casino winnings remain subject to the Macau Special Gaming tax and other levies together totaling 39% in accordance with its concession agreement.</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Segment Information</w:t>
      </w:r>
    </w:p>
    <w:p>
      <w:pPr>
        <w:spacing w:after="0" w:line="96"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color w:val="auto"/>
        </w:rPr>
        <w:t>The Company monitors its operations and evaluates earnings by reviewing the assets and operations of Wynn Las Vegas, including Encore at Wynn Las Vegas, and Wynn Macau, including Encore at Wynn Macau. The Company’s total assets by segment are as follows (amounts in thousands):</w:t>
      </w:r>
    </w:p>
    <w:p>
      <w:pPr>
        <w:spacing w:after="0" w:line="10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ind w:right="99"/>
              <w:spacing w:after="0"/>
              <w:rPr>
                <w:sz w:val="20"/>
                <w:szCs w:val="20"/>
                <w:color w:val="auto"/>
              </w:rPr>
            </w:pPr>
            <w:r>
              <w:rPr>
                <w:rFonts w:ascii="Arial" w:cs="Arial" w:eastAsia="Arial" w:hAnsi="Arial"/>
                <w:sz w:val="14"/>
                <w:szCs w:val="14"/>
                <w:b w:val="1"/>
                <w:bCs w:val="1"/>
                <w:color w:val="auto"/>
                <w:w w:val="95"/>
              </w:rPr>
              <w:t>March 31,</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spacing w:after="0"/>
              <w:rPr>
                <w:sz w:val="20"/>
                <w:szCs w:val="20"/>
                <w:color w:val="auto"/>
              </w:rPr>
            </w:pPr>
            <w:r>
              <w:rPr>
                <w:rFonts w:ascii="Arial" w:cs="Arial" w:eastAsia="Arial" w:hAnsi="Arial"/>
                <w:sz w:val="14"/>
                <w:szCs w:val="14"/>
                <w:b w:val="1"/>
                <w:bCs w:val="1"/>
                <w:color w:val="auto"/>
                <w:w w:val="96"/>
              </w:rPr>
              <w:t>December 31,</w:t>
            </w:r>
          </w:p>
        </w:tc>
      </w:tr>
      <w:tr>
        <w:trPr>
          <w:trHeight w:val="161"/>
        </w:trPr>
        <w:tc>
          <w:tcPr>
            <w:tcW w:w="20" w:type="dxa"/>
            <w:vAlign w:val="bottom"/>
          </w:tcPr>
          <w:p>
            <w:pPr>
              <w:spacing w:after="0"/>
              <w:rPr>
                <w:sz w:val="14"/>
                <w:szCs w:val="14"/>
                <w:color w:val="auto"/>
              </w:rPr>
            </w:pPr>
          </w:p>
        </w:tc>
        <w:tc>
          <w:tcPr>
            <w:tcW w:w="62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2010</w:t>
            </w:r>
          </w:p>
        </w:tc>
        <w:tc>
          <w:tcPr>
            <w:tcW w:w="5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20" w:type="dxa"/>
            <w:vAlign w:val="bottom"/>
          </w:tcPr>
          <w:p>
            <w:pPr>
              <w:ind w:left="420"/>
              <w:spacing w:after="0"/>
              <w:rPr>
                <w:sz w:val="20"/>
                <w:szCs w:val="20"/>
                <w:color w:val="auto"/>
              </w:rPr>
            </w:pPr>
            <w:r>
              <w:rPr>
                <w:rFonts w:ascii="Arial" w:cs="Arial" w:eastAsia="Arial" w:hAnsi="Arial"/>
                <w:sz w:val="18"/>
                <w:szCs w:val="18"/>
                <w:color w:val="auto"/>
              </w:rPr>
              <w:t>Wynn Las Vegas (including Encore at Wynn Las Vegas )</w:t>
            </w:r>
          </w:p>
        </w:tc>
        <w:tc>
          <w:tcPr>
            <w:tcW w:w="19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4,185,632</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4,254,324</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Wynn Macau (including Encore at Wynn Macau)</w:t>
            </w:r>
          </w:p>
        </w:tc>
        <w:tc>
          <w:tcPr>
            <w:tcW w:w="1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1,767,516</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1,990,273</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220" w:type="dxa"/>
            <w:vAlign w:val="bottom"/>
          </w:tcPr>
          <w:p>
            <w:pPr>
              <w:ind w:left="420"/>
              <w:spacing w:after="0"/>
              <w:rPr>
                <w:sz w:val="20"/>
                <w:szCs w:val="20"/>
                <w:color w:val="auto"/>
              </w:rPr>
            </w:pPr>
            <w:r>
              <w:rPr>
                <w:rFonts w:ascii="Arial" w:cs="Arial" w:eastAsia="Arial" w:hAnsi="Arial"/>
                <w:sz w:val="18"/>
                <w:szCs w:val="18"/>
                <w:color w:val="auto"/>
              </w:rPr>
              <w:t>Corporate and other assets</w:t>
            </w:r>
          </w:p>
        </w:tc>
        <w:tc>
          <w:tcPr>
            <w:tcW w:w="18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1,337,014</w:t>
            </w:r>
          </w:p>
        </w:tc>
        <w:tc>
          <w:tcPr>
            <w:tcW w:w="5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1,337,172</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consolidated assets</w:t>
            </w:r>
          </w:p>
        </w:tc>
        <w:tc>
          <w:tcPr>
            <w:tcW w:w="1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7,290,162</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7,581,769</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segment information on its results of operations are as follows (amounts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20" w:type="dxa"/>
            <w:vAlign w:val="bottom"/>
            <w:gridSpan w:val="6"/>
          </w:tcPr>
          <w:p>
            <w:pPr>
              <w:jc w:val="right"/>
              <w:ind w:right="460"/>
              <w:spacing w:after="0"/>
              <w:rPr>
                <w:sz w:val="20"/>
                <w:szCs w:val="20"/>
                <w:color w:val="auto"/>
              </w:rPr>
            </w:pPr>
            <w:r>
              <w:rPr>
                <w:rFonts w:ascii="Arial" w:cs="Arial" w:eastAsia="Arial" w:hAnsi="Arial"/>
                <w:sz w:val="14"/>
                <w:szCs w:val="14"/>
                <w:b w:val="1"/>
                <w:bCs w:val="1"/>
                <w:color w:val="auto"/>
                <w:w w:val="96"/>
              </w:rPr>
              <w:t>For the 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7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4"/>
                <w:szCs w:val="14"/>
                <w:b w:val="1"/>
                <w:bCs w:val="1"/>
                <w:color w:val="auto"/>
                <w:w w:val="89"/>
              </w:rPr>
              <w:t>March 31,</w:t>
            </w: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7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2010</w:t>
            </w: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9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Revenues</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gridSpan w:val="2"/>
          </w:tcPr>
          <w:p>
            <w:pPr>
              <w:ind w:left="420"/>
              <w:spacing w:after="0"/>
              <w:rPr>
                <w:sz w:val="20"/>
                <w:szCs w:val="20"/>
                <w:color w:val="auto"/>
              </w:rPr>
            </w:pPr>
            <w:r>
              <w:rPr>
                <w:rFonts w:ascii="Arial" w:cs="Arial" w:eastAsia="Arial" w:hAnsi="Arial"/>
                <w:sz w:val="18"/>
                <w:szCs w:val="18"/>
                <w:color w:val="auto"/>
              </w:rPr>
              <w:t>Wynn Las Vegas, including Encore</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318,271</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291,276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Wynn Macau</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590,647</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448,679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20" w:type="dxa"/>
            <w:vAlign w:val="bottom"/>
            <w:gridSpan w:val="2"/>
            <w:vMerge w:val="restart"/>
          </w:tcPr>
          <w:p>
            <w:pPr>
              <w:ind w:left="860"/>
              <w:spacing w:after="0"/>
              <w:rPr>
                <w:sz w:val="20"/>
                <w:szCs w:val="20"/>
                <w:color w:val="auto"/>
              </w:rPr>
            </w:pPr>
            <w:r>
              <w:rPr>
                <w:rFonts w:ascii="Arial" w:cs="Arial" w:eastAsia="Arial" w:hAnsi="Arial"/>
                <w:sz w:val="18"/>
                <w:szCs w:val="18"/>
                <w:b w:val="1"/>
                <w:bCs w:val="1"/>
                <w:color w:val="auto"/>
              </w:rPr>
              <w:t>Total Net Revenues</w:t>
            </w: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8920" w:type="dxa"/>
            <w:vAlign w:val="bottom"/>
            <w:gridSpan w:val="2"/>
            <w:vMerge w:val="continue"/>
          </w:tcPr>
          <w:p>
            <w:pPr>
              <w:spacing w:after="0"/>
              <w:rPr>
                <w:sz w:val="19"/>
                <w:szCs w:val="19"/>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908,918</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739,955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7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9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 xml:space="preserve">Adjusted Property EBITDA </w:t>
            </w:r>
            <w:r>
              <w:rPr>
                <w:rFonts w:ascii="Arial" w:cs="Arial" w:eastAsia="Arial" w:hAnsi="Arial"/>
                <w:sz w:val="11"/>
                <w:szCs w:val="11"/>
                <w:b w:val="1"/>
                <w:bCs w:val="1"/>
                <w:color w:val="auto"/>
              </w:rPr>
              <w:t>(1)</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gridSpan w:val="2"/>
          </w:tcPr>
          <w:p>
            <w:pPr>
              <w:ind w:left="420"/>
              <w:spacing w:after="0"/>
              <w:rPr>
                <w:sz w:val="20"/>
                <w:szCs w:val="20"/>
                <w:color w:val="auto"/>
              </w:rPr>
            </w:pPr>
            <w:r>
              <w:rPr>
                <w:rFonts w:ascii="Arial" w:cs="Arial" w:eastAsia="Arial" w:hAnsi="Arial"/>
                <w:sz w:val="18"/>
                <w:szCs w:val="18"/>
                <w:color w:val="auto"/>
              </w:rPr>
              <w:t>Wynn Las Vegas, including Encore</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60,305</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43,851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Wynn Macau</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181,590</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114,643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20" w:type="dxa"/>
            <w:vAlign w:val="bottom"/>
            <w:gridSpan w:val="2"/>
            <w:vMerge w:val="restart"/>
          </w:tcPr>
          <w:p>
            <w:pPr>
              <w:ind w:left="860"/>
              <w:spacing w:after="0"/>
              <w:rPr>
                <w:sz w:val="20"/>
                <w:szCs w:val="20"/>
                <w:color w:val="auto"/>
              </w:rPr>
            </w:pPr>
            <w:r>
              <w:rPr>
                <w:rFonts w:ascii="Arial" w:cs="Arial" w:eastAsia="Arial" w:hAnsi="Arial"/>
                <w:sz w:val="18"/>
                <w:szCs w:val="18"/>
                <w:b w:val="1"/>
                <w:bCs w:val="1"/>
                <w:color w:val="auto"/>
              </w:rPr>
              <w:t>Total</w:t>
            </w: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8920" w:type="dxa"/>
            <w:vAlign w:val="bottom"/>
            <w:gridSpan w:val="2"/>
            <w:vMerge w:val="continue"/>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241,895</w:t>
            </w: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158,494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Other operating costs and expenses</w:t>
            </w:r>
          </w:p>
        </w:tc>
        <w:tc>
          <w:tcPr>
            <w:tcW w:w="1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gridSpan w:val="2"/>
          </w:tcPr>
          <w:p>
            <w:pPr>
              <w:ind w:left="420"/>
              <w:spacing w:after="0"/>
              <w:rPr>
                <w:sz w:val="20"/>
                <w:szCs w:val="20"/>
                <w:color w:val="auto"/>
              </w:rPr>
            </w:pPr>
            <w:r>
              <w:rPr>
                <w:rFonts w:ascii="Arial" w:cs="Arial" w:eastAsia="Arial" w:hAnsi="Arial"/>
                <w:sz w:val="18"/>
                <w:szCs w:val="18"/>
                <w:color w:val="auto"/>
              </w:rPr>
              <w:t>Pre-opening costs</w:t>
            </w:r>
          </w:p>
        </w:tc>
        <w:tc>
          <w:tcPr>
            <w:tcW w:w="16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2,311</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104,565</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101,468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gridSpan w:val="2"/>
          </w:tcPr>
          <w:p>
            <w:pPr>
              <w:ind w:left="420"/>
              <w:spacing w:after="0"/>
              <w:rPr>
                <w:sz w:val="20"/>
                <w:szCs w:val="20"/>
                <w:color w:val="auto"/>
              </w:rPr>
            </w:pPr>
            <w:r>
              <w:rPr>
                <w:rFonts w:ascii="Arial" w:cs="Arial" w:eastAsia="Arial" w:hAnsi="Arial"/>
                <w:sz w:val="18"/>
                <w:szCs w:val="18"/>
                <w:color w:val="auto"/>
              </w:rPr>
              <w:t>Property charges and other</w:t>
            </w:r>
          </w:p>
        </w:tc>
        <w:tc>
          <w:tcPr>
            <w:tcW w:w="16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1,881</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16,485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Corporate expenses and other</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17,899</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gridSpan w:val="2"/>
          </w:tcPr>
          <w:p>
            <w:pPr>
              <w:ind w:left="420"/>
              <w:spacing w:after="0"/>
              <w:rPr>
                <w:sz w:val="20"/>
                <w:szCs w:val="20"/>
                <w:color w:val="auto"/>
              </w:rPr>
            </w:pPr>
            <w:r>
              <w:rPr>
                <w:rFonts w:ascii="Arial" w:cs="Arial" w:eastAsia="Arial" w:hAnsi="Arial"/>
                <w:sz w:val="18"/>
                <w:szCs w:val="18"/>
                <w:color w:val="auto"/>
              </w:rPr>
              <w:t>Equity in income (loss) from unconsolidated affiliates</w:t>
            </w:r>
          </w:p>
        </w:tc>
        <w:tc>
          <w:tcPr>
            <w:tcW w:w="16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391</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7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gridSpan w:val="2"/>
            <w:shd w:val="clear" w:color="auto" w:fill="CCEEFF"/>
          </w:tcPr>
          <w:p>
            <w:pPr>
              <w:ind w:left="860"/>
              <w:spacing w:after="0"/>
              <w:rPr>
                <w:sz w:val="20"/>
                <w:szCs w:val="20"/>
                <w:color w:val="auto"/>
              </w:rPr>
            </w:pPr>
            <w:r>
              <w:rPr>
                <w:rFonts w:ascii="Arial" w:cs="Arial" w:eastAsia="Arial" w:hAnsi="Arial"/>
                <w:sz w:val="18"/>
                <w:szCs w:val="18"/>
                <w:b w:val="1"/>
                <w:bCs w:val="1"/>
                <w:color w:val="auto"/>
              </w:rPr>
              <w:t>Total</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127,047</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131,345</w:t>
            </w:r>
          </w:p>
        </w:tc>
        <w:tc>
          <w:tcPr>
            <w:tcW w:w="0" w:type="dxa"/>
            <w:vAlign w:val="bottom"/>
          </w:tcPr>
          <w:p>
            <w:pPr>
              <w:spacing w:after="0"/>
              <w:rPr>
                <w:sz w:val="1"/>
                <w:szCs w:val="1"/>
                <w:color w:val="auto"/>
              </w:rPr>
            </w:pPr>
          </w:p>
        </w:tc>
      </w:tr>
      <w:tr>
        <w:trPr>
          <w:trHeight w:val="20"/>
        </w:trPr>
        <w:tc>
          <w:tcPr>
            <w:tcW w:w="89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Operating income</w:t>
            </w: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940" w:type="dxa"/>
            <w:vAlign w:val="bottom"/>
            <w:gridSpan w:val="3"/>
            <w:vMerge w:val="continue"/>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114,848</w:t>
            </w: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27,149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Non-operating costs and expenses</w:t>
            </w:r>
          </w:p>
        </w:tc>
        <w:tc>
          <w:tcPr>
            <w:tcW w:w="1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gridSpan w:val="2"/>
          </w:tcPr>
          <w:p>
            <w:pPr>
              <w:ind w:left="420"/>
              <w:spacing w:after="0"/>
              <w:rPr>
                <w:sz w:val="20"/>
                <w:szCs w:val="20"/>
                <w:color w:val="auto"/>
              </w:rPr>
            </w:pPr>
            <w:r>
              <w:rPr>
                <w:rFonts w:ascii="Arial" w:cs="Arial" w:eastAsia="Arial" w:hAnsi="Arial"/>
                <w:sz w:val="18"/>
                <w:szCs w:val="18"/>
                <w:color w:val="auto"/>
              </w:rPr>
              <w:t>Interest income</w:t>
            </w:r>
          </w:p>
        </w:tc>
        <w:tc>
          <w:tcPr>
            <w:tcW w:w="16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288</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Interest expense, net of amounts capitalized</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(49,261)</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(57,032)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gridSpan w:val="2"/>
          </w:tcPr>
          <w:p>
            <w:pPr>
              <w:ind w:left="420"/>
              <w:spacing w:after="0"/>
              <w:rPr>
                <w:sz w:val="20"/>
                <w:szCs w:val="20"/>
                <w:color w:val="auto"/>
              </w:rPr>
            </w:pPr>
            <w:r>
              <w:rPr>
                <w:rFonts w:ascii="Arial" w:cs="Arial" w:eastAsia="Arial" w:hAnsi="Arial"/>
                <w:sz w:val="18"/>
                <w:szCs w:val="18"/>
                <w:color w:val="auto"/>
              </w:rPr>
              <w:t>Increase (decrease) in swap fair value</w:t>
            </w:r>
          </w:p>
        </w:tc>
        <w:tc>
          <w:tcPr>
            <w:tcW w:w="16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(3,602)</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1,095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Gain on extinguishment of debt</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gridSpan w:val="2"/>
          </w:tcPr>
          <w:p>
            <w:pPr>
              <w:ind w:left="420"/>
              <w:spacing w:after="0"/>
              <w:rPr>
                <w:sz w:val="20"/>
                <w:szCs w:val="20"/>
                <w:color w:val="auto"/>
              </w:rPr>
            </w:pPr>
            <w:r>
              <w:rPr>
                <w:rFonts w:ascii="Arial" w:cs="Arial" w:eastAsia="Arial" w:hAnsi="Arial"/>
                <w:sz w:val="18"/>
                <w:szCs w:val="18"/>
                <w:color w:val="auto"/>
              </w:rPr>
              <w:t>Equity in income (loss) from unconsolidated affiliates</w:t>
            </w:r>
          </w:p>
        </w:tc>
        <w:tc>
          <w:tcPr>
            <w:tcW w:w="16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391</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264</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20" w:type="dxa"/>
            <w:vAlign w:val="bottom"/>
            <w:gridSpan w:val="2"/>
            <w:vMerge w:val="restart"/>
          </w:tcPr>
          <w:p>
            <w:pPr>
              <w:ind w:left="860"/>
              <w:spacing w:after="0"/>
              <w:rPr>
                <w:sz w:val="20"/>
                <w:szCs w:val="20"/>
                <w:color w:val="auto"/>
              </w:rPr>
            </w:pPr>
            <w:r>
              <w:rPr>
                <w:rFonts w:ascii="Arial" w:cs="Arial" w:eastAsia="Arial" w:hAnsi="Arial"/>
                <w:sz w:val="18"/>
                <w:szCs w:val="18"/>
                <w:b w:val="1"/>
                <w:bCs w:val="1"/>
                <w:color w:val="auto"/>
              </w:rPr>
              <w:t>Total</w:t>
            </w: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892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(51,920)</w:t>
            </w: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(45,069)</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77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Income (loss) before income taxes</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62,928</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(17,920)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gridSpan w:val="2"/>
          </w:tcPr>
          <w:p>
            <w:pPr>
              <w:ind w:left="420"/>
              <w:spacing w:after="0"/>
              <w:rPr>
                <w:sz w:val="20"/>
                <w:szCs w:val="20"/>
                <w:color w:val="auto"/>
              </w:rPr>
            </w:pPr>
            <w:r>
              <w:rPr>
                <w:rFonts w:ascii="Arial" w:cs="Arial" w:eastAsia="Arial" w:hAnsi="Arial"/>
                <w:sz w:val="18"/>
                <w:szCs w:val="18"/>
                <w:color w:val="auto"/>
              </w:rPr>
              <w:t>Provision for income taxes</w:t>
            </w:r>
          </w:p>
        </w:tc>
        <w:tc>
          <w:tcPr>
            <w:tcW w:w="16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(5,069)</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(15,894)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77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income (loss)</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57,859</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(33,814)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7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77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580" w:hanging="452"/>
        <w:spacing w:after="0" w:line="268"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“Adjusted Property EBITDA” is earnings before interest, taxes, depreciation, amortization, pre-opening costs, property charges and other, corporate expenses, stock-based compensation, and other non-operating</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line="285" w:lineRule="auto"/>
        <w:rPr>
          <w:sz w:val="20"/>
          <w:szCs w:val="20"/>
          <w:color w:val="auto"/>
        </w:rPr>
      </w:pPr>
      <w:r>
        <w:rPr>
          <w:rFonts w:ascii="Arial" w:cs="Arial" w:eastAsia="Arial" w:hAnsi="Arial"/>
          <w:sz w:val="16"/>
          <w:szCs w:val="16"/>
          <w:color w:val="auto"/>
        </w:rPr>
        <w:t>income and expenses and includes equity in income (loss) from unconsolidated affiliates. Adjusted Property EBITDA is presented exclusively as a supplemental disclosure because management believes that it is widely used to measure the performance, and as a basis for valuation, of gaming companies. Management uses Adjusted Property EBITDA as a measure of the operating performance of its segments and to compare the operating performance of its properties with those of its competitors. The Company also presents Adjusted Property EBITDA because it is used by some investors as a way to measure a company’s ability to incur and service debt, make capital expenditures and meet working capital requirements. Gaming companies have historically reported EBITDA as a supplement to financial measures in accordance with U.S. generally accepted accounting principles (“GAAP”). In order to view the operations of their casinos on a more stand-alone basis, gaming companies, including Wynn Resorts, Limited, have historically excluded from their EBITDA calculations pre-opening expenses, property charges and corporate expenses, which do not relate to the management of specific casino properties. However, Adjusted Property EBITDA should not be considered as an alternative to operating income as an indicator of the Company’s performance, as an alternative to cash flows from operating activities as a measure of liquidity, or as an alternative to any other measure determined in accordance with GAAP. Unlike net income (loss), Adjusted Property EBITDA does not include depreciation or interest expense and therefore does not reflect current or future capital expenditures or the cost of capital. The Company has significant uses of cash flows, including capital expenditures, interest payments, debt principal repayments, taxes and other non-recurring charges, which are not reflected in Adjusted Property EBITDA. Also, Wynn Resorts’ calculation of Adjusted Property EBITDA may be different from the calculation methods used by other companies and, therefore, comparability may be limited.</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Subsequent Events</w:t>
      </w:r>
    </w:p>
    <w:p>
      <w:pPr>
        <w:spacing w:after="0" w:line="9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On April 28, 2010, the Board of Directors of the Company declared a cash dividend of $0.25 per share, payable on May 26, 2010 to stockholders of record as of May 12, 2010.</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96"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The following discussion should be read in conjunction with, and is qualified in its entirety by, the condensed consolidated financial statements and the notes thereto included elsewhere in this Quarterly Report on Form 10-Q. Unless the context otherwise requires, all references herein to the “Company,” “we,” “us” or “our,” or similar terms, refer to Wynn Resorts, Limited, a Nevada corporation and its consolidated subsidiaries.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9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Private Securities Litigation Reform Act of 1995 provides a “safe harbor” for forward-looking statements. Certain information included in this Quarterly Report on Form 10-Q contains statements that are forward-looking, including, but not limited to, statements relating to our business strategy and development activities as well as other capital spending, financing sources, the effects of regulation (including gaming and tax regulations), expectations concerning future operations, margins, profitability and competition. Any statements contained in this report that are not statements of historical fact may be deemed to be forward-looking statements. Without limiting the generality of the foregoing, in some cases you can identify forward-looking statements by terminology such as “may,” “will,” “should,” “would,” “could,” “believe,” “expect,” “anticipate,” “estimate,” “intend,” “plan,” “continue” or the negative of these terms or other comparable terminology. Such forward-looking information involves important risks and uncertainties that could significantly affect anticipated results in the future and, accordingly, such results may differ from those expressed in any forward-looking statements made by us. These risks and uncertainties include, but are not limited to:</w:t>
      </w:r>
    </w:p>
    <w:p>
      <w:pPr>
        <w:spacing w:after="0" w:line="39" w:lineRule="exact"/>
        <w:rPr>
          <w:sz w:val="20"/>
          <w:szCs w:val="20"/>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adverse tourism and consumer spending trends reflecting current domestic and international economic conditions;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volatility and weakness in world-wide credit and financial markets;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general global macroeconomic conditions;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further decreases in levels of travel, leisure and consumer spending;</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fluctuations in occupancy rates and average daily room rates;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color w:val="auto"/>
        </w:rPr>
        <w:t>conditions precedent to funding under the agreements governing the disbursement of the proceeds of borrowings under our credit facilities;</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continued compliance with all provisions in our credit agreements;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color w:val="auto"/>
        </w:rPr>
        <w:t>competition in the casino/hotel and resort industries and actions taken by our competitors in reaction to adverse economic conditions;</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color w:val="auto"/>
        </w:rPr>
        <w:t>doing business in foreign locations such as Macau (including the risks associated with developing gaming regulatory frameworks);</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restrictions or conditions on visitation by citizens of mainland China to Macau;</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new development and construction activities of competitors;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dependence on Stephen A. Wynn and existing management;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dependence on a limited number of properties and locations for all of our cash flow;</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leverage and debt service (including sensitivity to fluctuations in interest rates);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federal or state tax laws or the administration of such laws;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state law regarding water rights;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U. S. laws regarding health care;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gaming laws or regulations (including the legalization of gaming in certain jurisdictions);</w:t>
      </w:r>
    </w:p>
    <w:p>
      <w:pPr>
        <w:spacing w:after="0" w:line="158"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00"/>
          </w:cols>
          <w:pgMar w:left="240" w:top="459" w:right="5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approvals under applicable jurisdictional laws and regulations (including gaming laws and regulations);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impact that an outbreak of an infectious disease or the impact of a natural disaster may have on the travel and leisure industry;</w:t>
      </w:r>
    </w:p>
    <w:p>
      <w:pPr>
        <w:spacing w:after="0" w:line="90" w:lineRule="exact"/>
        <w:rPr>
          <w:rFonts w:ascii="Arial" w:cs="Arial" w:eastAsia="Arial" w:hAnsi="Arial"/>
          <w:sz w:val="18"/>
          <w:szCs w:val="18"/>
          <w:color w:val="auto"/>
        </w:rPr>
      </w:pPr>
    </w:p>
    <w:p>
      <w:pPr>
        <w:ind w:left="900" w:right="300" w:hanging="446"/>
        <w:spacing w:after="0" w:line="268"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consequences of the wars in Iraq and Afghanistan and other military conflicts in the Middle East and any future security alerts and/or terrorist attacks;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pending or future legal proceedings.</w:t>
      </w:r>
    </w:p>
    <w:p>
      <w:pPr>
        <w:spacing w:after="0" w:line="171"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6"/>
          <w:szCs w:val="16"/>
          <w:color w:val="auto"/>
        </w:rPr>
        <w:t>Further information on potential factors that could affect our financial condition, results of operations and business are included in this report and our other filings with the SEC. You should not place undue reliance on any forward-looking statements, which are based only on information currently available to us. We undertake no obligation to publicly release any revisions to such forward-looking statements to reflect events or circumstances after the date of this report.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We are a developer, owner and operator of destination casino resorts. We currently own and operate two casino resort complexes. In Las Vegas, Nevada, we own and operate Wynn Las Vegas, a destination casino resort which opened on April 28, 2005. In December 2008, we expanded Wynn Las Vegas with the opening of Encore at Wynn Las Vegas. We refer to the fully integrated Wynn Las Vegas and Encore at Wynn Las Vegas as our Las Vegas Operations. In the Macau Special Administrative Region of the People’s Republic of China (“Macau”), we own and operate Wynn Macau, which opened on September 6, 2006. On April 21, 2010 we opened Encore at Wynn Macau, a further expansion of Wynn Macau.</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Our Resorts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information about our operations as of April 2010, including the recently opened Encore at Wynn Macau:</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20" w:type="dxa"/>
            <w:vAlign w:val="bottom"/>
            <w:gridSpan w:val="2"/>
          </w:tcPr>
          <w:p>
            <w:pPr>
              <w:ind w:left="140"/>
              <w:spacing w:after="0"/>
              <w:rPr>
                <w:sz w:val="20"/>
                <w:szCs w:val="20"/>
                <w:color w:val="auto"/>
              </w:rPr>
            </w:pPr>
            <w:r>
              <w:rPr>
                <w:rFonts w:ascii="Arial" w:cs="Arial" w:eastAsia="Arial" w:hAnsi="Arial"/>
                <w:sz w:val="14"/>
                <w:szCs w:val="14"/>
                <w:b w:val="1"/>
                <w:bCs w:val="1"/>
                <w:color w:val="auto"/>
              </w:rPr>
              <w:t>Approximate</w:t>
            </w: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49"/>
        </w:trPr>
        <w:tc>
          <w:tcPr>
            <w:tcW w:w="4940" w:type="dxa"/>
            <w:vAlign w:val="bottom"/>
          </w:tcPr>
          <w:p>
            <w:pPr>
              <w:spacing w:after="0"/>
              <w:rPr>
                <w:sz w:val="12"/>
                <w:szCs w:val="12"/>
                <w:color w:val="auto"/>
              </w:rPr>
            </w:pPr>
          </w:p>
        </w:tc>
        <w:tc>
          <w:tcPr>
            <w:tcW w:w="1720" w:type="dxa"/>
            <w:vAlign w:val="bottom"/>
            <w:gridSpan w:val="2"/>
          </w:tcPr>
          <w:p>
            <w:pPr>
              <w:jc w:val="right"/>
              <w:ind w:right="800"/>
              <w:spacing w:after="0" w:line="149" w:lineRule="exact"/>
              <w:rPr>
                <w:sz w:val="20"/>
                <w:szCs w:val="20"/>
                <w:color w:val="auto"/>
              </w:rPr>
            </w:pPr>
            <w:r>
              <w:rPr>
                <w:rFonts w:ascii="Arial" w:cs="Arial" w:eastAsia="Arial" w:hAnsi="Arial"/>
                <w:sz w:val="14"/>
                <w:szCs w:val="14"/>
                <w:b w:val="1"/>
                <w:bCs w:val="1"/>
                <w:color w:val="auto"/>
                <w:w w:val="89"/>
              </w:rPr>
              <w:t>Hotel Rooms &amp;</w:t>
            </w:r>
          </w:p>
        </w:tc>
        <w:tc>
          <w:tcPr>
            <w:tcW w:w="12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6"/>
              </w:rPr>
              <w:t>Approximate Casino</w:t>
            </w:r>
          </w:p>
        </w:tc>
        <w:tc>
          <w:tcPr>
            <w:tcW w:w="800" w:type="dxa"/>
            <w:vAlign w:val="bottom"/>
          </w:tcPr>
          <w:p>
            <w:pPr>
              <w:spacing w:after="0"/>
              <w:rPr>
                <w:sz w:val="12"/>
                <w:szCs w:val="12"/>
                <w:color w:val="auto"/>
              </w:rPr>
            </w:pPr>
          </w:p>
        </w:tc>
        <w:tc>
          <w:tcPr>
            <w:tcW w:w="1820" w:type="dxa"/>
            <w:vAlign w:val="bottom"/>
            <w:gridSpan w:val="2"/>
          </w:tcPr>
          <w:p>
            <w:pPr>
              <w:jc w:val="right"/>
              <w:ind w:right="800"/>
              <w:spacing w:after="0" w:line="149" w:lineRule="exact"/>
              <w:rPr>
                <w:sz w:val="20"/>
                <w:szCs w:val="20"/>
                <w:color w:val="auto"/>
              </w:rPr>
            </w:pPr>
            <w:r>
              <w:rPr>
                <w:rFonts w:ascii="Arial" w:cs="Arial" w:eastAsia="Arial" w:hAnsi="Arial"/>
                <w:sz w:val="14"/>
                <w:szCs w:val="14"/>
                <w:b w:val="1"/>
                <w:bCs w:val="1"/>
                <w:color w:val="auto"/>
                <w:w w:val="90"/>
              </w:rPr>
              <w:t>Number of Table</w:t>
            </w:r>
          </w:p>
        </w:tc>
        <w:tc>
          <w:tcPr>
            <w:tcW w:w="96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Approximate</w:t>
            </w:r>
          </w:p>
        </w:tc>
      </w:tr>
      <w:tr>
        <w:trPr>
          <w:trHeight w:val="161"/>
        </w:trPr>
        <w:tc>
          <w:tcPr>
            <w:tcW w:w="4940" w:type="dxa"/>
            <w:vAlign w:val="bottom"/>
          </w:tcPr>
          <w:p>
            <w:pPr>
              <w:spacing w:after="0"/>
              <w:rPr>
                <w:sz w:val="14"/>
                <w:szCs w:val="14"/>
                <w:color w:val="auto"/>
              </w:rPr>
            </w:pPr>
          </w:p>
        </w:tc>
        <w:tc>
          <w:tcPr>
            <w:tcW w:w="92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Suites</w:t>
            </w:r>
          </w:p>
        </w:tc>
        <w:tc>
          <w:tcPr>
            <w:tcW w:w="800" w:type="dxa"/>
            <w:vAlign w:val="bottom"/>
          </w:tcPr>
          <w:p>
            <w:pPr>
              <w:spacing w:after="0"/>
              <w:rPr>
                <w:sz w:val="14"/>
                <w:szCs w:val="14"/>
                <w:color w:val="auto"/>
              </w:rPr>
            </w:pPr>
          </w:p>
        </w:tc>
        <w:tc>
          <w:tcPr>
            <w:tcW w:w="1200" w:type="dxa"/>
            <w:vAlign w:val="bottom"/>
            <w:tcBorders>
              <w:bottom w:val="single" w:sz="8" w:color="auto"/>
            </w:tcBorders>
          </w:tcPr>
          <w:p>
            <w:pPr>
              <w:jc w:val="right"/>
              <w:ind w:right="62"/>
              <w:spacing w:after="0"/>
              <w:rPr>
                <w:sz w:val="20"/>
                <w:szCs w:val="20"/>
                <w:color w:val="auto"/>
              </w:rPr>
            </w:pPr>
            <w:r>
              <w:rPr>
                <w:rFonts w:ascii="Arial" w:cs="Arial" w:eastAsia="Arial" w:hAnsi="Arial"/>
                <w:sz w:val="14"/>
                <w:szCs w:val="14"/>
                <w:b w:val="1"/>
                <w:bCs w:val="1"/>
                <w:color w:val="auto"/>
                <w:w w:val="98"/>
              </w:rPr>
              <w:t>Square Footage</w:t>
            </w:r>
          </w:p>
        </w:tc>
        <w:tc>
          <w:tcPr>
            <w:tcW w:w="800" w:type="dxa"/>
            <w:vAlign w:val="bottom"/>
          </w:tcPr>
          <w:p>
            <w:pPr>
              <w:spacing w:after="0"/>
              <w:rPr>
                <w:sz w:val="14"/>
                <w:szCs w:val="14"/>
                <w:color w:val="auto"/>
              </w:rPr>
            </w:pPr>
          </w:p>
        </w:tc>
        <w:tc>
          <w:tcPr>
            <w:tcW w:w="102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Games</w:t>
            </w:r>
          </w:p>
        </w:tc>
        <w:tc>
          <w:tcPr>
            <w:tcW w:w="800" w:type="dxa"/>
            <w:vAlign w:val="bottom"/>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5"/>
              </w:rPr>
              <w:t>Number of Slots</w:t>
            </w:r>
          </w:p>
        </w:tc>
        <w:tc>
          <w:tcPr>
            <w:tcW w:w="20" w:type="dxa"/>
            <w:vAlign w:val="bottom"/>
          </w:tcPr>
          <w:p>
            <w:pPr>
              <w:spacing w:after="0"/>
              <w:rPr>
                <w:sz w:val="14"/>
                <w:szCs w:val="14"/>
                <w:color w:val="auto"/>
              </w:rPr>
            </w:pPr>
          </w:p>
        </w:tc>
      </w:tr>
      <w:tr>
        <w:trPr>
          <w:trHeight w:val="210"/>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Las Vegas</w:t>
            </w:r>
          </w:p>
        </w:tc>
        <w:tc>
          <w:tcPr>
            <w:tcW w:w="172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4,750</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186,000</w:t>
            </w:r>
          </w:p>
        </w:tc>
        <w:tc>
          <w:tcPr>
            <w:tcW w:w="2620" w:type="dxa"/>
            <w:vAlign w:val="bottom"/>
            <w:gridSpan w:val="3"/>
            <w:shd w:val="clear" w:color="auto" w:fill="CCEEFF"/>
          </w:tcPr>
          <w:p>
            <w:pPr>
              <w:jc w:val="right"/>
              <w:ind w:right="800"/>
              <w:spacing w:after="0"/>
              <w:rPr>
                <w:sz w:val="20"/>
                <w:szCs w:val="20"/>
                <w:color w:val="auto"/>
              </w:rPr>
            </w:pPr>
            <w:r>
              <w:rPr>
                <w:rFonts w:ascii="Arial" w:cs="Arial" w:eastAsia="Arial" w:hAnsi="Arial"/>
                <w:sz w:val="18"/>
                <w:szCs w:val="18"/>
                <w:color w:val="auto"/>
              </w:rPr>
              <w:t>220</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2,675</w:t>
            </w:r>
          </w:p>
        </w:tc>
        <w:tc>
          <w:tcPr>
            <w:tcW w:w="20" w:type="dxa"/>
            <w:vAlign w:val="bottom"/>
          </w:tcPr>
          <w:p>
            <w:pPr>
              <w:spacing w:after="0"/>
              <w:rPr>
                <w:sz w:val="18"/>
                <w:szCs w:val="18"/>
                <w:color w:val="auto"/>
              </w:rPr>
            </w:pPr>
          </w:p>
        </w:tc>
      </w:tr>
      <w:tr>
        <w:trPr>
          <w:trHeight w:val="222"/>
        </w:trPr>
        <w:tc>
          <w:tcPr>
            <w:tcW w:w="4940" w:type="dxa"/>
            <w:vAlign w:val="bottom"/>
          </w:tcPr>
          <w:p>
            <w:pPr>
              <w:spacing w:after="0"/>
              <w:rPr>
                <w:sz w:val="20"/>
                <w:szCs w:val="20"/>
                <w:color w:val="auto"/>
              </w:rPr>
            </w:pPr>
            <w:r>
              <w:rPr>
                <w:rFonts w:ascii="Arial" w:cs="Arial" w:eastAsia="Arial" w:hAnsi="Arial"/>
                <w:sz w:val="18"/>
                <w:szCs w:val="18"/>
                <w:color w:val="auto"/>
              </w:rPr>
              <w:t>Macau</w:t>
            </w:r>
          </w:p>
        </w:tc>
        <w:tc>
          <w:tcPr>
            <w:tcW w:w="1720" w:type="dxa"/>
            <w:vAlign w:val="bottom"/>
            <w:gridSpan w:val="2"/>
          </w:tcPr>
          <w:p>
            <w:pPr>
              <w:jc w:val="right"/>
              <w:ind w:right="800"/>
              <w:spacing w:after="0"/>
              <w:rPr>
                <w:sz w:val="20"/>
                <w:szCs w:val="20"/>
                <w:color w:val="auto"/>
              </w:rPr>
            </w:pPr>
            <w:r>
              <w:rPr>
                <w:rFonts w:ascii="Arial" w:cs="Arial" w:eastAsia="Arial" w:hAnsi="Arial"/>
                <w:sz w:val="18"/>
                <w:szCs w:val="18"/>
                <w:color w:val="auto"/>
              </w:rPr>
              <w:t>1,014</w:t>
            </w:r>
          </w:p>
        </w:tc>
        <w:tc>
          <w:tcPr>
            <w:tcW w:w="1200" w:type="dxa"/>
            <w:vAlign w:val="bottom"/>
          </w:tcPr>
          <w:p>
            <w:pPr>
              <w:jc w:val="right"/>
              <w:spacing w:after="0"/>
              <w:rPr>
                <w:sz w:val="20"/>
                <w:szCs w:val="20"/>
                <w:color w:val="auto"/>
              </w:rPr>
            </w:pPr>
            <w:r>
              <w:rPr>
                <w:rFonts w:ascii="Arial" w:cs="Arial" w:eastAsia="Arial" w:hAnsi="Arial"/>
                <w:sz w:val="18"/>
                <w:szCs w:val="18"/>
                <w:color w:val="auto"/>
              </w:rPr>
              <w:t>256,000</w:t>
            </w:r>
          </w:p>
        </w:tc>
        <w:tc>
          <w:tcPr>
            <w:tcW w:w="2620" w:type="dxa"/>
            <w:vAlign w:val="bottom"/>
            <w:gridSpan w:val="3"/>
          </w:tcPr>
          <w:p>
            <w:pPr>
              <w:jc w:val="right"/>
              <w:ind w:right="800"/>
              <w:spacing w:after="0"/>
              <w:rPr>
                <w:sz w:val="20"/>
                <w:szCs w:val="20"/>
                <w:color w:val="auto"/>
              </w:rPr>
            </w:pPr>
            <w:r>
              <w:rPr>
                <w:rFonts w:ascii="Arial" w:cs="Arial" w:eastAsia="Arial" w:hAnsi="Arial"/>
                <w:sz w:val="18"/>
                <w:szCs w:val="18"/>
                <w:color w:val="auto"/>
              </w:rPr>
              <w:t>465</w:t>
            </w:r>
          </w:p>
        </w:tc>
        <w:tc>
          <w:tcPr>
            <w:tcW w:w="940" w:type="dxa"/>
            <w:vAlign w:val="bottom"/>
          </w:tcPr>
          <w:p>
            <w:pPr>
              <w:jc w:val="right"/>
              <w:spacing w:after="0"/>
              <w:rPr>
                <w:sz w:val="20"/>
                <w:szCs w:val="20"/>
                <w:color w:val="auto"/>
              </w:rPr>
            </w:pPr>
            <w:r>
              <w:rPr>
                <w:rFonts w:ascii="Arial" w:cs="Arial" w:eastAsia="Arial" w:hAnsi="Arial"/>
                <w:sz w:val="18"/>
                <w:szCs w:val="18"/>
                <w:color w:val="auto"/>
              </w:rPr>
              <w:t>1,225</w:t>
            </w:r>
          </w:p>
        </w:tc>
        <w:tc>
          <w:tcPr>
            <w:tcW w:w="20" w:type="dxa"/>
            <w:vAlign w:val="bottom"/>
          </w:tcPr>
          <w:p>
            <w:pPr>
              <w:spacing w:after="0"/>
              <w:rPr>
                <w:sz w:val="19"/>
                <w:szCs w:val="19"/>
                <w:color w:val="auto"/>
              </w:rPr>
            </w:pPr>
          </w:p>
        </w:tc>
      </w:tr>
    </w:tbl>
    <w:p>
      <w:pPr>
        <w:spacing w:after="0" w:line="22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Las Vegas</w:t>
      </w:r>
    </w:p>
    <w:p>
      <w:pPr>
        <w:spacing w:after="0" w:line="90" w:lineRule="exact"/>
        <w:rPr>
          <w:sz w:val="20"/>
          <w:szCs w:val="20"/>
          <w:color w:val="auto"/>
        </w:rPr>
      </w:pPr>
    </w:p>
    <w:p>
      <w:pPr>
        <w:ind w:right="360" w:firstLine="456"/>
        <w:spacing w:after="0" w:line="259" w:lineRule="auto"/>
        <w:rPr>
          <w:sz w:val="20"/>
          <w:szCs w:val="20"/>
          <w:color w:val="auto"/>
        </w:rPr>
      </w:pPr>
      <w:r>
        <w:rPr>
          <w:rFonts w:ascii="Arial" w:cs="Arial" w:eastAsia="Arial" w:hAnsi="Arial"/>
          <w:sz w:val="18"/>
          <w:szCs w:val="18"/>
          <w:color w:val="auto"/>
        </w:rPr>
        <w:t>Wynn Las Vegas is located at the intersection of the Las Vegas Strip and Sands Avenue, and occupies approximately 217 acres of land fronting the Las Vegas Strip. In addition, we own approximately 18 acres across Sands Avenue, a portion which is utilized for employee parking and approximately 5 acres adjacent to the golf course on which an office building is located.</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Wynn Las Vegas features:</w:t>
      </w:r>
    </w:p>
    <w:p>
      <w:pPr>
        <w:spacing w:after="0" w:line="90" w:lineRule="exact"/>
        <w:rPr>
          <w:sz w:val="20"/>
          <w:szCs w:val="20"/>
          <w:color w:val="auto"/>
        </w:rPr>
      </w:pPr>
    </w:p>
    <w:p>
      <w:pPr>
        <w:ind w:left="900" w:right="20" w:hanging="446"/>
        <w:spacing w:after="0" w:line="268"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 approximately 110,000 square foot casino offering 24-hour gaming and a full range of games, including private gaming salons, a poker room, and a race and sports book;</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Luxury hotel accommodations in 2,716 spacious hotel rooms, suites and villas;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22 food and beverage outlets featuring signature chefs;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Ferrari and Maserati automobile dealership;</w:t>
      </w:r>
    </w:p>
    <w:p>
      <w:pPr>
        <w:spacing w:after="0" w:line="90" w:lineRule="exact"/>
        <w:rPr>
          <w:rFonts w:ascii="Arial" w:cs="Arial" w:eastAsia="Arial" w:hAnsi="Arial"/>
          <w:sz w:val="18"/>
          <w:szCs w:val="18"/>
          <w:color w:val="auto"/>
        </w:rPr>
      </w:pPr>
    </w:p>
    <w:p>
      <w:pPr>
        <w:ind w:left="900" w:right="140" w:hanging="446"/>
        <w:spacing w:after="0" w:line="268"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Approximately 74,000 square feet of high-end, brand-name retail shopping, including stores and boutiques by Alexander McQueen, Brioni, Cartier, Chanel, Dior, Graff, Louis Vuitton, Manolo Blahnik, Oscar de la Renta, Vertu and others;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tabs>
          <w:tab w:leader="none" w:pos="900" w:val="left"/>
        </w:tabs>
        <w:numPr>
          <w:ilvl w:val="0"/>
          <w:numId w:val="9"/>
        </w:numPr>
        <w:rPr>
          <w:rFonts w:ascii="Arial" w:cs="Arial" w:eastAsia="Arial" w:hAnsi="Arial"/>
          <w:sz w:val="16"/>
          <w:szCs w:val="16"/>
          <w:color w:val="auto"/>
        </w:rPr>
      </w:pPr>
      <w:r>
        <w:rPr>
          <w:rFonts w:ascii="Arial" w:cs="Arial" w:eastAsia="Arial" w:hAnsi="Arial"/>
          <w:sz w:val="16"/>
          <w:szCs w:val="16"/>
          <w:color w:val="auto"/>
        </w:rPr>
        <w:t>Recreation and leisure facilities, including an 18-hole golf course, five swimming pools, private cabanas and a full service spa and salon; and,</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showroom, two nightclubs and lounges.</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Encore at Wynn Las Vegas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opened Encore at Wynn Las Vegas on December 22, 2008.</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Encore at Wynn Las Vegas features:</w:t>
      </w:r>
    </w:p>
    <w:p>
      <w:pPr>
        <w:spacing w:after="0" w:line="90" w:lineRule="exact"/>
        <w:rPr>
          <w:sz w:val="20"/>
          <w:szCs w:val="20"/>
          <w:color w:val="auto"/>
        </w:rPr>
      </w:pPr>
    </w:p>
    <w:p>
      <w:pPr>
        <w:ind w:left="900" w:hanging="446"/>
        <w:spacing w:after="0"/>
        <w:tabs>
          <w:tab w:leader="none" w:pos="9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An approximately 76,000 square foot casino offering 24-hour gaming and a full range of games, including private gaming salons and a sports book;</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Luxury hotel accommodation in 2,034 all-suite rooms;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Twelve food and beverage outlets;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Approximately 27,000 square feet of high-end brand name retail shopping, including stores and boutiques by Hermes, Chanel and others;</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Recreation and leisure facilities including swimming pools, private cabanas and a full service spa and salon;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showroom, nightclub and lounges.</w:t>
      </w:r>
    </w:p>
    <w:p>
      <w:pPr>
        <w:spacing w:after="0" w:line="171"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In response to our evaluation of our Las Vegas Operations and the reactions of our guests, we have and expect to continue to make enhancements and refinements to this resort complex.</w:t>
      </w:r>
    </w:p>
    <w:p>
      <w:pPr>
        <w:spacing w:after="0" w:line="13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Construction is currently underway to replace Encore’s porte-cochere on Las Vegas Boulevard with the Encore Beach Club that will feature pools, food and beverage, and nightlife offerings. The total project budget for the Encore Beach Club is approximately $68 million. The Beach Club is expected to open on schedule in the second quarter of 2010.</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Macau</w:t>
      </w:r>
    </w:p>
    <w:p>
      <w:pPr>
        <w:spacing w:after="0" w:line="9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We opened Wynn Macau on September 6, 2006 and completed expansions of this resort in December 2007 and November 2009. We operate Wynn Macau under a 20-year casino concession agreement granted by the Macau government in June 2002.</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Wynn Macau features:</w:t>
      </w:r>
    </w:p>
    <w:p>
      <w:pPr>
        <w:spacing w:after="0" w:line="90" w:lineRule="exact"/>
        <w:rPr>
          <w:sz w:val="20"/>
          <w:szCs w:val="20"/>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 approximately 222,000 square foot casino offering 24-hour gaming and a full range of games, including private gaming salons;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Luxury hotel accommodations in 600 rooms and suites;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Casual and fine dining in six restaurants;</w:t>
      </w:r>
    </w:p>
    <w:p>
      <w:pPr>
        <w:spacing w:after="0" w:line="90" w:lineRule="exact"/>
        <w:rPr>
          <w:rFonts w:ascii="Arial" w:cs="Arial" w:eastAsia="Arial" w:hAnsi="Arial"/>
          <w:sz w:val="18"/>
          <w:szCs w:val="18"/>
          <w:color w:val="auto"/>
        </w:rPr>
      </w:pPr>
    </w:p>
    <w:p>
      <w:pPr>
        <w:ind w:left="900" w:right="80" w:hanging="446"/>
        <w:spacing w:after="0" w:line="259"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Approximately 48,000 square feet of high-end, brand-name retail shopping, including stores and boutiques by Bvlgari, Chanel, Dior, Dunhill, Fendi, Ferrari, Giorgio Armani, Gucci, Hermes, Hugo Boss, Louis Vuitton, Miu Miu, Piaget, Prada, Rolex, Tiffany, Van Cleef &amp; Arpels, Versace, Vertu, Zegna and others;</w:t>
      </w:r>
    </w:p>
    <w:p>
      <w:pPr>
        <w:spacing w:after="0" w:line="59"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Recreation and leisure facilities, including a health club, pool and spa;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Lounges and meeting facilities.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Encore at Wynn Macau</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opened Encore at Wynn Macau on April 21, 2010.</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Encore at Wynn Macau features:</w:t>
      </w:r>
    </w:p>
    <w:p>
      <w:pPr>
        <w:spacing w:after="0" w:line="90" w:lineRule="exact"/>
        <w:rPr>
          <w:sz w:val="20"/>
          <w:szCs w:val="20"/>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 approximately 22,000 square foot casino offering 24-hour gaming and a full range of games, including private gaming salons;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sky casino of approximately 12,000 square feet;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Luxury hotel accommodations in 414 spacious suites and villas;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Approximately 3,200 square feet of high-end retail space including Chanel, Piaget and Cartier;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Two restaurants;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Full service luxury spa facilities.</w:t>
      </w:r>
    </w:p>
    <w:p>
      <w:pPr>
        <w:spacing w:after="0" w:line="171"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In response to our evaluation of Wynn Macau and the reactions of our guests, we have and expect to continue to make enhancements and refinements to this resort complex.</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Future Development</w:t>
      </w:r>
    </w:p>
    <w:p>
      <w:pPr>
        <w:spacing w:after="0" w:line="9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Approximately 142 acres of land comprising Wynn Las Vegas is currently improved with a golf course. While we may develop this property in the future, we have no immediate plans to do so.</w:t>
      </w:r>
    </w:p>
    <w:p>
      <w:pPr>
        <w:spacing w:after="0" w:line="132"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The Company has applied to the government of Macau for a land concession on approximately 52 aces of land on Cotai and are awaiting final government approval on the concession. We continue work on the concept and design of this property, but cannot prepare a final timeline or budget until government approval on the land concession has been received.</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Current Economic and Operating Environment</w:t>
      </w:r>
    </w:p>
    <w:p>
      <w:pPr>
        <w:spacing w:after="0" w:line="90"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Due to a number of factors affecting consumers, including a slowdown in global economies, contracting credit markets and reduced consumer spending, the outlook for the gaming, travel and entertainment industries domestically continues to remain highly uncertain. This slow down was particularly significant in the fourth quarter of 2008 and has continued throughout the first quarter of 2010, most significantly affecting our U.S. operations. Based on our experience over this past year and current market conditions, we believe that our Las Vegas operations will continue to experience lower than historical hotel occupancy rates, room rates, casino volumes and departmental profitability. Significant new supply in Las Vegas has and will continue to put additional pressure on occupancy and room rates during 2010. As a result of the current economic and market conditions, we have focused on efficiency initiatives that we began implementing at both of our properties and corporate offices in early 2009. We continually review the cost structure of our operating properties and corporate offices to identify further opportunities to reduce costs.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Our operating results at Wynn Macau were strong during the first quarter of 2010; however we believe that our results in Las Vegas for the three months ended March 31, 2010, continued to be adversely impacted by the weakened global economy. Disruptions in the financial markets and reduced levels of consumer spending have and may continue to adversely impact our financial results in Las Vegas.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table below presents our net revenues (amounts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80" w:type="dxa"/>
            <w:vAlign w:val="bottom"/>
            <w:gridSpan w:val="4"/>
          </w:tcPr>
          <w:p>
            <w:pPr>
              <w:jc w:val="right"/>
              <w:ind w:right="237"/>
              <w:spacing w:after="0"/>
              <w:rPr>
                <w:sz w:val="20"/>
                <w:szCs w:val="20"/>
                <w:color w:val="auto"/>
              </w:rPr>
            </w:pPr>
            <w:r>
              <w:rPr>
                <w:rFonts w:ascii="Arial" w:cs="Arial" w:eastAsia="Arial" w:hAnsi="Arial"/>
                <w:sz w:val="14"/>
                <w:szCs w:val="14"/>
                <w:b w:val="1"/>
                <w:bCs w:val="1"/>
                <w:color w:val="auto"/>
                <w:w w:val="96"/>
              </w:rPr>
              <w:t>Three Months Ended</w:t>
            </w:r>
          </w:p>
        </w:tc>
      </w:tr>
      <w:tr>
        <w:trPr>
          <w:trHeight w:val="161"/>
        </w:trPr>
        <w:tc>
          <w:tcPr>
            <w:tcW w:w="95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rPr>
              <w:t>March 31,</w:t>
            </w:r>
          </w:p>
        </w:tc>
        <w:tc>
          <w:tcPr>
            <w:tcW w:w="600" w:type="dxa"/>
            <w:vAlign w:val="bottom"/>
            <w:tcBorders>
              <w:bottom w:val="single" w:sz="8" w:color="auto"/>
            </w:tcBorders>
          </w:tcPr>
          <w:p>
            <w:pPr>
              <w:spacing w:after="0"/>
              <w:rPr>
                <w:sz w:val="14"/>
                <w:szCs w:val="14"/>
                <w:color w:val="auto"/>
              </w:rPr>
            </w:pPr>
          </w:p>
        </w:tc>
      </w:tr>
      <w:tr>
        <w:trPr>
          <w:trHeight w:val="142"/>
        </w:trPr>
        <w:tc>
          <w:tcPr>
            <w:tcW w:w="956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82"/>
              <w:spacing w:after="0" w:line="142" w:lineRule="exact"/>
              <w:rPr>
                <w:sz w:val="20"/>
                <w:szCs w:val="20"/>
                <w:color w:val="auto"/>
              </w:rPr>
            </w:pPr>
            <w:r>
              <w:rPr>
                <w:rFonts w:ascii="Arial" w:cs="Arial" w:eastAsia="Arial" w:hAnsi="Arial"/>
                <w:sz w:val="14"/>
                <w:szCs w:val="14"/>
                <w:b w:val="1"/>
                <w:bCs w:val="1"/>
                <w:color w:val="auto"/>
              </w:rPr>
              <w:t>2010</w:t>
            </w:r>
          </w:p>
        </w:tc>
        <w:tc>
          <w:tcPr>
            <w:tcW w:w="2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97"/>
              <w:spacing w:after="0" w:line="142" w:lineRule="exact"/>
              <w:rPr>
                <w:sz w:val="20"/>
                <w:szCs w:val="20"/>
                <w:color w:val="auto"/>
              </w:rPr>
            </w:pPr>
            <w:r>
              <w:rPr>
                <w:rFonts w:ascii="Arial" w:cs="Arial" w:eastAsia="Arial" w:hAnsi="Arial"/>
                <w:sz w:val="14"/>
                <w:szCs w:val="14"/>
                <w:b w:val="1"/>
                <w:bCs w:val="1"/>
                <w:color w:val="auto"/>
                <w:w w:val="96"/>
              </w:rPr>
              <w:t>2009</w:t>
            </w:r>
          </w:p>
        </w:tc>
      </w:tr>
      <w:tr>
        <w:trPr>
          <w:trHeight w:val="210"/>
        </w:trPr>
        <w:tc>
          <w:tcPr>
            <w:tcW w:w="9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Revenues</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r>
      <w:tr>
        <w:trPr>
          <w:trHeight w:val="216"/>
        </w:trPr>
        <w:tc>
          <w:tcPr>
            <w:tcW w:w="9560" w:type="dxa"/>
            <w:vAlign w:val="bottom"/>
          </w:tcPr>
          <w:p>
            <w:pPr>
              <w:ind w:left="440"/>
              <w:spacing w:after="0"/>
              <w:rPr>
                <w:sz w:val="20"/>
                <w:szCs w:val="20"/>
                <w:color w:val="auto"/>
              </w:rPr>
            </w:pPr>
            <w:r>
              <w:rPr>
                <w:rFonts w:ascii="Arial" w:cs="Arial" w:eastAsia="Arial" w:hAnsi="Arial"/>
                <w:sz w:val="18"/>
                <w:szCs w:val="18"/>
                <w:color w:val="auto"/>
              </w:rPr>
              <w:t>Las Vegas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318,271</w:t>
            </w:r>
          </w:p>
        </w:tc>
        <w:tc>
          <w:tcPr>
            <w:tcW w:w="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291,276</w:t>
            </w:r>
          </w:p>
        </w:tc>
      </w:tr>
      <w:tr>
        <w:trPr>
          <w:trHeight w:val="216"/>
        </w:trPr>
        <w:tc>
          <w:tcPr>
            <w:tcW w:w="9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Macau</w:t>
            </w: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590,647</w:t>
            </w:r>
          </w:p>
        </w:tc>
        <w:tc>
          <w:tcPr>
            <w:tcW w:w="2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448,679</w:t>
            </w:r>
          </w:p>
        </w:tc>
      </w:tr>
      <w:tr>
        <w:trPr>
          <w:trHeight w:val="222"/>
        </w:trPr>
        <w:tc>
          <w:tcPr>
            <w:tcW w:w="9560" w:type="dxa"/>
            <w:vAlign w:val="bottom"/>
          </w:tcPr>
          <w:p>
            <w:pPr>
              <w:spacing w:after="0"/>
              <w:rPr>
                <w:sz w:val="20"/>
                <w:szCs w:val="20"/>
                <w:color w:val="auto"/>
              </w:rPr>
            </w:pPr>
            <w:r>
              <w:rPr>
                <w:rFonts w:ascii="Arial" w:cs="Arial" w:eastAsia="Arial" w:hAnsi="Arial"/>
                <w:sz w:val="18"/>
                <w:szCs w:val="18"/>
                <w:b w:val="1"/>
                <w:bCs w:val="1"/>
                <w:color w:val="auto"/>
              </w:rPr>
              <w:t>Total Net Revenues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908,918</w:t>
            </w:r>
          </w:p>
        </w:tc>
        <w:tc>
          <w:tcPr>
            <w:tcW w:w="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739,955</w:t>
            </w:r>
          </w:p>
        </w:tc>
      </w:tr>
      <w:tr>
        <w:trPr>
          <w:trHeight w:val="20"/>
        </w:trPr>
        <w:tc>
          <w:tcPr>
            <w:tcW w:w="95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Reliance on only two resort complexes (in two geographic regions) for our operating cash flow exposes us to certain risks that competitors, whose operations are more diversified, may be better able to control. In addition to the concentration of operations in two resort complexes, many of our customers are high-end gaming customers who wager on credit, thus exposing us to increased credit risk. High-end gaming also increases the potential for variability in our results.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Operating Measures</w:t>
      </w:r>
    </w:p>
    <w:p>
      <w:pPr>
        <w:spacing w:after="0" w:line="9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Certain key operating statistics specific to the gaming industry are included in our discussion of our operational performance for the periods for which a Condensed Consolidated Statement of Operations is presented. There are two methods used to calculate win percentage in the casino industry. In Las Vegas and in the general casino at Wynn Macau, customers primarily purchase cash chips from gaming tables. The cash and net markers used to purchase the cash chips from gaming tables are deposited in the gaming table’s drop box. This is the base of measurement that we use in the casino at our Las Vegas Operations and in the general casino at Wynn Macau for calculating win percentage.</w:t>
      </w:r>
    </w:p>
    <w:p>
      <w:pPr>
        <w:spacing w:after="0" w:line="116"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In our VIP casino at Wynn Macau, customers primarily purchase non-negotiable rolling chips from the casino cage and there is no deposit into a gaming table drop box from chips purchased from the cage. Non-negotiable chips can only be used to make wagers. Winning wagers are paid in cash chips. The loss of the non-negotiable rolling chips in the VIP casino is recorded as turnover and provides a base for measuring VIP casino win percentage. Because of this difference in chip purchase activity, the measurement base used in the general casino is not the same that is used in the VIP casino. It is customary in Macau to measure VIP casino play using this Rolling Chip method.</w:t>
      </w:r>
    </w:p>
    <w:p>
      <w:pPr>
        <w:spacing w:after="0" w:line="14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measurement method in Las Vegas and in the general casino at Wynn Macau effectively tracks the initial purchase of chips while the measurement method in the VIP casino at Wynn Macau effectively tracks the sum of all losing wagers. Accordingly, the base measurement in the VIP casino is much larger than the general casino. As a result, the expected win percent with the same amount of gaming win (numerator) is smaller in the VIP casino at Wynn Macau when compared to the general casino in Las Vegas and Macau.</w:t>
      </w:r>
    </w:p>
    <w:p>
      <w:pPr>
        <w:spacing w:after="0" w:line="143"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Even though both use the same measurement method, we experience different win percentages in the general casino activity in Las Vegas versus Macau. This difference is primarily due to the difference in the mix of table games between the two casinos. Each type of table game has its own theoretical win percentage. The life to date table games win percentage for our Las Vegas operations is 22.0% whereas the life to date table games win percentage for the general casino at Wynn Macau is 20.0%.</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Below are definitions of the statistics discussed:</w:t>
      </w:r>
    </w:p>
    <w:p>
      <w:pPr>
        <w:spacing w:after="0" w:line="90" w:lineRule="exact"/>
        <w:rPr>
          <w:sz w:val="20"/>
          <w:szCs w:val="20"/>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Table games win is the amount of drop or turnover that is retained and recorded as casino revenue.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Drop is the amount of cash and net markers issued that are deposited in a gaming table’s drop box.</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Turnover is the sum of all losing Rolling Chip wagers within our Wynn Macau VIP program.</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Rolling Chips are identifiable chips that are used to track VIP wagering volume (turnover) for purposes of calculating incentives.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Slot win is the amount of handle (representing the total amount wagered) that is retained by us and is recorded as casino revenue.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Average Daily Rate (“ADR”) is calculated by dividing total room revenue (less service charges, if any) by total rooms occupied.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Revenue per Available Room (“REVPAR”) is calculated by dividing total room revenue (less service charges, if any) by total rooms available.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results for the three months ended March 31, 2010 compared to the three months ended March 31, 2009.</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Revenues</w:t>
      </w:r>
    </w:p>
    <w:p>
      <w:pPr>
        <w:spacing w:after="0" w:line="90"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Net revenues for the three months ended March 31, 2010 are comprised of $691.6 million in casino revenues (76.1% of total net revenues) and $217.3 million of net non-casino revenues (23.9% of total net revenues). Net revenues for the three months ended March 31, 2009 were comprised of $541.7 million in casino revenues (73.2% of total net revenues) and $198.3 million of net non-casino revenues (26.8% of total net revenues).</w:t>
      </w:r>
    </w:p>
    <w:p>
      <w:pPr>
        <w:spacing w:after="0" w:line="107"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Casino revenues are comprised of the net win from our table games and slot machine operations. Casino revenues for the three months ended March 31, 2010 of approximately $691.6 million represents a $149.9 million (or 27.7%) increase from casino revenues of $541.7 million for the three months ended March 31, 2009. Our Las Vegas Operations experienced a $22 million increase in casino revenues compared to the prior year due to a 7.1% increase in drop and an increase in our average table games win percentage. Our average table games win percentage (before discounts) for the three months ended March 31, 2010 was 23.2%, which was within the expected range of 21% to 24% and compares to 17.7% for the prior year’s quarter. Slot handle at our Las Vegas Operations decreased 26.6% compared to the prior year quarter due to high volumes of slot play experienced when Encore at Wynn Las Vegas opened last year and new supply added to the Las Vegas market in late 2009. Our slot win percentage was within the expected range of 4.5% to 5.5%.</w:t>
      </w:r>
    </w:p>
    <w:p>
      <w:pPr>
        <w:spacing w:after="0" w:line="118"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Casino revenues at Wynn Macau increased $127.9 million during the three months ended March 31, 2010, compared to the prior year quarter. At Wynn Macau, we experienced a 47.4% increase in the VIP revenue segment due to an 89.4% increase in turnover. Our win as a percent of turnover was 2.7%, which is at the lower end of the expected range of 2.7% to 3.0%, and compares to 3.55% in the prior year quarter. Our VIP casino segment win as a percent of turnover includes a nominal beneficial effect attributable to non-rolling chip play. In our general casino at Wynn Macau, drop increased 5.2% when compared to the prior year quarter and the average table games win percentage was 22.2%, which is above the expected range of 18% to 20%. The average table game win percentage at Wynn Macau for the three months ended March 31, 2009 was 22.1%. Slot handle at Wynn Macau decreased 4.1% compared to the prior year quarter due to less gaming activity of certain high-limit customers. Our slot win percentage was within the expected range of 4.5% to 5.5%.</w:t>
      </w:r>
    </w:p>
    <w:p>
      <w:pPr>
        <w:spacing w:after="0" w:line="118"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For the three months ended March 31, 2010, room revenues were approximately $92.9 million, a decrease of $5.5 million compared to prior year room revenue of $98.4 million. Room revenue at our Las Vegas Operations decreased approximately $7.5 million compared to the prior year quarter. In Las Vegas, we continued to experience a decrease in room rates during the three months ended March 31, 2010, compared to the three months ended March 31, 2009. We believe this is due to the current economic conditions in which we operate in the U.S. and increased capacity in the Las Vegas market with the opening of a new large scale casino hotel in December 2009. Room revenue at Wynn Macau increased approximately $2 million due to an increase in occupancy and room rates compared to the prior year.</w:t>
      </w:r>
    </w:p>
    <w:p>
      <w:pPr>
        <w:spacing w:after="0" w:line="13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00"/>
          </w:cols>
          <w:pgMar w:left="240" w:top="459" w:right="3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table below sets forth key operating measures related to room revenue.</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61"/>
        </w:trPr>
        <w:tc>
          <w:tcPr>
            <w:tcW w:w="82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4"/>
                <w:szCs w:val="14"/>
                <w:b w:val="1"/>
                <w:bCs w:val="1"/>
                <w:color w:val="auto"/>
                <w:w w:val="92"/>
              </w:rPr>
              <w:t>March 31,</w:t>
            </w:r>
          </w:p>
        </w:tc>
        <w:tc>
          <w:tcPr>
            <w:tcW w:w="4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82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w w:val="83"/>
              </w:rPr>
              <w:t>2010</w:t>
            </w: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w w:val="76"/>
              </w:rPr>
              <w:t>2009</w:t>
            </w:r>
          </w:p>
        </w:tc>
        <w:tc>
          <w:tcPr>
            <w:tcW w:w="200" w:type="dxa"/>
            <w:vAlign w:val="bottom"/>
          </w:tcPr>
          <w:p>
            <w:pPr>
              <w:spacing w:after="0"/>
              <w:rPr>
                <w:sz w:val="12"/>
                <w:szCs w:val="12"/>
                <w:color w:val="auto"/>
              </w:rPr>
            </w:pPr>
          </w:p>
        </w:tc>
      </w:tr>
      <w:tr>
        <w:trPr>
          <w:trHeight w:val="210"/>
        </w:trPr>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Average Daily Rate</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8260" w:type="dxa"/>
            <w:vAlign w:val="bottom"/>
          </w:tcPr>
          <w:p>
            <w:pPr>
              <w:ind w:left="440"/>
              <w:spacing w:after="0"/>
              <w:rPr>
                <w:sz w:val="20"/>
                <w:szCs w:val="20"/>
                <w:color w:val="auto"/>
              </w:rPr>
            </w:pPr>
            <w:r>
              <w:rPr>
                <w:rFonts w:ascii="Arial" w:cs="Arial" w:eastAsia="Arial" w:hAnsi="Arial"/>
                <w:sz w:val="18"/>
                <w:szCs w:val="18"/>
                <w:color w:val="auto"/>
              </w:rPr>
              <w:t>Las Vegas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203</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222</w:t>
            </w:r>
          </w:p>
        </w:tc>
        <w:tc>
          <w:tcPr>
            <w:tcW w:w="200" w:type="dxa"/>
            <w:vAlign w:val="bottom"/>
          </w:tcPr>
          <w:p>
            <w:pPr>
              <w:spacing w:after="0"/>
              <w:rPr>
                <w:sz w:val="18"/>
                <w:szCs w:val="18"/>
                <w:color w:val="auto"/>
              </w:rPr>
            </w:pPr>
          </w:p>
        </w:tc>
      </w:tr>
      <w:tr>
        <w:trPr>
          <w:trHeight w:val="216"/>
        </w:trPr>
        <w:tc>
          <w:tcPr>
            <w:tcW w:w="82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Macau</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282</w:t>
            </w: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200" w:type="dxa"/>
            <w:vAlign w:val="bottom"/>
            <w:shd w:val="clear" w:color="auto" w:fill="CCEEFF"/>
          </w:tcPr>
          <w:p>
            <w:pPr>
              <w:spacing w:after="0"/>
              <w:rPr>
                <w:sz w:val="18"/>
                <w:szCs w:val="18"/>
                <w:color w:val="auto"/>
              </w:rPr>
            </w:pPr>
          </w:p>
        </w:tc>
      </w:tr>
      <w:tr>
        <w:trPr>
          <w:trHeight w:val="216"/>
        </w:trPr>
        <w:tc>
          <w:tcPr>
            <w:tcW w:w="8260" w:type="dxa"/>
            <w:vAlign w:val="bottom"/>
          </w:tcPr>
          <w:p>
            <w:pPr>
              <w:spacing w:after="0"/>
              <w:rPr>
                <w:sz w:val="20"/>
                <w:szCs w:val="20"/>
                <w:color w:val="auto"/>
              </w:rPr>
            </w:pPr>
            <w:r>
              <w:rPr>
                <w:rFonts w:ascii="Arial" w:cs="Arial" w:eastAsia="Arial" w:hAnsi="Arial"/>
                <w:sz w:val="18"/>
                <w:szCs w:val="18"/>
                <w:color w:val="auto"/>
              </w:rPr>
              <w:t>Occupancy</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82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Las Vegas</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89.4%</w:t>
            </w: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89.5%</w:t>
            </w:r>
          </w:p>
        </w:tc>
      </w:tr>
      <w:tr>
        <w:trPr>
          <w:trHeight w:val="216"/>
        </w:trPr>
        <w:tc>
          <w:tcPr>
            <w:tcW w:w="8260" w:type="dxa"/>
            <w:vAlign w:val="bottom"/>
          </w:tcPr>
          <w:p>
            <w:pPr>
              <w:ind w:left="440"/>
              <w:spacing w:after="0"/>
              <w:rPr>
                <w:sz w:val="20"/>
                <w:szCs w:val="20"/>
                <w:color w:val="auto"/>
              </w:rPr>
            </w:pPr>
            <w:r>
              <w:rPr>
                <w:rFonts w:ascii="Arial" w:cs="Arial" w:eastAsia="Arial" w:hAnsi="Arial"/>
                <w:sz w:val="18"/>
                <w:szCs w:val="18"/>
                <w:color w:val="auto"/>
              </w:rPr>
              <w:t>Macau</w:t>
            </w:r>
          </w:p>
        </w:tc>
        <w:tc>
          <w:tcPr>
            <w:tcW w:w="12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90.7%</w:t>
            </w: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83.3%</w:t>
            </w:r>
          </w:p>
        </w:tc>
      </w:tr>
      <w:tr>
        <w:trPr>
          <w:trHeight w:val="216"/>
        </w:trPr>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REVPAR</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8260" w:type="dxa"/>
            <w:vAlign w:val="bottom"/>
          </w:tcPr>
          <w:p>
            <w:pPr>
              <w:ind w:left="440"/>
              <w:spacing w:after="0"/>
              <w:rPr>
                <w:sz w:val="20"/>
                <w:szCs w:val="20"/>
                <w:color w:val="auto"/>
              </w:rPr>
            </w:pPr>
            <w:r>
              <w:rPr>
                <w:rFonts w:ascii="Arial" w:cs="Arial" w:eastAsia="Arial" w:hAnsi="Arial"/>
                <w:sz w:val="18"/>
                <w:szCs w:val="18"/>
                <w:color w:val="auto"/>
              </w:rPr>
              <w:t>Las Vegas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181</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199</w:t>
            </w:r>
          </w:p>
        </w:tc>
        <w:tc>
          <w:tcPr>
            <w:tcW w:w="200" w:type="dxa"/>
            <w:vAlign w:val="bottom"/>
          </w:tcPr>
          <w:p>
            <w:pPr>
              <w:spacing w:after="0"/>
              <w:rPr>
                <w:sz w:val="18"/>
                <w:szCs w:val="18"/>
                <w:color w:val="auto"/>
              </w:rPr>
            </w:pPr>
          </w:p>
        </w:tc>
      </w:tr>
      <w:tr>
        <w:trPr>
          <w:trHeight w:val="216"/>
        </w:trPr>
        <w:tc>
          <w:tcPr>
            <w:tcW w:w="82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Macau</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256</w:t>
            </w: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200" w:type="dxa"/>
            <w:vAlign w:val="bottom"/>
            <w:shd w:val="clear" w:color="auto" w:fill="CCEEFF"/>
          </w:tcPr>
          <w:p>
            <w:pPr>
              <w:spacing w:after="0"/>
              <w:rPr>
                <w:sz w:val="18"/>
                <w:szCs w:val="18"/>
                <w:color w:val="auto"/>
              </w:rPr>
            </w:pPr>
          </w:p>
        </w:tc>
      </w:tr>
    </w:tbl>
    <w:p>
      <w:pPr>
        <w:spacing w:after="0" w:line="15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Other non-casino revenues for the three months ended March 31, 2010 included food and beverage revenues of approximately $111.8 million, retail</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revenues of approximately $48.6 million, entertainment revenues of approximately $18.2 million, and other revenues from outlets such as the spa and salon,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approximately $16 million. Other non-gaming revenues for the three months ended March 31, 2009 included food and beverage revenues of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$109.6 million, retail revenues of approximately $35 million, entertainment revenues of approximately $12.8 million, and other revenues from outlets, including</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the spa and salon, of approximately $15.3 million. Food and beverage revenues at Wynn Macau increased $3.2 million while our Las Vegas Operations decreased</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approximately $1 million, as compared to the prior year’s quarter. Retail revenues at Wynn Macau increased $14.3 million, offset by a decrease of $0.7 million in</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Las Vegas. The increase at Wynn Macau is due primarily to increased sales at several outlets and the opening of Wynn and Co. Watches and Jewelry, which sells</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Cartier, Jaeger Le Coultre and Kwiat products. Entertainment revenues increased over the prior year quarter primarily due to performances by Garth Brooks in the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Encore Theater which started in December 2009, as well as increased revenue from our Le Reve show.</w:t>
      </w:r>
    </w:p>
    <w:p>
      <w:pPr>
        <w:spacing w:after="0" w:line="24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Departmental, Administrative and Other Expenses</w:t>
      </w:r>
    </w:p>
    <w:p>
      <w:pPr>
        <w:spacing w:after="0" w:line="90"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During the three months ended March 31, 2010, departmental expenses included casino expense of $448.2 million, rooms expense of $31.1 million, food and beverage expense of $61.8 million, and entertainment, retail and other expense of $50.1 million. Also included are general and administrative expenses of approximately $87 million and approximately $7 million charged as a provision for doubtful accounts receivable. During the three months ended March 31, 2009, departmental expenses included casino expenses of $374.0 million, room expenses of $27.2 million, food and beverage expenses of $60.8 million, and entertainment and retail and other expenses of $36.0 million. Also included are general and administrative expenses of approximately $92.9 million and approximately $3.9 million charged as a provision for doubtful accounts receivable. Casino expenses have increased during the three months ended March 31, 2010 due to an increase in casino revenues especially at Wynn Macau where we incur a gaming revenue tax of 39%. Room expenses increased during the three months ended March 31, 2010, compared to the prior year quarter, primarily due to increased customer acquisition and marketing costs.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Entertainment, retail and other expense increased primarily as a result of performances by Garth Brooks in the Encore Theater at Wynn Las Vegas and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increased retail sales at Wynn Macau as noted above. General and administrative expenses decreased primarily due to lower advertising expenses and our cost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savings initiatives. Our provision for doubtful accounts receivable increased during the three months ended March 31, 2010, compared to the prior year’s</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quarter. This increase is primarily due to a reduction in the bad debt reserve taken in the prior year quarter as a result of strong collection trends as well as a higher</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casino revenue base for the three months ended March 31, 2010 compared to March 31, 2009.</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Pre-opening costs</w:t>
      </w:r>
    </w:p>
    <w:p>
      <w:pPr>
        <w:spacing w:after="0" w:line="90"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During the three months ended March 31, 2010, we incurred $2.3 million of pre-opening costs. We incurred no preopening costs during the three months ended March 31, 2009. Pre-opening costs incurred during the three months ended March 31, 2010, primarily related to Encore at Wynn Macau which opened on April 21, 2010.</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Depreciation and amortization</w:t>
      </w:r>
    </w:p>
    <w:p>
      <w:pPr>
        <w:spacing w:after="0" w:line="90" w:lineRule="exact"/>
        <w:rPr>
          <w:sz w:val="20"/>
          <w:szCs w:val="20"/>
          <w:color w:val="auto"/>
        </w:rPr>
      </w:pPr>
    </w:p>
    <w:p>
      <w:pPr>
        <w:ind w:right="380" w:firstLine="456"/>
        <w:spacing w:after="0" w:line="332" w:lineRule="auto"/>
        <w:rPr>
          <w:sz w:val="20"/>
          <w:szCs w:val="20"/>
          <w:color w:val="auto"/>
        </w:rPr>
      </w:pPr>
      <w:r>
        <w:rPr>
          <w:rFonts w:ascii="Arial" w:cs="Arial" w:eastAsia="Arial" w:hAnsi="Arial"/>
          <w:sz w:val="16"/>
          <w:szCs w:val="16"/>
          <w:color w:val="auto"/>
        </w:rPr>
        <w:t>Depreciation and amortization for the three months ended March 31, 2010 was $104.6 million compared to $101.5 million for the three months ended March 31, 2009. This increase is due to the depreciation of various capital improvements made to our resorts during 2009.</w:t>
      </w:r>
    </w:p>
    <w:p>
      <w:pPr>
        <w:spacing w:after="0" w:line="85"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During the construction of our properties, costs incurred in the construction of the buildings, improvements to land and the purchases of assets for use in operations were capitalized. Once these properties opened, their assets were placed into service and we began recognizing the associated depreciation expense. Depreciation expenses will continue throughout the estimated useful lives of these assets. In addition, we continually evaluate the useful life of our property and equipment, intangibles and other assets and adjust them when warranted.</w:t>
      </w:r>
    </w:p>
    <w:p>
      <w:pPr>
        <w:spacing w:after="0" w:line="143"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maximum useful life of assets at Wynn Macau is the remaining life of the gaming concession or land concession, which currently expire in June 2022 and August 2029, respectively. Consequently, depreciation related to Wynn Macau is charged on an accelerated basis when compared to our Las Vegas Operations.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Property charges and other</w:t>
      </w:r>
    </w:p>
    <w:p>
      <w:pPr>
        <w:spacing w:after="0" w:line="90"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Property charges and other for the three months ended March 31, 2010, were $1.9 million compared to approximately $16.5 million for the three months ended March 31, 2009. Property charges and other for the three months ended March 31, 2010 related to miscellaneous renovations and abandonments at Wynn Las Vegas and Wynn Macau.</w:t>
      </w:r>
    </w:p>
    <w:p>
      <w:pPr>
        <w:spacing w:after="0" w:line="14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Property charges and other for the three months ended March 31, 2009 include the write-off of $14.9 million of aircraft purchase deposits. On February 19, 2009, we cancelled the agreements to purchase two aircraft. The deposit on one of the aircraft was refundable to the extent another buyer was found. Due to the uncertainty as to the recoverability of this deposit and a $1.5 million nonrefundable deposit on a second aircraft, we wrote off these deposits in the first quarter of 2009. In the second quarter of 2009 another buyer was found and we recovered $8.1 million of our deposit. The remaining property charges were related to miscellaneous renovations, abandonments and loss on sale of equipment at Wynn Las Vegas and Wynn Macau.</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response to our evaluation of our properties and the reactions of our guests, we continue to remodel and make enhancements at our resorts.</w:t>
      </w:r>
    </w:p>
    <w:p>
      <w:pPr>
        <w:spacing w:after="0" w:line="27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Other non-operating costs and expenses</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Interest income was $0.3 million for the three months ended March 31, 2010 and 2009. During 2009 and 2010, our short-term investment strategy has been to preserve capital while retaining sufficient liquidity. Accordingly, our short-term investments were primarily in investments in U.S. Treasury Bills with a maturity of three months or less.</w:t>
      </w:r>
    </w:p>
    <w:p>
      <w:pPr>
        <w:spacing w:after="0" w:line="140" w:lineRule="exact"/>
        <w:rPr>
          <w:sz w:val="20"/>
          <w:szCs w:val="20"/>
          <w:color w:val="auto"/>
        </w:rPr>
      </w:pPr>
    </w:p>
    <w:p>
      <w:pPr>
        <w:ind w:right="80" w:firstLine="456"/>
        <w:spacing w:after="0" w:line="323" w:lineRule="auto"/>
        <w:rPr>
          <w:sz w:val="20"/>
          <w:szCs w:val="20"/>
          <w:color w:val="auto"/>
        </w:rPr>
      </w:pPr>
      <w:r>
        <w:rPr>
          <w:rFonts w:ascii="Arial" w:cs="Arial" w:eastAsia="Arial" w:hAnsi="Arial"/>
          <w:sz w:val="15"/>
          <w:szCs w:val="15"/>
          <w:color w:val="auto"/>
        </w:rPr>
        <w:t xml:space="preserve">Interest expense was $49.3 million, net of capitalized interest of $5.4 million, for the three months ended March 31, 2010, compared to $57 million, net of capitalized interest of $2.4 million, for the three months ended March 31, 2009. Our interest expense decreased primarily due to lower average borrowings outstanding on the Wynn Las Vegas and Wynn Macau credit facilities, an increase in capitalized interest during the period and the pay off of the remainder of Wynn Resorts term loan in June 2009, offset by increased interest expense related to the Wynn Las Vegas 7 </w:t>
      </w:r>
      <w:r>
        <w:rPr>
          <w:rFonts w:ascii="Arial" w:cs="Arial" w:eastAsia="Arial" w:hAnsi="Arial"/>
          <w:sz w:val="10"/>
          <w:szCs w:val="10"/>
          <w:color w:val="auto"/>
        </w:rPr>
        <w:t>7</w:t>
      </w:r>
      <w:r>
        <w:rPr>
          <w:rFonts w:ascii="Arial" w:cs="Arial" w:eastAsia="Arial" w:hAnsi="Arial"/>
          <w:sz w:val="15"/>
          <w:szCs w:val="15"/>
          <w:color w:val="auto"/>
        </w:rPr>
        <w:t>/</w:t>
      </w:r>
      <w:r>
        <w:rPr>
          <w:rFonts w:ascii="Arial" w:cs="Arial" w:eastAsia="Arial" w:hAnsi="Arial"/>
          <w:sz w:val="11"/>
          <w:szCs w:val="11"/>
          <w:color w:val="auto"/>
        </w:rPr>
        <w:t>8</w:t>
      </w:r>
      <w:r>
        <w:rPr>
          <w:rFonts w:ascii="Arial" w:cs="Arial" w:eastAsia="Arial" w:hAnsi="Arial"/>
          <w:sz w:val="15"/>
          <w:szCs w:val="15"/>
          <w:color w:val="auto"/>
        </w:rPr>
        <w:t>% First Mortgage Notes issued in October 2009.</w:t>
      </w:r>
    </w:p>
    <w:p>
      <w:pPr>
        <w:spacing w:after="0" w:line="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80"/>
          </w:cols>
          <w:pgMar w:left="240" w:top="459" w:right="27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Changes in the fair value of our interest rate swaps are recorded as an increase (or decrease) in swap fair value in each period. We recorded an expense of approximately $3.6 million for the three months ended March 31, 2010 resulting from the decrease in the fair value of our interest rate swaps from December 31, 2009 to March 31, 2010. During the three months ended March 31, 2009 we recorded a net gain of $1.1 million resulting from the net increase in the fair value of interest rate swaps between December 31, 2008 and March 31, 2009. For further information on our interest rate swaps, see Item 3 – “Quantitative and Qualitative Disclosures about Market Risk.”</w:t>
      </w:r>
    </w:p>
    <w:p>
      <w:pPr>
        <w:spacing w:after="0" w:line="143"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 xml:space="preserve">During the three months ended March 31, 2009, Wynn Resorts purchased $39.3 million face amount of the Wynn Las Vegas 6 </w:t>
      </w:r>
      <w:r>
        <w:rPr>
          <w:rFonts w:ascii="Arial" w:cs="Arial" w:eastAsia="Arial" w:hAnsi="Arial"/>
          <w:sz w:val="10"/>
          <w:szCs w:val="10"/>
          <w:color w:val="auto"/>
        </w:rPr>
        <w:t>5</w:t>
      </w:r>
      <w:r>
        <w:rPr>
          <w:rFonts w:ascii="Arial" w:cs="Arial" w:eastAsia="Arial" w:hAnsi="Arial"/>
          <w:sz w:val="16"/>
          <w:szCs w:val="16"/>
          <w:color w:val="auto"/>
        </w:rPr>
        <w:t>/</w:t>
      </w:r>
      <w:r>
        <w:rPr>
          <w:rFonts w:ascii="Arial" w:cs="Arial" w:eastAsia="Arial" w:hAnsi="Arial"/>
          <w:sz w:val="12"/>
          <w:szCs w:val="12"/>
          <w:color w:val="auto"/>
        </w:rPr>
        <w:t>8</w:t>
      </w:r>
      <w:r>
        <w:rPr>
          <w:rFonts w:ascii="Arial" w:cs="Arial" w:eastAsia="Arial" w:hAnsi="Arial"/>
          <w:sz w:val="16"/>
          <w:szCs w:val="16"/>
          <w:color w:val="auto"/>
        </w:rPr>
        <w:t>% First Mortgage Notes due 2014 through open market purchases at a discount. This transaction resulted in a gain on early extinguishment of debt of $10.6 million net of the write off of unamortized debt discount and debt issue costs. As of March 31, 2010, Wynn Resorts holds this debt and has not contributed it to its wholly-owned subsidiary, Wynn Las Vegas. However, for accounting purposes this transaction has been treated as an extinguishment of debt by Wynn Resorts.</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Income Taxes</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During the three months ended March 31, 2010, we recorded a tax expense of $5.1 million. Our provision for income taxes is primarily comprised of increases in our foreign and domestic valuation allowances relating to foreign tax loss carryforwards, other foreign deferred tax assets and U.S. foreign tax credits not considered more likely than not realizable in the future. The tax provision recorded for the valuation allowance increases was reduced by an income tax benefit recorded for the loss from our U.S. operations. Since October 2009, all of our foreign earnings are considered permanently invested abroad. The decrease in our current deferred tax liability of approximately $41.5 million is primarily attributable to the repatriation of approximately $1.14 billion of Wynn Macau, Limited IPO proceeds not considered permanently invested. During the three months ended March 31, 2010, the Company recognized income tax benefits related to excess tax deductions associated with stock compensation costs of $0.3 million.</w:t>
      </w:r>
    </w:p>
    <w:p>
      <w:pPr>
        <w:spacing w:after="0" w:line="118"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Effective September 6, 2006, Wynn Macau, S.A. received a 5-year exemption from Macau’s 12% Complementary Tax on casino gaming profits. Accordingly, we were exempted from the payment of approximately $13.3 million in such taxes for the three months ended March 31, 2010. Our non-gaming profits remain subject to the Macau Complementary Tax and casino winnings remain subject to the Macau Special Gaming tax and other levies at a rate totaling 39% in accordance with its concession agreement.</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Net income attributable to non-controlling interests</w:t>
      </w:r>
    </w:p>
    <w:p>
      <w:pPr>
        <w:spacing w:after="0" w:line="90" w:lineRule="exact"/>
        <w:rPr>
          <w:sz w:val="20"/>
          <w:szCs w:val="20"/>
          <w:color w:val="auto"/>
        </w:rPr>
      </w:pPr>
    </w:p>
    <w:p>
      <w:pPr>
        <w:jc w:val="both"/>
        <w:ind w:right="100" w:firstLine="456"/>
        <w:spacing w:after="0" w:line="256" w:lineRule="auto"/>
        <w:rPr>
          <w:sz w:val="20"/>
          <w:szCs w:val="20"/>
          <w:color w:val="auto"/>
        </w:rPr>
      </w:pPr>
      <w:r>
        <w:rPr>
          <w:rFonts w:ascii="Arial" w:cs="Arial" w:eastAsia="Arial" w:hAnsi="Arial"/>
          <w:sz w:val="18"/>
          <w:szCs w:val="18"/>
          <w:color w:val="auto"/>
        </w:rPr>
        <w:t>In October 2009, Wynn Macau, Limited, our newly formed and indirect wholly-owned subsidiary and the developer, owner and operator of Wynn Macau, had its ordinary shares of common stock listed on The Stock Exchange of Hong Kong Limited. Wynn Macau, Limited sold 1,437,500,000 shares (27.7%) of its common stock through an initial public offering. The $30.9 million represents the non-controlling interests share of net income for the quarter ended March 31, 2010.</w:t>
      </w:r>
    </w:p>
    <w:p>
      <w:pPr>
        <w:spacing w:after="0" w:line="218" w:lineRule="exact"/>
        <w:rPr>
          <w:sz w:val="20"/>
          <w:szCs w:val="20"/>
          <w:color w:val="auto"/>
        </w:rPr>
      </w:pPr>
    </w:p>
    <w:p>
      <w:pPr>
        <w:jc w:val="center"/>
        <w:ind w:right="8940"/>
        <w:spacing w:after="0"/>
        <w:rPr>
          <w:sz w:val="20"/>
          <w:szCs w:val="20"/>
          <w:color w:val="auto"/>
        </w:rPr>
      </w:pPr>
      <w:r>
        <w:rPr>
          <w:rFonts w:ascii="Arial" w:cs="Arial" w:eastAsia="Arial" w:hAnsi="Arial"/>
          <w:sz w:val="16"/>
          <w:szCs w:val="16"/>
          <w:b w:val="1"/>
          <w:bCs w:val="1"/>
          <w:color w:val="auto"/>
        </w:rPr>
        <w:t>Liquidity and Capital Resources</w:t>
      </w:r>
    </w:p>
    <w:p>
      <w:pPr>
        <w:spacing w:after="0" w:line="119" w:lineRule="exact"/>
        <w:rPr>
          <w:sz w:val="20"/>
          <w:szCs w:val="20"/>
          <w:color w:val="auto"/>
        </w:rPr>
      </w:pPr>
    </w:p>
    <w:p>
      <w:pPr>
        <w:jc w:val="center"/>
        <w:ind w:right="8940"/>
        <w:spacing w:after="0"/>
        <w:rPr>
          <w:sz w:val="20"/>
          <w:szCs w:val="20"/>
          <w:color w:val="auto"/>
        </w:rPr>
      </w:pPr>
      <w:r>
        <w:rPr>
          <w:rFonts w:ascii="Arial" w:cs="Arial" w:eastAsia="Arial" w:hAnsi="Arial"/>
          <w:sz w:val="18"/>
          <w:szCs w:val="18"/>
          <w:i w:val="1"/>
          <w:iCs w:val="1"/>
          <w:color w:val="auto"/>
        </w:rPr>
        <w:t>Cash Flow from Operations</w:t>
      </w:r>
    </w:p>
    <w:p>
      <w:pPr>
        <w:spacing w:after="0" w:line="90" w:lineRule="exact"/>
        <w:rPr>
          <w:sz w:val="20"/>
          <w:szCs w:val="20"/>
          <w:color w:val="auto"/>
        </w:rPr>
      </w:pPr>
    </w:p>
    <w:p>
      <w:pPr>
        <w:jc w:val="both"/>
        <w:ind w:right="80" w:firstLine="456"/>
        <w:spacing w:after="0" w:line="370" w:lineRule="auto"/>
        <w:rPr>
          <w:sz w:val="20"/>
          <w:szCs w:val="20"/>
          <w:color w:val="auto"/>
        </w:rPr>
      </w:pPr>
      <w:r>
        <w:rPr>
          <w:rFonts w:ascii="Arial" w:cs="Arial" w:eastAsia="Arial" w:hAnsi="Arial"/>
          <w:sz w:val="15"/>
          <w:szCs w:val="15"/>
          <w:color w:val="auto"/>
        </w:rPr>
        <w:t>Net cash provided by operations for the three months ended March 31, 2010 was $141.1 million compared to $60.7 million provided by operations for the three months ended March 31, 2009. This increase is primarily due to the increase in operating income as a result of increased casino revenues at Wynn Macau.</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Capital Resources</w:t>
      </w:r>
    </w:p>
    <w:p>
      <w:pPr>
        <w:spacing w:after="0" w:line="9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We require a certain amount of cash on hand for operations. At March 31, 2010, we had approximately $1.76 billion of cash and cash equivalents available for operations, debt service and retirement, development</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80"/>
          </w:cols>
          <w:pgMar w:left="240" w:top="459" w:right="27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activities, general corporate purposes, enhancements to our properties and funding the remaining construction and retention payables related to Encore at Wynn Macau. Approximately $1.2 billion of our cash balance is held by Wynn Resorts, Limited, which is not a guarantor of the debt of its subsidiaries, including Wynn Las Vegas, LLC and Wynn Macau, S.A. As of March 31, 2010, we had approximately $185.3 million available to draw under our Wynn Las Vegas credit facilities and approximately $785 million available to draw under our Wynn Macau credit facilities. Except for scheduled quarterly payments on two notes payable totaling $1.8 million, we have no debt maturities in 2010. We believe that cash flow from operations and our existing cash balances will be adequate to satisfy our anticipated uses of capital during 2010.</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Cash and cash equivalents include investments in U.S. Treasury Bills and bank time deposits, all with maturities of less than 90 days.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9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Capital expenditures were approximately $89.3 million for the three months ended March 31, 2010, and related primarily to the construction of Encore at Wynn Macau and the Beach Club at Encore at Wynn Las Vegas.</w:t>
      </w:r>
    </w:p>
    <w:p>
      <w:pPr>
        <w:spacing w:after="0" w:line="132" w:lineRule="exact"/>
        <w:rPr>
          <w:sz w:val="20"/>
          <w:szCs w:val="20"/>
          <w:color w:val="auto"/>
        </w:rPr>
      </w:pPr>
    </w:p>
    <w:p>
      <w:pPr>
        <w:ind w:right="620" w:firstLine="456"/>
        <w:spacing w:after="0" w:line="370" w:lineRule="auto"/>
        <w:rPr>
          <w:sz w:val="20"/>
          <w:szCs w:val="20"/>
          <w:color w:val="auto"/>
        </w:rPr>
      </w:pPr>
      <w:r>
        <w:rPr>
          <w:rFonts w:ascii="Arial" w:cs="Arial" w:eastAsia="Arial" w:hAnsi="Arial"/>
          <w:sz w:val="15"/>
          <w:szCs w:val="15"/>
          <w:color w:val="auto"/>
        </w:rPr>
        <w:t>Encore at Wynn Macau opened on April 21, 2010. Total development and construction costs are expected to be approximately $575 million. As of March 31, 2010, we had incurred approximately $499.7 million of project costs related to the development and construction of Encore at Wynn Macau.</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Las Vegas Operations</w:t>
      </w:r>
    </w:p>
    <w:p>
      <w:pPr>
        <w:spacing w:after="0" w:line="9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As of March 31, 2010, our Wynn Las Vegas Amended and Restated Credit Agreement (the “Credit Agreement”), consisted of a $457.9 million revolving credit facility (the “Wynn Las Vegas Revolver”) and an $80.4 million term loan facility (the “Wynn Las Vegas Term Loan”) (together the “Wynn Las Vegas Credit Facilities”). As of March 31, 2010, we had borrowed $252.7 million under the Wynn Las Vegas Revolver. We also had $19.9 million of outstanding letters of credit that reduce our availability under the Wynn Las Vegas Revolver. We have availability of approximately $185.3 million under the Wynn Las Vegas Revolver as of March 31, 2010.</w:t>
      </w:r>
    </w:p>
    <w:p>
      <w:pPr>
        <w:spacing w:after="0" w:line="143" w:lineRule="exact"/>
        <w:rPr>
          <w:sz w:val="20"/>
          <w:szCs w:val="20"/>
          <w:color w:val="auto"/>
        </w:rPr>
      </w:pPr>
    </w:p>
    <w:p>
      <w:pPr>
        <w:ind w:right="20" w:firstLine="456"/>
        <w:spacing w:after="0" w:line="323" w:lineRule="auto"/>
        <w:rPr>
          <w:sz w:val="20"/>
          <w:szCs w:val="20"/>
          <w:color w:val="auto"/>
        </w:rPr>
      </w:pPr>
      <w:r>
        <w:rPr>
          <w:rFonts w:ascii="Arial" w:cs="Arial" w:eastAsia="Arial" w:hAnsi="Arial"/>
          <w:sz w:val="15"/>
          <w:szCs w:val="15"/>
          <w:color w:val="auto"/>
        </w:rPr>
        <w:t xml:space="preserve">The Wynn Las Vegas Credit Facilities are obligations of Wynn Las Vegas, LLC and are guaranteed by and secured by substantially all of the assets (except the corporate aircraft) of each of its subsidiaries (other than Wynn Completion Guarantor, LLC). The obligations of Wynn Las Vegas, LLC and the guarantors under the Wynn Las Vegas Credit Facilities rank pari passu in right of payment with their existing and future senior indebtedness, including indebtedness with respect to the 6 </w:t>
      </w:r>
      <w:r>
        <w:rPr>
          <w:rFonts w:ascii="Arial" w:cs="Arial" w:eastAsia="Arial" w:hAnsi="Arial"/>
          <w:sz w:val="10"/>
          <w:szCs w:val="10"/>
          <w:color w:val="auto"/>
        </w:rPr>
        <w:t>5</w:t>
      </w:r>
      <w:r>
        <w:rPr>
          <w:rFonts w:ascii="Arial" w:cs="Arial" w:eastAsia="Arial" w:hAnsi="Arial"/>
          <w:sz w:val="15"/>
          <w:szCs w:val="15"/>
          <w:color w:val="auto"/>
        </w:rPr>
        <w:t>/</w:t>
      </w:r>
      <w:r>
        <w:rPr>
          <w:rFonts w:ascii="Arial" w:cs="Arial" w:eastAsia="Arial" w:hAnsi="Arial"/>
          <w:sz w:val="11"/>
          <w:szCs w:val="11"/>
          <w:color w:val="auto"/>
        </w:rPr>
        <w:t>8</w:t>
      </w:r>
      <w:r>
        <w:rPr>
          <w:rFonts w:ascii="Arial" w:cs="Arial" w:eastAsia="Arial" w:hAnsi="Arial"/>
          <w:sz w:val="15"/>
          <w:szCs w:val="15"/>
          <w:color w:val="auto"/>
        </w:rPr>
        <w:t xml:space="preserve">% and 7 </w:t>
      </w:r>
      <w:r>
        <w:rPr>
          <w:rFonts w:ascii="Arial" w:cs="Arial" w:eastAsia="Arial" w:hAnsi="Arial"/>
          <w:sz w:val="10"/>
          <w:szCs w:val="10"/>
          <w:color w:val="auto"/>
        </w:rPr>
        <w:t>7</w:t>
      </w:r>
      <w:r>
        <w:rPr>
          <w:rFonts w:ascii="Arial" w:cs="Arial" w:eastAsia="Arial" w:hAnsi="Arial"/>
          <w:sz w:val="15"/>
          <w:szCs w:val="15"/>
          <w:color w:val="auto"/>
        </w:rPr>
        <w:t>/</w:t>
      </w:r>
      <w:r>
        <w:rPr>
          <w:rFonts w:ascii="Arial" w:cs="Arial" w:eastAsia="Arial" w:hAnsi="Arial"/>
          <w:sz w:val="11"/>
          <w:szCs w:val="11"/>
          <w:color w:val="auto"/>
        </w:rPr>
        <w:t>8</w:t>
      </w:r>
      <w:r>
        <w:rPr>
          <w:rFonts w:ascii="Arial" w:cs="Arial" w:eastAsia="Arial" w:hAnsi="Arial"/>
          <w:sz w:val="15"/>
          <w:szCs w:val="15"/>
          <w:color w:val="auto"/>
        </w:rPr>
        <w:t>% First Mortgage Notes and senior in right of payment to all of their existing and future subordinated indebtedness.</w:t>
      </w:r>
    </w:p>
    <w:p>
      <w:pPr>
        <w:spacing w:after="0" w:line="98"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 xml:space="preserve">On March 26, 2010, Wynn Las Vegas, LLC and Wynn Las Vegas Capital Corp. (the “issuers”), each a direct or indirect wholly-owned subsidiary of us, commenced an offer to exchange all outstanding 6 </w:t>
      </w:r>
      <w:r>
        <w:rPr>
          <w:rFonts w:ascii="Arial" w:cs="Arial" w:eastAsia="Arial" w:hAnsi="Arial"/>
          <w:sz w:val="10"/>
          <w:szCs w:val="10"/>
          <w:color w:val="auto"/>
        </w:rPr>
        <w:t>7</w:t>
      </w:r>
      <w:r>
        <w:rPr>
          <w:rFonts w:ascii="Arial" w:cs="Arial" w:eastAsia="Arial" w:hAnsi="Arial"/>
          <w:sz w:val="16"/>
          <w:szCs w:val="16"/>
          <w:color w:val="auto"/>
        </w:rPr>
        <w:t>/</w:t>
      </w:r>
      <w:r>
        <w:rPr>
          <w:rFonts w:ascii="Arial" w:cs="Arial" w:eastAsia="Arial" w:hAnsi="Arial"/>
          <w:sz w:val="12"/>
          <w:szCs w:val="12"/>
          <w:color w:val="auto"/>
        </w:rPr>
        <w:t>8</w:t>
      </w:r>
      <w:r>
        <w:rPr>
          <w:rFonts w:ascii="Arial" w:cs="Arial" w:eastAsia="Arial" w:hAnsi="Arial"/>
          <w:sz w:val="16"/>
          <w:szCs w:val="16"/>
          <w:color w:val="auto"/>
        </w:rPr>
        <w:t xml:space="preserve">% First Mortgage Notes due 2014 (the “2014 Notes”) for 7 </w:t>
      </w:r>
      <w:r>
        <w:rPr>
          <w:rFonts w:ascii="Arial" w:cs="Arial" w:eastAsia="Arial" w:hAnsi="Arial"/>
          <w:sz w:val="10"/>
          <w:szCs w:val="10"/>
          <w:color w:val="auto"/>
        </w:rPr>
        <w:t>7</w:t>
      </w:r>
      <w:r>
        <w:rPr>
          <w:rFonts w:ascii="Arial" w:cs="Arial" w:eastAsia="Arial" w:hAnsi="Arial"/>
          <w:sz w:val="16"/>
          <w:szCs w:val="16"/>
          <w:color w:val="auto"/>
        </w:rPr>
        <w:t>/</w:t>
      </w:r>
      <w:r>
        <w:rPr>
          <w:rFonts w:ascii="Arial" w:cs="Arial" w:eastAsia="Arial" w:hAnsi="Arial"/>
          <w:sz w:val="12"/>
          <w:szCs w:val="12"/>
          <w:color w:val="auto"/>
        </w:rPr>
        <w:t>8</w:t>
      </w:r>
      <w:r>
        <w:rPr>
          <w:rFonts w:ascii="Arial" w:cs="Arial" w:eastAsia="Arial" w:hAnsi="Arial"/>
          <w:sz w:val="16"/>
          <w:szCs w:val="16"/>
          <w:color w:val="auto"/>
        </w:rPr>
        <w:t>% First Mortgage Notes due 2020 (the “2020 Notes”) of the issuers, upon the terms and subject to the conditions set forth in an offering memorandum (the “offering memorandum”), and a related letter of transmittal (the “exchange offer”). The exchange offer was conditioned upon, among other things, the tender of at least $250 million aggregate principal amount of 2014 Notes. The 2020 Notes were offered only to qualified institutional buyers and outside the United States in accordance with Rule 144A and Regulation S, respectively, under the Securities Act of 1933, as amended. As of April 23, 2010, the expiration date, approximately $382 million of the 2014 Notes were validly tendered for exchange to the 2020 Notes. The exchange offer closed on April 28, 2010.</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60"/>
          </w:cols>
          <w:pgMar w:left="240" w:top="459" w:right="29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2020 Notes rank pari passu in right of payment with borrowings under Wynn Las Vegas, LLC’s Credit Facilities, the 2014 Notes and the issuers’</w:t>
      </w:r>
    </w:p>
    <w:p>
      <w:pPr>
        <w:spacing w:after="0" w:line="38" w:lineRule="exact"/>
        <w:rPr>
          <w:sz w:val="20"/>
          <w:szCs w:val="20"/>
          <w:color w:val="auto"/>
        </w:rPr>
      </w:pPr>
    </w:p>
    <w:p>
      <w:pPr>
        <w:spacing w:after="0" w:line="295" w:lineRule="auto"/>
        <w:rPr>
          <w:sz w:val="20"/>
          <w:szCs w:val="20"/>
          <w:color w:val="auto"/>
        </w:rPr>
      </w:pPr>
      <w:r>
        <w:rPr>
          <w:rFonts w:ascii="Arial" w:cs="Arial" w:eastAsia="Arial" w:hAnsi="Arial"/>
          <w:sz w:val="16"/>
          <w:szCs w:val="16"/>
          <w:color w:val="auto"/>
        </w:rPr>
        <w:t xml:space="preserve">7 </w:t>
      </w:r>
      <w:r>
        <w:rPr>
          <w:rFonts w:ascii="Arial" w:cs="Arial" w:eastAsia="Arial" w:hAnsi="Arial"/>
          <w:sz w:val="10"/>
          <w:szCs w:val="10"/>
          <w:color w:val="auto"/>
        </w:rPr>
        <w:t>7</w:t>
      </w:r>
      <w:r>
        <w:rPr>
          <w:rFonts w:ascii="Arial" w:cs="Arial" w:eastAsia="Arial" w:hAnsi="Arial"/>
          <w:sz w:val="16"/>
          <w:szCs w:val="16"/>
          <w:color w:val="auto"/>
        </w:rPr>
        <w:t>/</w:t>
      </w:r>
      <w:r>
        <w:rPr>
          <w:rFonts w:ascii="Arial" w:cs="Arial" w:eastAsia="Arial" w:hAnsi="Arial"/>
          <w:sz w:val="12"/>
          <w:szCs w:val="12"/>
          <w:color w:val="auto"/>
        </w:rPr>
        <w:t>8</w:t>
      </w:r>
      <w:r>
        <w:rPr>
          <w:rFonts w:ascii="Arial" w:cs="Arial" w:eastAsia="Arial" w:hAnsi="Arial"/>
          <w:sz w:val="16"/>
          <w:szCs w:val="16"/>
          <w:color w:val="auto"/>
        </w:rPr>
        <w:t>% First Mortgage Notes due 2017 (the “2017 Notes”). The 2020 Notes are senior secured obligations of the issuers, will be guaranteed by certain of Wynn Las Vegas, LLC’s subsidiaries and are secured by a first priority lien on substantially all of the existing and future assets of the issuers and guarantors and, subject to approval from the Nevada Gaming Commission, a first priority lien on the equity interests of Wynn Las Vegas, LLC, all of which is the same collateral that secures borrowings under Wynn Las Vegas, LLC’s credit facilities, the 2014 Notes and the 2017 Notes.</w:t>
      </w:r>
    </w:p>
    <w:p>
      <w:pPr>
        <w:spacing w:after="0" w:line="115"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As further described in the offering memorandum, noteholders who validly tendered 2014 Notes prior to the early delivery time received an early delivery payment of 1% of the amount tendered in cash which totaled approximately $3.8 million. In accordance with accounting standards, this will be included as deferred financing costs and amortized over the life of the 2020 Notes.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Macau</w:t>
      </w:r>
    </w:p>
    <w:p>
      <w:pPr>
        <w:spacing w:after="0" w:line="9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As of March 31, 2010, our Wynn Macau credit facilities, as amended, consisted of a $550 million equivalent fully-funded senior term loan facility (the “Wynn Macau Term Loan”), and a $1 billion equivalent senior revolving credit facility (the “Wynn Macau Revolver”) in a combination of Hong Kong and U.S. dollars (together the “Wynn Macau Credit Facilities”). Wynn Macau, S.A. also has the ability to increase the total facilities by an additional $50 million pursuant to the terms and provisions of the Amended Common Terms Agreement. During the quarter ended March 31, 2010, we repaid approximately $286 million of borrowings under the Wynn Macau Revolver. As of March 31, 2010, the Wynn Macau Term Loan was fully drawn and we had borrowed $215.7 million under the Wynn Macau Revolver. We have approximately $785 million of availability under the Wynn Macau Revolver as of March 31, 2010.</w:t>
      </w:r>
    </w:p>
    <w:p>
      <w:pPr>
        <w:spacing w:after="0" w:line="120"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The Wynn Macau Term Loan matures in June 2014, and the Wynn Macau Revolver matures in June 2012. The principal amount of the term loans is required to be repaid in quarterly installments, commencing in September 2011. Borrowings under the Wynn Macau Credit Facilities bear interest at LIBOR or HIBOR plus a margin of 1.75%.</w:t>
      </w:r>
    </w:p>
    <w:p>
      <w:pPr>
        <w:spacing w:after="0" w:line="14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Collateral for the Wynn Macau Credit Facilities consists of substantially all of the assets of Wynn Macau, S.A. Certain affiliates that own interests in Wynn Macau, S.A., either directly or indirectly through other subsidiaries, have executed guarantees of the loans and pledged their interests in Wynn Macau, S.A. as additional security for repayment of the loans.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Off Balance Sheet Arrangements</w:t>
      </w:r>
    </w:p>
    <w:p>
      <w:pPr>
        <w:spacing w:after="0" w:line="9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We have not entered into any transactions with special purpose entities nor do we engage in any derivatives except for straight forward interest rate swaps. We do not have any retained or contingent interest in assets transferred to an unconsolidated entity. At March 31, 2010, we had outstanding letters of credit totaling $19.9 million.</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Contractual Obligation and Commitments</w:t>
      </w:r>
    </w:p>
    <w:p>
      <w:pPr>
        <w:spacing w:after="0" w:line="90"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Other than the paydown of approximately $286 million under our Wynn Macau Revolver, there have been no material changes during the quarter to our contractual obligations or off balance sheet arrangements as disclosed in our Annual Report on Form 10-K for the year ended December 31, 2009.</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Other Liquidity Matters</w:t>
      </w:r>
    </w:p>
    <w:p>
      <w:pPr>
        <w:spacing w:after="0" w:line="90"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Wynn Resorts is a holding company and, as a result, our ability to pay dividends is highly dependent on our ability to obtain funds and our subsidiaries’ ability to provide funds to us. Restrictions imposed by our Wynn Las Vegas and Wynn Macau debt instruments significantly restrict our ability to pay dividends. Specifically, Wynn Las Vegas, LLC and certain of its subsidiaries are restricted under the indentures governing the 2014 Notes and</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80"/>
          </w:cols>
          <w:pgMar w:left="240" w:top="459" w:right="27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the 2017 Notes from making certain “restricted payments” as defined in the indenture. These restricted payments include the payment of dividends or distributions to any direct or indirect holders of equity interests of Wynn Las Vegas, LLC. These restricted payments may not be made unless certain financial and non-financial criteria have been satisfied. The credit facilities of Wynn Las Vegas, LLC and Wynn Macau, S.A. contain similar restrictions; although the Wynn Macau, S.A. loan agreements permit, provided certain conditions are met, distributions of earnings and the distribution of loan proceeds. As a result of the sale of shares in Wynn Macau, Limited in October 2009, we have approximately $1.2 billion of available cash that is not subject to such restrictions.</w:t>
      </w:r>
    </w:p>
    <w:p>
      <w:pPr>
        <w:spacing w:after="0" w:line="116"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Wynn Las Vegas, LLC intends to fund its operations and capital requirements from operating cash flow, availability under the Wynn Las Vegas Revolver and to the extent additional funds are required, with additional contributions from Wynn Resorts. We cannot assure you, however, that our Las Vegas Operations will generate sufficient cash flow from operations or that future contributions from Wynn Resorts or the availability of additional indebtedness will be sufficient to enable us to service and repay Wynn Las Vegas, LLC’s indebtedness and to fund its other liquidity needs. Similarly, we expect that Wynn Macau will fund Wynn Macau, S.A.’s debt service obligations with existing cash, operating cash flow and availability under the Wynn Macau Revolver. However, we cannot assure you that operating cash flows will be sufficient to do so. We may refinance all or a portion of our indebtedness on or before maturity. We cannot assure you that we will be able to refinance any of the indebtedness on acceptable terms or at all.</w:t>
      </w:r>
    </w:p>
    <w:p>
      <w:pPr>
        <w:spacing w:after="0" w:line="118"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On a continuing basis, we and our subsidiaries will evaluate, depending on market conditions, purchasing, refinancing, exchanging, tendering for or retiring certain of our outstanding debt in privately negotiated transactions, open market transactions, or by other direct or indirect means.</w:t>
      </w:r>
    </w:p>
    <w:p>
      <w:pPr>
        <w:spacing w:after="0" w:line="85"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New business developments or other unforeseen events may occur, resulting in the need to raise additional funds. We continue to explore opportunities to develop additional gaming or related businesses in Las Vegas, as well as other domestic or international markets. There can be no assurances regarding the business prospects with respect to any other opportunity. Any other development would require us to obtain additional financing. We may decide to conduct any such development through Wynn Resorts or through subsidiaries separate from the Las Vegas or Macau-related entities.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 description of our critical accounting policies is included in Item 7 of our Annual Report on Form 10-K for the year ended December 31, 2009. There has been no material change to these policies for the three months ended March 31, 2010.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96" w:lineRule="exact"/>
        <w:rPr>
          <w:sz w:val="20"/>
          <w:szCs w:val="20"/>
          <w:color w:val="auto"/>
        </w:rPr>
      </w:pPr>
    </w:p>
    <w:p>
      <w:pPr>
        <w:ind w:right="200" w:firstLine="456"/>
        <w:spacing w:after="0" w:line="290" w:lineRule="auto"/>
        <w:rPr>
          <w:sz w:val="20"/>
          <w:szCs w:val="20"/>
          <w:color w:val="auto"/>
        </w:rPr>
      </w:pPr>
      <w:r>
        <w:rPr>
          <w:rFonts w:ascii="Arial" w:cs="Arial" w:eastAsia="Arial" w:hAnsi="Arial"/>
          <w:sz w:val="16"/>
          <w:szCs w:val="16"/>
          <w:color w:val="auto"/>
        </w:rPr>
        <w:t>In June 2009, the Financial Accounting Standards Board (the “FASB”) issued new accounting standards regarding the consolidation of variable interest entities. These new accounting standards address the effects of elimination of the qualifying special-purpose entity concept from previous standards. These new accounting standards amend previous guidance in determining whether an enterprise has a controlling financial interest in a variable interest entity. This determination identifies the primary beneficiary of a variable interest entity as the enterprise that has both the power to direct the activities of a variable interest entity that most significantly impacts the entity’s economic performance and the ability to absorb losses or the right to receive benefits of the entity that could potentially be significant to the variable interest entity. We adopted the new accounting standards on January 1, 2010. The adoption of these new accounting standards did not have a material effect on our condensed consolidated financial statements.</w:t>
      </w:r>
    </w:p>
    <w:p>
      <w:pPr>
        <w:spacing w:after="0" w:line="234"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6" w:lineRule="exact"/>
        <w:rPr>
          <w:sz w:val="20"/>
          <w:szCs w:val="20"/>
          <w:color w:val="auto"/>
        </w:rPr>
      </w:pPr>
    </w:p>
    <w:p>
      <w:pPr>
        <w:ind w:right="800" w:firstLine="456"/>
        <w:spacing w:after="0" w:line="268" w:lineRule="auto"/>
        <w:rPr>
          <w:sz w:val="20"/>
          <w:szCs w:val="20"/>
          <w:color w:val="auto"/>
        </w:rPr>
      </w:pPr>
      <w:r>
        <w:rPr>
          <w:rFonts w:ascii="Arial" w:cs="Arial" w:eastAsia="Arial" w:hAnsi="Arial"/>
          <w:sz w:val="18"/>
          <w:szCs w:val="18"/>
          <w:color w:val="auto"/>
        </w:rPr>
        <w:t>Market risk is the risk of loss arising from adverse changes in market rates and prices, such as interest rates, foreign currency exchange rates and commodity prices.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Interest Rate Risks</w:t>
      </w:r>
    </w:p>
    <w:p>
      <w:pPr>
        <w:spacing w:after="0" w:line="90"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One of our primary exposures to market risk is interest rate risk associated with our debt facilities that bear interest based on floating rates. We attempt to manage interest rate risk by managing the mix of long-term fixed rate borrowings and variable rate borrowings, and using hedging activities. We cannot assure you that these risk management strategies will have the desired effect, and interest rate fluctuations could have a negative impact on our results of operations. We do not use derivative financial instruments, other financial instruments or derivative commodity instruments for trading or speculative purposes.</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Interest Rate Swap Information</w:t>
      </w:r>
    </w:p>
    <w:p>
      <w:pPr>
        <w:spacing w:after="0" w:line="9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We have entered into floating-for-fixed interest rate swap arrangements relating to certain of our floating-rate debt facilities. We measure the fair value of our interest rate swaps on a recurring basis.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Las Vegas</w:t>
      </w:r>
    </w:p>
    <w:p>
      <w:pPr>
        <w:spacing w:after="0" w:line="90"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As of March 31, 2010, we have one interest rate swap intended to hedge a portion of the underlying interest rate risk on borrowings under the Wynn Las Vegas Revolver. Under this swap agreement, we pay a fixed interest rate of 2.485% on borrowings of $250 million incurred under the Wynn Las Vegas Revolver in exchange for receipts on the same amount at a variable interest rate based on the applicable LIBOR at the time of payment. This interest rate swap fixes the interest rate on $250 million of borrowings under the Wynn Las Vegas Revolver at approximately 5.485%. This interest rate swap agreement matures in November 2012. Changes in the fair value of this interest rate swap have and will continue to be recorded as an increase/(decrease) in swap fair value in our Condensed Consolidated Statements of Operations as this swap does not qualify for hedge accounting.</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Macau</w:t>
      </w:r>
    </w:p>
    <w:p>
      <w:pPr>
        <w:spacing w:after="0" w:line="90"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As of March 31, 2010, we had three interest rate swaps intended to hedge a portion of the underlying interest rate risk on borrowings under the Wynn Macau Credit Facilities. Under the first swap agreement, we pay a fixed interest rate of 3.632% on U.S. dollar borrowings of $153.8 million incurred under the Wynn Macau Term Loan in exchange for receipts on the same amounts at a variable interest rate based on the applicable LIBOR at the time of payment. This interest rate swap fixes the interest rate on $153.8 million of the current U.S. dollar borrowings under the Wynn Macau Term Loan at approximately 5.382%. Under the second swap agreement, we pay a fixed interest rate of 3.39% on Hong Kong dollar borrowings of approximately HK $991.6 million (approximately U.S. $127.9 million) incurred under the Wynn Macau Term Loan in exchange for receipts on the same amounts at a variable interest rate based on the applicable HIBOR at the time of payment. This interest rate swap fixes the interest rate on approximately $127.9 million of the current Hong Kong dollar borrowings under the Wynn Macau Term Loan at approximately 5.14%. Both of these interest rate swap agreements mature in August 2011. We entered into a third interest rate swap agreement on August 17, 2009, with an effective date of November 27, 2009, to hedge a portion of the underlying interest rate risk on borrowings under the Wynn Macau Senior Revolving Credit Facility. Under this swap agreement, we pay a fixed interest rate of 2.15% on borrowings of approximately HK$2.3 billion (approximately U.S. $300 million) incurred under the Wynn Macau Revolver in exchange for receipts on the same amount at a variable interest rate based on the applicable HIBOR at the time of payment. This interest rate swap fixes the interest rate on HK$2.3 billion (approximately U.S. $300 million) of borrowings under the Wynn Revolver at approximately 3.9%. This interest rate swap agreement matures in June 2012. Changes in the fair values of these interest rate swaps for each reporting period recorded are, and will continue to be, recognized as an increase/(decrease) in swap fair value in our Condensed Consolidated Statements of Operations as the swaps do not qualify for hedge accounting.</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Summary of Historical Fair Values</w:t>
      </w:r>
    </w:p>
    <w:p>
      <w:pPr>
        <w:spacing w:after="0" w:line="90"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The following table presents the historical liability fair values of our interest rate swap arrangements as of March 31, 2010 and December 31, 2009 (all amounts in thousands):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00" w:type="dxa"/>
            <w:vAlign w:val="bottom"/>
          </w:tcPr>
          <w:p>
            <w:pPr>
              <w:spacing w:after="0"/>
              <w:rPr>
                <w:sz w:val="14"/>
                <w:szCs w:val="14"/>
                <w:color w:val="auto"/>
              </w:rPr>
            </w:pPr>
          </w:p>
        </w:tc>
        <w:tc>
          <w:tcPr>
            <w:tcW w:w="7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ind w:right="162"/>
              <w:spacing w:after="0"/>
              <w:rPr>
                <w:sz w:val="20"/>
                <w:szCs w:val="20"/>
                <w:color w:val="auto"/>
              </w:rPr>
            </w:pPr>
            <w:r>
              <w:rPr>
                <w:rFonts w:ascii="Arial" w:cs="Arial" w:eastAsia="Arial" w:hAnsi="Arial"/>
                <w:sz w:val="14"/>
                <w:szCs w:val="14"/>
                <w:b w:val="1"/>
                <w:bCs w:val="1"/>
                <w:color w:val="auto"/>
              </w:rPr>
              <w:t>Total</w:t>
            </w:r>
          </w:p>
        </w:tc>
      </w:tr>
      <w:tr>
        <w:trPr>
          <w:trHeight w:val="149"/>
        </w:trPr>
        <w:tc>
          <w:tcPr>
            <w:tcW w:w="1200" w:type="dxa"/>
            <w:vAlign w:val="bottom"/>
          </w:tcPr>
          <w:p>
            <w:pPr>
              <w:spacing w:after="0"/>
              <w:rPr>
                <w:sz w:val="12"/>
                <w:szCs w:val="12"/>
                <w:color w:val="auto"/>
              </w:rPr>
            </w:pPr>
          </w:p>
        </w:tc>
        <w:tc>
          <w:tcPr>
            <w:tcW w:w="7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Wynn</w:t>
            </w:r>
          </w:p>
        </w:tc>
        <w:tc>
          <w:tcPr>
            <w:tcW w:w="420" w:type="dxa"/>
            <w:vAlign w:val="bottom"/>
          </w:tcPr>
          <w:p>
            <w:pPr>
              <w:spacing w:after="0"/>
              <w:rPr>
                <w:sz w:val="12"/>
                <w:szCs w:val="12"/>
                <w:color w:val="auto"/>
              </w:rPr>
            </w:pPr>
          </w:p>
        </w:tc>
        <w:tc>
          <w:tcPr>
            <w:tcW w:w="110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4"/>
              </w:rPr>
              <w:t>Wynn</w:t>
            </w:r>
          </w:p>
        </w:tc>
        <w:tc>
          <w:tcPr>
            <w:tcW w:w="40" w:type="dxa"/>
            <w:vAlign w:val="bottom"/>
          </w:tcPr>
          <w:p>
            <w:pPr>
              <w:spacing w:after="0"/>
              <w:rPr>
                <w:sz w:val="12"/>
                <w:szCs w:val="12"/>
                <w:color w:val="auto"/>
              </w:rPr>
            </w:pPr>
          </w:p>
        </w:tc>
        <w:tc>
          <w:tcPr>
            <w:tcW w:w="7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7"/>
              </w:rPr>
              <w:t>Interest Rate</w:t>
            </w:r>
          </w:p>
        </w:tc>
      </w:tr>
      <w:tr>
        <w:trPr>
          <w:trHeight w:val="161"/>
        </w:trPr>
        <w:tc>
          <w:tcPr>
            <w:tcW w:w="12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5"/>
              </w:rPr>
              <w:t>Liability fair value:</w:t>
            </w:r>
          </w:p>
        </w:tc>
        <w:tc>
          <w:tcPr>
            <w:tcW w:w="7200" w:type="dxa"/>
            <w:vAlign w:val="bottom"/>
          </w:tcPr>
          <w:p>
            <w:pPr>
              <w:spacing w:after="0"/>
              <w:rPr>
                <w:sz w:val="14"/>
                <w:szCs w:val="14"/>
                <w:color w:val="auto"/>
              </w:rPr>
            </w:pPr>
          </w:p>
        </w:tc>
        <w:tc>
          <w:tcPr>
            <w:tcW w:w="5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0"/>
              </w:rPr>
              <w:t>Las Vegas</w:t>
            </w: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Macau</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22"/>
              <w:spacing w:after="0"/>
              <w:rPr>
                <w:sz w:val="20"/>
                <w:szCs w:val="20"/>
                <w:color w:val="auto"/>
              </w:rPr>
            </w:pPr>
            <w:r>
              <w:rPr>
                <w:rFonts w:ascii="Arial" w:cs="Arial" w:eastAsia="Arial" w:hAnsi="Arial"/>
                <w:sz w:val="14"/>
                <w:szCs w:val="14"/>
                <w:b w:val="1"/>
                <w:bCs w:val="1"/>
                <w:color w:val="auto"/>
                <w:w w:val="90"/>
              </w:rPr>
              <w:t>Swaps</w:t>
            </w:r>
          </w:p>
        </w:tc>
      </w:tr>
      <w:tr>
        <w:trPr>
          <w:trHeight w:val="142"/>
        </w:trPr>
        <w:tc>
          <w:tcPr>
            <w:tcW w:w="1200" w:type="dxa"/>
            <w:vAlign w:val="bottom"/>
          </w:tcPr>
          <w:p>
            <w:pPr>
              <w:spacing w:after="0"/>
              <w:rPr>
                <w:sz w:val="12"/>
                <w:szCs w:val="12"/>
                <w:color w:val="auto"/>
              </w:rPr>
            </w:pPr>
          </w:p>
        </w:tc>
        <w:tc>
          <w:tcPr>
            <w:tcW w:w="7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gridSpan w:val="3"/>
          </w:tcPr>
          <w:p>
            <w:pPr>
              <w:ind w:left="140"/>
              <w:spacing w:after="0" w:line="142" w:lineRule="exact"/>
              <w:rPr>
                <w:sz w:val="20"/>
                <w:szCs w:val="20"/>
                <w:color w:val="auto"/>
              </w:rPr>
            </w:pPr>
            <w:r>
              <w:rPr>
                <w:rFonts w:ascii="Arial" w:cs="Arial" w:eastAsia="Arial" w:hAnsi="Arial"/>
                <w:sz w:val="14"/>
                <w:szCs w:val="14"/>
                <w:b w:val="1"/>
                <w:bCs w:val="1"/>
                <w:color w:val="auto"/>
                <w:w w:val="85"/>
              </w:rPr>
              <w:t>(amounts in thousands)</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r>
      <w:tr>
        <w:trPr>
          <w:trHeight w:val="216"/>
        </w:trPr>
        <w:tc>
          <w:tcPr>
            <w:tcW w:w="8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31, 2010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6,502</w:t>
            </w:r>
          </w:p>
        </w:tc>
        <w:tc>
          <w:tcPr>
            <w:tcW w:w="1520" w:type="dxa"/>
            <w:vAlign w:val="bottom"/>
            <w:gridSpan w:val="3"/>
            <w:shd w:val="clear" w:color="auto" w:fill="CCEEFF"/>
          </w:tcPr>
          <w:p>
            <w:pPr>
              <w:jc w:val="center"/>
              <w:ind w:right="80"/>
              <w:spacing w:after="0"/>
              <w:rPr>
                <w:sz w:val="20"/>
                <w:szCs w:val="20"/>
                <w:color w:val="auto"/>
              </w:rPr>
            </w:pPr>
            <w:r>
              <w:rPr>
                <w:rFonts w:ascii="Arial" w:cs="Arial" w:eastAsia="Arial" w:hAnsi="Arial"/>
                <w:sz w:val="18"/>
                <w:szCs w:val="18"/>
                <w:color w:val="auto"/>
                <w:w w:val="92"/>
              </w:rPr>
              <w:t>$17,669</w:t>
            </w:r>
          </w:p>
        </w:tc>
        <w:tc>
          <w:tcPr>
            <w:tcW w:w="1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24,171</w:t>
            </w:r>
          </w:p>
        </w:tc>
      </w:tr>
      <w:tr>
        <w:trPr>
          <w:trHeight w:val="222"/>
        </w:trPr>
        <w:tc>
          <w:tcPr>
            <w:tcW w:w="8400" w:type="dxa"/>
            <w:vAlign w:val="bottom"/>
            <w:gridSpan w:val="2"/>
          </w:tcPr>
          <w:p>
            <w:pPr>
              <w:spacing w:after="0"/>
              <w:rPr>
                <w:sz w:val="20"/>
                <w:szCs w:val="20"/>
                <w:color w:val="auto"/>
              </w:rPr>
            </w:pPr>
            <w:r>
              <w:rPr>
                <w:rFonts w:ascii="Arial" w:cs="Arial" w:eastAsia="Arial" w:hAnsi="Arial"/>
                <w:sz w:val="18"/>
                <w:szCs w:val="18"/>
                <w:color w:val="auto"/>
              </w:rPr>
              <w:t>December 31, 2009</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4,224</w:t>
            </w:r>
          </w:p>
        </w:tc>
        <w:tc>
          <w:tcPr>
            <w:tcW w:w="1520" w:type="dxa"/>
            <w:vAlign w:val="bottom"/>
            <w:gridSpan w:val="3"/>
          </w:tcPr>
          <w:p>
            <w:pPr>
              <w:jc w:val="center"/>
              <w:ind w:right="80"/>
              <w:spacing w:after="0"/>
              <w:rPr>
                <w:sz w:val="20"/>
                <w:szCs w:val="20"/>
                <w:color w:val="auto"/>
              </w:rPr>
            </w:pPr>
            <w:r>
              <w:rPr>
                <w:rFonts w:ascii="Arial" w:cs="Arial" w:eastAsia="Arial" w:hAnsi="Arial"/>
                <w:sz w:val="18"/>
                <w:szCs w:val="18"/>
                <w:color w:val="auto"/>
                <w:w w:val="92"/>
              </w:rPr>
              <w:t>$16,345</w:t>
            </w:r>
          </w:p>
        </w:tc>
        <w:tc>
          <w:tcPr>
            <w:tcW w:w="1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20,569</w:t>
            </w:r>
          </w:p>
        </w:tc>
      </w:tr>
    </w:tbl>
    <w:p>
      <w:pPr>
        <w:spacing w:after="0" w:line="147"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The fair value approximates the amount the Company would pay if these contracts were settled at the respective valuation dates. Fair value is estimated based upon current, and predictions of future, interest rate levels along a yield curve, the remaining duration of the instruments and other market conditions, and therefore, is subject to significant estimation and a high degree of variability and fluctuation between periods. We adjust this amount by applying a non-performance valuation, considering our creditworthiness or the creditworthiness of our counterparties at each settlement date as applicable.</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Interest Rate Sensitivity</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March 31, 2010, approximately 90% of our long-term debt was based on fixed rates, including the notional amounts related to interest rate swaps.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Based on our borrowings as of March 31, 2010, an assumed 1% change in variable rates would cause our annual interest cost to change by $3.3 million.</w:t>
      </w:r>
    </w:p>
    <w:p>
      <w:pPr>
        <w:spacing w:after="0" w:line="26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Foreign Currency Risks</w:t>
      </w:r>
    </w:p>
    <w:p>
      <w:pPr>
        <w:spacing w:after="0" w:line="90"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The currency delineated in Wynn Macau’s concession agreement with the government of Macau is the Macau pataca. The Macau pataca, which is not a freely convertible currency, is linked to the Hong Kong dollar, and in many cases the two are used interchangeably in Macau. The Hong Kong dollar is linked to the U.S. dollar and the exchange rate between these two currencies has remained relatively stable over the past several years. However, the exchange linkages of the Hong Kong dollar and the Macau pataca, and the Hong Kong dollar and the U.S. dollar, are subject to potential changes due to, among other things, changes in Chinese governmental policies and international economic and political developments.</w:t>
      </w:r>
    </w:p>
    <w:p>
      <w:pPr>
        <w:spacing w:after="0" w:line="116" w:lineRule="exact"/>
        <w:rPr>
          <w:sz w:val="20"/>
          <w:szCs w:val="20"/>
          <w:color w:val="auto"/>
        </w:rPr>
      </w:pPr>
    </w:p>
    <w:p>
      <w:pPr>
        <w:ind w:right="80" w:firstLine="456"/>
        <w:spacing w:after="0" w:line="370" w:lineRule="auto"/>
        <w:rPr>
          <w:sz w:val="20"/>
          <w:szCs w:val="20"/>
          <w:color w:val="auto"/>
        </w:rPr>
      </w:pPr>
      <w:r>
        <w:rPr>
          <w:rFonts w:ascii="Arial" w:cs="Arial" w:eastAsia="Arial" w:hAnsi="Arial"/>
          <w:sz w:val="15"/>
          <w:szCs w:val="15"/>
          <w:color w:val="auto"/>
        </w:rPr>
        <w:t>If the Hong Kong dollar and the Macau pataca are not linked to the U.S. dollar in the future, severe fluctuations in the exchange rate for these currencies may result. We cannot assure you that the current rate of exchange fixed by the applicable monetary authorities for these currencies will remain at the same level.</w:t>
      </w:r>
    </w:p>
    <w:p>
      <w:pPr>
        <w:spacing w:after="0" w:line="62"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Because many of Wynn Macau’s payment and expenditure obligations are in Macau patacas, in the event of unfavorable Macau pataca or Hong Kong dollar rate changes, Wynn Macau’s obligations, as denominated in U.S. dollars, would increase. In addition, because we expect that most of the revenues for any casino that Wynn Macau operates in Macau will be in Hong Kong dollars, we are subject to foreign exchange risk with respect to the exchange rate between the Hong Kong dollar and the U.S. dollar. Also, because our Macau-related entities incur U.S. dollar-denominated debt, fluctuations in the exchange rates of the Macau pataca or the Hong Kong dollar, in relation to the U.S. dollar, could have adverse effects on Wynn Macau’s results of operations, financial condition and ability to service its debt.</w:t>
      </w:r>
    </w:p>
    <w:p>
      <w:pPr>
        <w:spacing w:after="0" w:line="26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96" w:lineRule="exact"/>
        <w:rPr>
          <w:sz w:val="20"/>
          <w:szCs w:val="20"/>
          <w:color w:val="auto"/>
        </w:rPr>
      </w:pPr>
    </w:p>
    <w:p>
      <w:pPr>
        <w:ind w:right="100" w:firstLine="464"/>
        <w:spacing w:after="0" w:line="306" w:lineRule="auto"/>
        <w:tabs>
          <w:tab w:leader="none" w:pos="695" w:val="left"/>
        </w:tabs>
        <w:numPr>
          <w:ilvl w:val="0"/>
          <w:numId w:val="15"/>
        </w:numPr>
        <w:rPr>
          <w:rFonts w:ascii="Arial" w:cs="Arial" w:eastAsia="Arial" w:hAnsi="Arial"/>
          <w:sz w:val="16"/>
          <w:szCs w:val="16"/>
          <w:color w:val="auto"/>
        </w:rPr>
      </w:pPr>
      <w:r>
        <w:rPr>
          <w:rFonts w:ascii="Arial" w:cs="Arial" w:eastAsia="Arial" w:hAnsi="Arial"/>
          <w:sz w:val="16"/>
          <w:szCs w:val="16"/>
          <w:i w:val="1"/>
          <w:iCs w:val="1"/>
          <w:color w:val="auto"/>
        </w:rPr>
        <w:t>Disclosure Controls and Procedures</w:t>
      </w:r>
      <w:r>
        <w:rPr>
          <w:rFonts w:ascii="Arial" w:cs="Arial" w:eastAsia="Arial" w:hAnsi="Arial"/>
          <w:sz w:val="16"/>
          <w:szCs w:val="16"/>
          <w:color w:val="auto"/>
        </w:rPr>
        <w:t>. The Company’s management, with the participation of the Company’s Chief Executive Officer and Chief</w:t>
      </w:r>
      <w:r>
        <w:rPr>
          <w:rFonts w:ascii="Arial" w:cs="Arial" w:eastAsia="Arial" w:hAnsi="Arial"/>
          <w:sz w:val="16"/>
          <w:szCs w:val="16"/>
          <w:i w:val="1"/>
          <w:iCs w:val="1"/>
          <w:color w:val="auto"/>
        </w:rPr>
        <w:t xml:space="preserve"> </w:t>
      </w:r>
      <w:r>
        <w:rPr>
          <w:rFonts w:ascii="Arial" w:cs="Arial" w:eastAsia="Arial" w:hAnsi="Arial"/>
          <w:sz w:val="16"/>
          <w:szCs w:val="16"/>
          <w:color w:val="auto"/>
        </w:rPr>
        <w:t>Financial Officer, has evaluated the effectiveness of the Company’s disclosure controls and procedures (as such term is defined in Rules 13a-15(e) and 15d-15(e) under the Securities Exchange Act of 1934, as amended (the “Exchange Act”)) as of the end of the period covered by</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this report. In designing and evaluating the disclosure controls and procedures, management recognized that any controls and procedures, no matter how well designed and operated, can only provide reasonable assurance of achieving the desired control objectives and management is required to apply its judgment in evaluating the cost-benefit relationship of possible controls and procedures. Based on such evaluation, the Company’s Chief Executive Officer and Chief Financial Officer have concluded that, as of the end of such period, the Company’s disclosure controls and procedures were effective, at the reasonable assurance level, in recording, processing, summarizing and reporting, on a timely basis, information required to be disclosed by the Company in the reports that it files or submits under the Exchange Act and were effective in ensuring that information required to be disclosed by the Company in the reports that it files or submits under the Exchange Act is accumulated and communicated to the Company’s management, including the Company’s Chief Executive Officer and Chief Financial Officer, as appropriate to allow timely decisions regarding required disclosure.</w:t>
      </w:r>
    </w:p>
    <w:p>
      <w:pPr>
        <w:spacing w:after="0" w:line="118" w:lineRule="exact"/>
        <w:rPr>
          <w:sz w:val="20"/>
          <w:szCs w:val="20"/>
          <w:color w:val="auto"/>
        </w:rPr>
      </w:pPr>
    </w:p>
    <w:p>
      <w:pPr>
        <w:ind w:firstLine="464"/>
        <w:spacing w:after="0" w:line="259" w:lineRule="auto"/>
        <w:tabs>
          <w:tab w:leader="none" w:pos="705"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 xml:space="preserve">Internal Control Over Financial Reporting. </w:t>
      </w:r>
      <w:r>
        <w:rPr>
          <w:rFonts w:ascii="Arial" w:cs="Arial" w:eastAsia="Arial" w:hAnsi="Arial"/>
          <w:sz w:val="18"/>
          <w:szCs w:val="18"/>
          <w:color w:val="auto"/>
        </w:rPr>
        <w:t>There were no changes in our internal control over financial reporting (as such term is defined in Rules 13a-15(f) and 15d-15(f) under the Exchange Act) during the quarter to which this report relates that materially affected, or are reasonably likely to materially affect, our internal control over financial reporting.</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II—OTHER INFORMATION</w:t>
      </w:r>
    </w:p>
    <w:p>
      <w:pPr>
        <w:spacing w:after="0" w:line="9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IA.</w:t>
      </w:r>
      <w:r>
        <w:rPr>
          <w:sz w:val="20"/>
          <w:szCs w:val="20"/>
          <w:color w:val="auto"/>
        </w:rPr>
        <w:tab/>
      </w:r>
      <w:r>
        <w:rPr>
          <w:rFonts w:ascii="Arial" w:cs="Arial" w:eastAsia="Arial" w:hAnsi="Arial"/>
          <w:sz w:val="15"/>
          <w:szCs w:val="15"/>
          <w:b w:val="1"/>
          <w:bCs w:val="1"/>
          <w:color w:val="auto"/>
        </w:rPr>
        <w:t>Risk Factors</w:t>
      </w:r>
    </w:p>
    <w:p>
      <w:pPr>
        <w:spacing w:after="0" w:line="96"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A description of our risk factors can be found in Item IA of our Annual Report on Form 10-K for the year ended December 31, 2009. There were no material changes to those risk factors during the three months ended March 31, 2010.</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Dividend Restrictions</w:t>
      </w:r>
    </w:p>
    <w:p>
      <w:pPr>
        <w:spacing w:after="0" w:line="90" w:lineRule="exact"/>
        <w:rPr>
          <w:sz w:val="20"/>
          <w:szCs w:val="20"/>
          <w:color w:val="auto"/>
        </w:rPr>
      </w:pPr>
    </w:p>
    <w:p>
      <w:pPr>
        <w:ind w:right="320" w:firstLine="456"/>
        <w:spacing w:after="0" w:line="332" w:lineRule="auto"/>
        <w:rPr>
          <w:sz w:val="20"/>
          <w:szCs w:val="20"/>
          <w:color w:val="auto"/>
        </w:rPr>
      </w:pPr>
      <w:r>
        <w:rPr>
          <w:rFonts w:ascii="Arial" w:cs="Arial" w:eastAsia="Arial" w:hAnsi="Arial"/>
          <w:sz w:val="16"/>
          <w:szCs w:val="16"/>
          <w:color w:val="auto"/>
        </w:rPr>
        <w:t>In November 2009, our Board of Directors approved the commencement of a regular quarterly cash dividend program beginning in 2010. On April 28, 2010, our Board of Directors declared a dividend of $0.25 per share, payable on May 26, 2010 to stockholders of record as of May 12, 2010.</w:t>
      </w:r>
    </w:p>
    <w:p>
      <w:pPr>
        <w:spacing w:after="0" w:line="85"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Wynn Resorts is a holding company and, as a result, our ability to pay dividends is highly dependent on our ability to obtain funds and our subsidiaries’ ability to provide funds to us. Restrictions imposed by our subsidiaries’ debt instruments significantly restrict our ability to pay dividends. Specifically, Wynn Las Vegas, LLC and certain of its subsidiaries are restricted under the indenture governing the 2014 Notes and the 2017 Notes from making certain “restricted payments” as defined in the indentures. These restricted payments include the payment of dividends or distributions to any direct or indirect holders of equity interests of Wynn Las Vegas, LLC. These restricted payments may not be made unless certain financial and non-financial criteria have been satisfied. The credit facilities of Wynn Las Vegas, LLC and Wynn Macau, S.A. contain similar restrictions; although the Wynn Macau, S.A. loan agreements permit, provided certain conditions are met, distribution of earnings and the distribution of loan proceeds. As a result of the sale of shares in Wynn Macau, Limited in October 2009, we have approximately $1.2 billion of cash that is not subject to such restrictions.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80"/>
          </w:cols>
          <w:pgMar w:left="240" w:top="459" w:right="27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2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10700" w:type="dxa"/>
            <w:vAlign w:val="bottom"/>
            <w:gridSpan w:val="3"/>
          </w:tcPr>
          <w:p>
            <w:pPr>
              <w:ind w:left="320"/>
              <w:spacing w:after="0"/>
              <w:rPr>
                <w:sz w:val="20"/>
                <w:szCs w:val="20"/>
                <w:color w:val="auto"/>
              </w:rPr>
            </w:pPr>
            <w:r>
              <w:rPr>
                <w:rFonts w:ascii="Arial" w:cs="Arial" w:eastAsia="Arial" w:hAnsi="Arial"/>
                <w:sz w:val="18"/>
                <w:szCs w:val="18"/>
                <w:b w:val="1"/>
                <w:bCs w:val="1"/>
                <w:color w:val="auto"/>
              </w:rPr>
              <w:t>Exhibits</w:t>
            </w:r>
          </w:p>
        </w:tc>
      </w:tr>
      <w:tr>
        <w:trPr>
          <w:trHeight w:val="297"/>
        </w:trPr>
        <w:tc>
          <w:tcPr>
            <w:tcW w:w="720" w:type="dxa"/>
            <w:vAlign w:val="bottom"/>
          </w:tcPr>
          <w:p>
            <w:pPr>
              <w:spacing w:after="0"/>
              <w:rPr>
                <w:sz w:val="24"/>
                <w:szCs w:val="24"/>
                <w:color w:val="auto"/>
              </w:rPr>
            </w:pPr>
          </w:p>
        </w:tc>
        <w:tc>
          <w:tcPr>
            <w:tcW w:w="660" w:type="dxa"/>
            <w:vAlign w:val="bottom"/>
          </w:tcPr>
          <w:p>
            <w:pPr>
              <w:ind w:left="200"/>
              <w:spacing w:after="0"/>
              <w:rPr>
                <w:sz w:val="20"/>
                <w:szCs w:val="20"/>
                <w:color w:val="auto"/>
              </w:rPr>
            </w:pPr>
            <w:r>
              <w:rPr>
                <w:rFonts w:ascii="Arial" w:cs="Arial" w:eastAsia="Arial" w:hAnsi="Arial"/>
                <w:sz w:val="18"/>
                <w:szCs w:val="18"/>
                <w:color w:val="auto"/>
              </w:rPr>
              <w:t>(a)</w:t>
            </w:r>
          </w:p>
        </w:tc>
        <w:tc>
          <w:tcPr>
            <w:tcW w:w="10040" w:type="dxa"/>
            <w:vAlign w:val="bottom"/>
            <w:gridSpan w:val="2"/>
          </w:tcPr>
          <w:p>
            <w:pPr>
              <w:ind w:left="100"/>
              <w:spacing w:after="0"/>
              <w:rPr>
                <w:sz w:val="20"/>
                <w:szCs w:val="20"/>
                <w:color w:val="auto"/>
              </w:rPr>
            </w:pPr>
            <w:r>
              <w:rPr>
                <w:rFonts w:ascii="Arial" w:cs="Arial" w:eastAsia="Arial" w:hAnsi="Arial"/>
                <w:sz w:val="18"/>
                <w:szCs w:val="18"/>
                <w:color w:val="auto"/>
              </w:rPr>
              <w:t>Exhibits</w:t>
            </w:r>
          </w:p>
        </w:tc>
      </w:tr>
      <w:tr>
        <w:trPr>
          <w:trHeight w:val="540"/>
        </w:trPr>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340" w:type="dxa"/>
            <w:vAlign w:val="bottom"/>
          </w:tcPr>
          <w:p>
            <w:pPr>
              <w:ind w:left="2960"/>
              <w:spacing w:after="0"/>
              <w:rPr>
                <w:sz w:val="20"/>
                <w:szCs w:val="20"/>
                <w:color w:val="auto"/>
              </w:rPr>
            </w:pPr>
            <w:r>
              <w:rPr>
                <w:rFonts w:ascii="Arial" w:cs="Arial" w:eastAsia="Arial" w:hAnsi="Arial"/>
                <w:sz w:val="18"/>
                <w:szCs w:val="18"/>
                <w:b w:val="1"/>
                <w:bCs w:val="1"/>
                <w:color w:val="auto"/>
              </w:rPr>
              <w:t>EXHIBIT INDEX</w:t>
            </w:r>
          </w:p>
        </w:tc>
      </w:tr>
      <w:tr>
        <w:trPr>
          <w:trHeight w:val="353"/>
        </w:trPr>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5"/>
              </w:rPr>
              <w:t>Exhibit No.</w:t>
            </w:r>
          </w:p>
        </w:tc>
        <w:tc>
          <w:tcPr>
            <w:tcW w:w="660" w:type="dxa"/>
            <w:vAlign w:val="bottom"/>
          </w:tcPr>
          <w:p>
            <w:pPr>
              <w:spacing w:after="0"/>
              <w:rPr>
                <w:sz w:val="24"/>
                <w:szCs w:val="24"/>
                <w:color w:val="auto"/>
              </w:rPr>
            </w:pPr>
          </w:p>
        </w:tc>
        <w:tc>
          <w:tcPr>
            <w:tcW w:w="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Description</w:t>
            </w:r>
          </w:p>
        </w:tc>
        <w:tc>
          <w:tcPr>
            <w:tcW w:w="9340" w:type="dxa"/>
            <w:vAlign w:val="bottom"/>
          </w:tcPr>
          <w:p>
            <w:pPr>
              <w:spacing w:after="0"/>
              <w:rPr>
                <w:sz w:val="24"/>
                <w:szCs w:val="24"/>
                <w:color w:val="auto"/>
              </w:rPr>
            </w:pPr>
          </w:p>
        </w:tc>
      </w:tr>
      <w:tr>
        <w:trPr>
          <w:trHeight w:val="316"/>
        </w:trPr>
        <w:tc>
          <w:tcPr>
            <w:tcW w:w="720" w:type="dxa"/>
            <w:vAlign w:val="bottom"/>
          </w:tcPr>
          <w:p>
            <w:pPr>
              <w:jc w:val="right"/>
              <w:ind w:right="234"/>
              <w:spacing w:after="0"/>
              <w:rPr>
                <w:sz w:val="20"/>
                <w:szCs w:val="20"/>
                <w:color w:val="auto"/>
              </w:rPr>
            </w:pPr>
            <w:r>
              <w:rPr>
                <w:rFonts w:ascii="Arial" w:cs="Arial" w:eastAsia="Arial" w:hAnsi="Arial"/>
                <w:sz w:val="18"/>
                <w:szCs w:val="18"/>
                <w:color w:val="auto"/>
              </w:rPr>
              <w:t>3.1</w:t>
            </w:r>
          </w:p>
        </w:tc>
        <w:tc>
          <w:tcPr>
            <w:tcW w:w="660" w:type="dxa"/>
            <w:vAlign w:val="bottom"/>
          </w:tcPr>
          <w:p>
            <w:pPr>
              <w:spacing w:after="0"/>
              <w:rPr>
                <w:sz w:val="24"/>
                <w:szCs w:val="24"/>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rPr>
              <w:t xml:space="preserve">Second Amended and Restated Articles of Incorporation of the Registrant. </w:t>
            </w:r>
            <w:r>
              <w:rPr>
                <w:rFonts w:ascii="Arial" w:cs="Arial" w:eastAsia="Arial" w:hAnsi="Arial"/>
                <w:sz w:val="11"/>
                <w:szCs w:val="11"/>
                <w:color w:val="auto"/>
              </w:rPr>
              <w:t>(1)</w:t>
            </w:r>
          </w:p>
        </w:tc>
      </w:tr>
      <w:tr>
        <w:trPr>
          <w:trHeight w:val="324"/>
        </w:trPr>
        <w:tc>
          <w:tcPr>
            <w:tcW w:w="720" w:type="dxa"/>
            <w:vAlign w:val="bottom"/>
          </w:tcPr>
          <w:p>
            <w:pPr>
              <w:jc w:val="right"/>
              <w:ind w:right="234"/>
              <w:spacing w:after="0"/>
              <w:rPr>
                <w:sz w:val="20"/>
                <w:szCs w:val="20"/>
                <w:color w:val="auto"/>
              </w:rPr>
            </w:pPr>
            <w:r>
              <w:rPr>
                <w:rFonts w:ascii="Arial" w:cs="Arial" w:eastAsia="Arial" w:hAnsi="Arial"/>
                <w:sz w:val="18"/>
                <w:szCs w:val="18"/>
                <w:color w:val="auto"/>
              </w:rPr>
              <w:t>3.2</w:t>
            </w:r>
          </w:p>
        </w:tc>
        <w:tc>
          <w:tcPr>
            <w:tcW w:w="660" w:type="dxa"/>
            <w:vAlign w:val="bottom"/>
          </w:tcPr>
          <w:p>
            <w:pPr>
              <w:spacing w:after="0"/>
              <w:rPr>
                <w:sz w:val="24"/>
                <w:szCs w:val="24"/>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rPr>
              <w:t xml:space="preserve">Fourth Amended and Restated Bylaws of the Registrant, as amended. </w:t>
            </w:r>
            <w:r>
              <w:rPr>
                <w:rFonts w:ascii="Arial" w:cs="Arial" w:eastAsia="Arial" w:hAnsi="Arial"/>
                <w:sz w:val="11"/>
                <w:szCs w:val="11"/>
                <w:color w:val="auto"/>
              </w:rPr>
              <w:t>(2)</w:t>
            </w:r>
          </w:p>
        </w:tc>
      </w:tr>
      <w:tr>
        <w:trPr>
          <w:trHeight w:val="272"/>
        </w:trPr>
        <w:tc>
          <w:tcPr>
            <w:tcW w:w="720" w:type="dxa"/>
            <w:vAlign w:val="bottom"/>
          </w:tcPr>
          <w:p>
            <w:pPr>
              <w:jc w:val="right"/>
              <w:ind w:right="234"/>
              <w:spacing w:after="0"/>
              <w:rPr>
                <w:sz w:val="20"/>
                <w:szCs w:val="20"/>
                <w:color w:val="auto"/>
              </w:rPr>
            </w:pPr>
            <w:r>
              <w:rPr>
                <w:rFonts w:ascii="Arial" w:cs="Arial" w:eastAsia="Arial" w:hAnsi="Arial"/>
                <w:sz w:val="18"/>
                <w:szCs w:val="18"/>
                <w:color w:val="auto"/>
              </w:rPr>
              <w:t>10.1</w:t>
            </w:r>
          </w:p>
        </w:tc>
        <w:tc>
          <w:tcPr>
            <w:tcW w:w="660" w:type="dxa"/>
            <w:vAlign w:val="bottom"/>
          </w:tcPr>
          <w:p>
            <w:pPr>
              <w:spacing w:after="0"/>
              <w:rPr>
                <w:sz w:val="23"/>
                <w:szCs w:val="23"/>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w w:val="87"/>
              </w:rPr>
              <w:t>Amended and Restated Stockholder Agreement, dated January 6, 2010, by and among Stephen A. Wynn, Elaine P. Wynn and Aruze USA, Inc.</w:t>
            </w:r>
          </w:p>
        </w:tc>
      </w:tr>
      <w:tr>
        <w:trPr>
          <w:trHeight w:val="142"/>
        </w:trPr>
        <w:tc>
          <w:tcPr>
            <w:tcW w:w="7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20"/>
                <w:szCs w:val="20"/>
                <w:color w:val="auto"/>
              </w:rPr>
            </w:pPr>
            <w:r>
              <w:rPr>
                <w:rFonts w:ascii="Arial" w:cs="Arial" w:eastAsia="Arial" w:hAnsi="Arial"/>
                <w:sz w:val="11"/>
                <w:szCs w:val="11"/>
                <w:color w:val="auto"/>
              </w:rPr>
              <w:t>(3)</w:t>
            </w:r>
          </w:p>
        </w:tc>
        <w:tc>
          <w:tcPr>
            <w:tcW w:w="9340" w:type="dxa"/>
            <w:vAlign w:val="bottom"/>
          </w:tcPr>
          <w:p>
            <w:pPr>
              <w:spacing w:after="0"/>
              <w:rPr>
                <w:sz w:val="12"/>
                <w:szCs w:val="12"/>
                <w:color w:val="auto"/>
              </w:rPr>
            </w:pPr>
          </w:p>
        </w:tc>
      </w:tr>
      <w:tr>
        <w:trPr>
          <w:trHeight w:val="355"/>
        </w:trPr>
        <w:tc>
          <w:tcPr>
            <w:tcW w:w="720" w:type="dxa"/>
            <w:vAlign w:val="bottom"/>
          </w:tcPr>
          <w:p>
            <w:pPr>
              <w:jc w:val="right"/>
              <w:ind w:right="234"/>
              <w:spacing w:after="0"/>
              <w:rPr>
                <w:sz w:val="20"/>
                <w:szCs w:val="20"/>
                <w:color w:val="auto"/>
              </w:rPr>
            </w:pPr>
            <w:r>
              <w:rPr>
                <w:rFonts w:ascii="Arial" w:cs="Arial" w:eastAsia="Arial" w:hAnsi="Arial"/>
                <w:sz w:val="18"/>
                <w:szCs w:val="18"/>
                <w:color w:val="auto"/>
              </w:rPr>
              <w:t>10.2</w:t>
            </w:r>
          </w:p>
        </w:tc>
        <w:tc>
          <w:tcPr>
            <w:tcW w:w="660" w:type="dxa"/>
            <w:vAlign w:val="bottom"/>
          </w:tcPr>
          <w:p>
            <w:pPr>
              <w:spacing w:after="0"/>
              <w:rPr>
                <w:sz w:val="24"/>
                <w:szCs w:val="24"/>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w w:val="92"/>
              </w:rPr>
              <w:t xml:space="preserve">Fifth Amendment to Employment Agreement, dated as of February 2, 2010, by and between Wynn Resorts, Limited and Matt Maddox. </w:t>
            </w:r>
            <w:r>
              <w:rPr>
                <w:rFonts w:ascii="Arial" w:cs="Arial" w:eastAsia="Arial" w:hAnsi="Arial"/>
                <w:sz w:val="11"/>
                <w:szCs w:val="11"/>
                <w:color w:val="auto"/>
                <w:w w:val="92"/>
              </w:rPr>
              <w:t>(4)</w:t>
            </w:r>
          </w:p>
        </w:tc>
      </w:tr>
      <w:tr>
        <w:trPr>
          <w:trHeight w:val="324"/>
        </w:trPr>
        <w:tc>
          <w:tcPr>
            <w:tcW w:w="720" w:type="dxa"/>
            <w:vAlign w:val="bottom"/>
          </w:tcPr>
          <w:p>
            <w:pPr>
              <w:jc w:val="right"/>
              <w:ind w:right="234"/>
              <w:spacing w:after="0"/>
              <w:rPr>
                <w:sz w:val="20"/>
                <w:szCs w:val="20"/>
                <w:color w:val="auto"/>
              </w:rPr>
            </w:pPr>
            <w:r>
              <w:rPr>
                <w:rFonts w:ascii="Arial" w:cs="Arial" w:eastAsia="Arial" w:hAnsi="Arial"/>
                <w:sz w:val="18"/>
                <w:szCs w:val="18"/>
                <w:color w:val="auto"/>
              </w:rPr>
              <w:t>10.3</w:t>
            </w:r>
          </w:p>
        </w:tc>
        <w:tc>
          <w:tcPr>
            <w:tcW w:w="660" w:type="dxa"/>
            <w:vAlign w:val="bottom"/>
          </w:tcPr>
          <w:p>
            <w:pPr>
              <w:spacing w:after="0"/>
              <w:rPr>
                <w:sz w:val="24"/>
                <w:szCs w:val="24"/>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rPr>
              <w:t xml:space="preserve">Agreement of Lease, dated as of March 17, 2010, by and between Wynn Las Vegas, LLC and Elaine P. Wynn. </w:t>
            </w:r>
            <w:r>
              <w:rPr>
                <w:rFonts w:ascii="Arial" w:cs="Arial" w:eastAsia="Arial" w:hAnsi="Arial"/>
                <w:sz w:val="11"/>
                <w:szCs w:val="11"/>
                <w:color w:val="auto"/>
              </w:rPr>
              <w:t>(5)</w:t>
            </w:r>
          </w:p>
        </w:tc>
      </w:tr>
      <w:tr>
        <w:trPr>
          <w:trHeight w:val="324"/>
        </w:trPr>
        <w:tc>
          <w:tcPr>
            <w:tcW w:w="720" w:type="dxa"/>
            <w:vAlign w:val="bottom"/>
          </w:tcPr>
          <w:p>
            <w:pPr>
              <w:jc w:val="right"/>
              <w:ind w:right="234"/>
              <w:spacing w:after="0"/>
              <w:rPr>
                <w:sz w:val="20"/>
                <w:szCs w:val="20"/>
                <w:color w:val="auto"/>
              </w:rPr>
            </w:pPr>
            <w:r>
              <w:rPr>
                <w:rFonts w:ascii="Arial" w:cs="Arial" w:eastAsia="Arial" w:hAnsi="Arial"/>
                <w:sz w:val="18"/>
                <w:szCs w:val="18"/>
                <w:color w:val="auto"/>
              </w:rPr>
              <w:t>10.4</w:t>
            </w:r>
          </w:p>
        </w:tc>
        <w:tc>
          <w:tcPr>
            <w:tcW w:w="660" w:type="dxa"/>
            <w:vAlign w:val="bottom"/>
          </w:tcPr>
          <w:p>
            <w:pPr>
              <w:spacing w:after="0"/>
              <w:rPr>
                <w:sz w:val="24"/>
                <w:szCs w:val="24"/>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w w:val="94"/>
              </w:rPr>
              <w:t xml:space="preserve">Amended and Restated Agreement of Lease made as of March 18, 2010, by and between Wynn Las Vegas and Stephen A. Wynn. </w:t>
            </w:r>
            <w:r>
              <w:rPr>
                <w:rFonts w:ascii="Arial" w:cs="Arial" w:eastAsia="Arial" w:hAnsi="Arial"/>
                <w:sz w:val="11"/>
                <w:szCs w:val="11"/>
                <w:color w:val="auto"/>
                <w:w w:val="94"/>
              </w:rPr>
              <w:t>(5)</w:t>
            </w:r>
          </w:p>
        </w:tc>
      </w:tr>
      <w:tr>
        <w:trPr>
          <w:trHeight w:val="324"/>
        </w:trPr>
        <w:tc>
          <w:tcPr>
            <w:tcW w:w="720" w:type="dxa"/>
            <w:vAlign w:val="bottom"/>
          </w:tcPr>
          <w:p>
            <w:pPr>
              <w:jc w:val="right"/>
              <w:ind w:right="234"/>
              <w:spacing w:after="0"/>
              <w:rPr>
                <w:sz w:val="20"/>
                <w:szCs w:val="20"/>
                <w:color w:val="auto"/>
              </w:rPr>
            </w:pPr>
            <w:r>
              <w:rPr>
                <w:rFonts w:ascii="Arial" w:cs="Arial" w:eastAsia="Arial" w:hAnsi="Arial"/>
                <w:sz w:val="18"/>
                <w:szCs w:val="18"/>
                <w:color w:val="auto"/>
                <w:w w:val="90"/>
              </w:rPr>
              <w:t>*10.5</w:t>
            </w:r>
          </w:p>
        </w:tc>
        <w:tc>
          <w:tcPr>
            <w:tcW w:w="660" w:type="dxa"/>
            <w:vAlign w:val="bottom"/>
          </w:tcPr>
          <w:p>
            <w:pPr>
              <w:spacing w:after="0"/>
              <w:rPr>
                <w:sz w:val="24"/>
                <w:szCs w:val="24"/>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rPr>
              <w:t>Form of Stock Option Agreement pursuant to 2002 Stock Incentive Plan.</w:t>
            </w:r>
          </w:p>
        </w:tc>
      </w:tr>
      <w:tr>
        <w:trPr>
          <w:trHeight w:val="338"/>
        </w:trPr>
        <w:tc>
          <w:tcPr>
            <w:tcW w:w="720" w:type="dxa"/>
            <w:vAlign w:val="bottom"/>
          </w:tcPr>
          <w:p>
            <w:pPr>
              <w:jc w:val="right"/>
              <w:ind w:right="234"/>
              <w:spacing w:after="0"/>
              <w:rPr>
                <w:sz w:val="20"/>
                <w:szCs w:val="20"/>
                <w:color w:val="auto"/>
              </w:rPr>
            </w:pPr>
            <w:r>
              <w:rPr>
                <w:rFonts w:ascii="Arial" w:cs="Arial" w:eastAsia="Arial" w:hAnsi="Arial"/>
                <w:sz w:val="18"/>
                <w:szCs w:val="18"/>
                <w:color w:val="auto"/>
                <w:w w:val="90"/>
              </w:rPr>
              <w:t>*10.6</w:t>
            </w:r>
          </w:p>
        </w:tc>
        <w:tc>
          <w:tcPr>
            <w:tcW w:w="660" w:type="dxa"/>
            <w:vAlign w:val="bottom"/>
          </w:tcPr>
          <w:p>
            <w:pPr>
              <w:spacing w:after="0"/>
              <w:rPr>
                <w:sz w:val="24"/>
                <w:szCs w:val="24"/>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rPr>
              <w:t>Form of Restricted Stock Agreement pursuant to 2002 Stock Incentive Plan.</w:t>
            </w:r>
          </w:p>
        </w:tc>
      </w:tr>
      <w:tr>
        <w:trPr>
          <w:trHeight w:val="324"/>
        </w:trPr>
        <w:tc>
          <w:tcPr>
            <w:tcW w:w="720" w:type="dxa"/>
            <w:vAlign w:val="bottom"/>
          </w:tcPr>
          <w:p>
            <w:pPr>
              <w:jc w:val="right"/>
              <w:ind w:right="234"/>
              <w:spacing w:after="0"/>
              <w:rPr>
                <w:sz w:val="20"/>
                <w:szCs w:val="20"/>
                <w:color w:val="auto"/>
              </w:rPr>
            </w:pPr>
            <w:r>
              <w:rPr>
                <w:rFonts w:ascii="Arial" w:cs="Arial" w:eastAsia="Arial" w:hAnsi="Arial"/>
                <w:sz w:val="18"/>
                <w:szCs w:val="18"/>
                <w:color w:val="auto"/>
                <w:w w:val="90"/>
              </w:rPr>
              <w:t>*31.1</w:t>
            </w:r>
          </w:p>
        </w:tc>
        <w:tc>
          <w:tcPr>
            <w:tcW w:w="660" w:type="dxa"/>
            <w:vAlign w:val="bottom"/>
          </w:tcPr>
          <w:p>
            <w:pPr>
              <w:spacing w:after="0"/>
              <w:rPr>
                <w:sz w:val="24"/>
                <w:szCs w:val="24"/>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rPr>
              <w:t>Certification of Chief Executive Officer of Periodic Report Pursuant to Rule 13a—14(a) and Rule 15d—14(a).</w:t>
            </w:r>
          </w:p>
        </w:tc>
      </w:tr>
      <w:tr>
        <w:trPr>
          <w:trHeight w:val="324"/>
        </w:trPr>
        <w:tc>
          <w:tcPr>
            <w:tcW w:w="720" w:type="dxa"/>
            <w:vAlign w:val="bottom"/>
          </w:tcPr>
          <w:p>
            <w:pPr>
              <w:jc w:val="right"/>
              <w:ind w:right="234"/>
              <w:spacing w:after="0"/>
              <w:rPr>
                <w:sz w:val="20"/>
                <w:szCs w:val="20"/>
                <w:color w:val="auto"/>
              </w:rPr>
            </w:pPr>
            <w:r>
              <w:rPr>
                <w:rFonts w:ascii="Arial" w:cs="Arial" w:eastAsia="Arial" w:hAnsi="Arial"/>
                <w:sz w:val="18"/>
                <w:szCs w:val="18"/>
                <w:color w:val="auto"/>
                <w:w w:val="90"/>
              </w:rPr>
              <w:t>*31.2</w:t>
            </w:r>
          </w:p>
        </w:tc>
        <w:tc>
          <w:tcPr>
            <w:tcW w:w="660" w:type="dxa"/>
            <w:vAlign w:val="bottom"/>
          </w:tcPr>
          <w:p>
            <w:pPr>
              <w:spacing w:after="0"/>
              <w:rPr>
                <w:sz w:val="24"/>
                <w:szCs w:val="24"/>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rPr>
              <w:t>Certification of Chief Financial Officer of Periodic Report Pursuant to Rule 13a—14(a) and Rule 15d—14(a).</w:t>
            </w:r>
          </w:p>
        </w:tc>
      </w:tr>
      <w:tr>
        <w:trPr>
          <w:trHeight w:val="324"/>
        </w:trPr>
        <w:tc>
          <w:tcPr>
            <w:tcW w:w="720" w:type="dxa"/>
            <w:vAlign w:val="bottom"/>
          </w:tcPr>
          <w:p>
            <w:pPr>
              <w:jc w:val="right"/>
              <w:ind w:right="234"/>
              <w:spacing w:after="0"/>
              <w:rPr>
                <w:sz w:val="20"/>
                <w:szCs w:val="20"/>
                <w:color w:val="auto"/>
              </w:rPr>
            </w:pPr>
            <w:r>
              <w:rPr>
                <w:rFonts w:ascii="Arial" w:cs="Arial" w:eastAsia="Arial" w:hAnsi="Arial"/>
                <w:sz w:val="18"/>
                <w:szCs w:val="18"/>
                <w:color w:val="auto"/>
                <w:w w:val="90"/>
              </w:rPr>
              <w:t>*32.1</w:t>
            </w:r>
          </w:p>
        </w:tc>
        <w:tc>
          <w:tcPr>
            <w:tcW w:w="660" w:type="dxa"/>
            <w:vAlign w:val="bottom"/>
          </w:tcPr>
          <w:p>
            <w:pPr>
              <w:spacing w:after="0"/>
              <w:rPr>
                <w:sz w:val="24"/>
                <w:szCs w:val="24"/>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rPr>
              <w:t>Certification of CEO and CFO Pursuant to 18 U.S.C. Section 1350.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hanging="408"/>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90" w:lineRule="exact"/>
        <w:rPr>
          <w:sz w:val="20"/>
          <w:szCs w:val="20"/>
          <w:color w:val="auto"/>
        </w:rPr>
      </w:pPr>
    </w:p>
    <w:p>
      <w:pPr>
        <w:ind w:left="460" w:right="520" w:hanging="452"/>
        <w:spacing w:after="0" w:line="268"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Previously filed with Amendment No. 4 to the Form S-1 filed by the Registrant on October 7, 2002 (File No. 333-90600) and incorporated herein by reference.</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Previously filed with the Quarterly Report on Form 10-Q filed by the Registrant on August 9, 2007 and incorporated herein by reference.</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Previously filed with the Current Report on Form 8-K filed by the Registrant on January 6, 2010, and incorporated herein by reference.</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Previously filed with the Current Report on Form 8-K filed by the Registrant on February 5, 2010 and incorporated herein by reference.</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Previously filed with the Current Report on Form 8-K filed by the Registrant on March 19, 2010 and incorporated herein by reference.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879"/>
        <w:spacing w:after="0"/>
        <w:rPr>
          <w:sz w:val="20"/>
          <w:szCs w:val="20"/>
          <w:color w:val="auto"/>
        </w:rPr>
      </w:pPr>
      <w:r>
        <w:rPr>
          <w:rFonts w:ascii="Arial" w:cs="Arial" w:eastAsia="Arial" w:hAnsi="Arial"/>
          <w:sz w:val="18"/>
          <w:szCs w:val="18"/>
          <w:b w:val="1"/>
          <w:bCs w:val="1"/>
          <w:color w:val="auto"/>
        </w:rPr>
        <w:t>SIGNATURE</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960"/>
        <w:spacing w:after="0"/>
        <w:rPr>
          <w:sz w:val="20"/>
          <w:szCs w:val="20"/>
          <w:color w:val="auto"/>
        </w:rPr>
      </w:pPr>
      <w:r>
        <w:rPr>
          <w:rFonts w:ascii="Arial" w:cs="Arial" w:eastAsia="Arial" w:hAnsi="Arial"/>
          <w:sz w:val="18"/>
          <w:szCs w:val="18"/>
          <w:b w:val="1"/>
          <w:bCs w:val="1"/>
          <w:color w:val="auto"/>
        </w:rPr>
        <w:t>WYNN RESORTS, LIMITED</w:t>
      </w:r>
    </w:p>
    <w:p>
      <w:pPr>
        <w:spacing w:after="0" w:line="231" w:lineRule="exact"/>
        <w:rPr>
          <w:sz w:val="20"/>
          <w:szCs w:val="20"/>
          <w:color w:val="auto"/>
        </w:rPr>
      </w:pPr>
    </w:p>
    <w:p>
      <w:pPr>
        <w:spacing w:after="0"/>
        <w:tabs>
          <w:tab w:leader="none" w:pos="6020" w:val="left"/>
          <w:tab w:leader="none" w:pos="8000" w:val="left"/>
          <w:tab w:leader="none" w:pos="8340" w:val="left"/>
        </w:tabs>
        <w:rPr>
          <w:sz w:val="20"/>
          <w:szCs w:val="20"/>
          <w:color w:val="auto"/>
        </w:rPr>
      </w:pPr>
      <w:r>
        <w:rPr>
          <w:rFonts w:ascii="Arial" w:cs="Arial" w:eastAsia="Arial" w:hAnsi="Arial"/>
          <w:sz w:val="18"/>
          <w:szCs w:val="18"/>
          <w:color w:val="auto"/>
        </w:rPr>
        <w:t>Dated: May 7, 2010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tab/>
        <w:t>M</w:t>
      </w:r>
      <w:r>
        <w:rPr>
          <w:rFonts w:ascii="Arial" w:cs="Arial" w:eastAsia="Arial" w:hAnsi="Arial"/>
          <w:sz w:val="14"/>
          <w:szCs w:val="14"/>
          <w:color w:val="auto"/>
        </w:rPr>
        <w:t>ATT</w:t>
      </w:r>
      <w:r>
        <w:rPr>
          <w:rFonts w:ascii="Arial" w:cs="Arial" w:eastAsia="Arial" w:hAnsi="Arial"/>
          <w:sz w:val="18"/>
          <w:szCs w:val="18"/>
          <w:color w:val="auto"/>
        </w:rPr>
        <w:t xml:space="preserve"> M</w:t>
      </w:r>
      <w:r>
        <w:rPr>
          <w:rFonts w:ascii="Arial" w:cs="Arial" w:eastAsia="Arial" w:hAnsi="Arial"/>
          <w:sz w:val="14"/>
          <w:szCs w:val="14"/>
          <w:color w:val="auto"/>
        </w:rPr>
        <w:t>ADDOX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10795</wp:posOffset>
            </wp:positionV>
            <wp:extent cx="318135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12" w:lineRule="exact"/>
        <w:rPr>
          <w:sz w:val="20"/>
          <w:szCs w:val="20"/>
          <w:color w:val="auto"/>
        </w:rPr>
      </w:pPr>
    </w:p>
    <w:p>
      <w:pPr>
        <w:jc w:val="center"/>
        <w:ind w:left="6400"/>
        <w:spacing w:after="0"/>
        <w:rPr>
          <w:sz w:val="20"/>
          <w:szCs w:val="20"/>
          <w:color w:val="auto"/>
        </w:rPr>
      </w:pPr>
      <w:r>
        <w:rPr>
          <w:rFonts w:ascii="Arial" w:cs="Arial" w:eastAsia="Arial" w:hAnsi="Arial"/>
          <w:sz w:val="14"/>
          <w:szCs w:val="14"/>
          <w:b w:val="1"/>
          <w:bCs w:val="1"/>
          <w:color w:val="auto"/>
        </w:rPr>
        <w:t>Matt Maddox</w:t>
      </w:r>
    </w:p>
    <w:p>
      <w:pPr>
        <w:jc w:val="center"/>
        <w:ind w:left="6400"/>
        <w:spacing w:after="0" w:line="223" w:lineRule="auto"/>
        <w:rPr>
          <w:sz w:val="20"/>
          <w:szCs w:val="20"/>
          <w:color w:val="auto"/>
        </w:rPr>
      </w:pPr>
      <w:r>
        <w:rPr>
          <w:rFonts w:ascii="Arial" w:cs="Arial" w:eastAsia="Arial" w:hAnsi="Arial"/>
          <w:sz w:val="14"/>
          <w:szCs w:val="14"/>
          <w:b w:val="1"/>
          <w:bCs w:val="1"/>
          <w:color w:val="auto"/>
        </w:rPr>
        <w:t>Chief Financial Officer and Treasurer</w:t>
      </w:r>
    </w:p>
    <w:p>
      <w:pPr>
        <w:jc w:val="center"/>
        <w:ind w:left="6400"/>
        <w:spacing w:after="0"/>
        <w:rPr>
          <w:sz w:val="20"/>
          <w:szCs w:val="20"/>
          <w:color w:val="auto"/>
        </w:rPr>
      </w:pPr>
      <w:r>
        <w:rPr>
          <w:rFonts w:ascii="Arial" w:cs="Arial" w:eastAsia="Arial" w:hAnsi="Arial"/>
          <w:sz w:val="14"/>
          <w:szCs w:val="14"/>
          <w:b w:val="1"/>
          <w:bCs w:val="1"/>
          <w:color w:val="auto"/>
        </w:rPr>
        <w:t>(Principal Financial Officer)</w:t>
      </w:r>
    </w:p>
    <w:p>
      <w:pPr>
        <w:spacing w:after="0" w:line="12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0540"/>
          </w:cols>
          <w:pgMar w:left="240" w:top="459" w:right="111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10.5</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 OPTION AGREEMENT</w:t>
      </w:r>
    </w:p>
    <w:p>
      <w:pPr>
        <w:spacing w:after="0" w:line="171" w:lineRule="exact"/>
        <w:rPr>
          <w:sz w:val="20"/>
          <w:szCs w:val="20"/>
          <w:color w:val="auto"/>
        </w:rPr>
      </w:pPr>
    </w:p>
    <w:p>
      <w:pPr>
        <w:jc w:val="both"/>
        <w:ind w:right="200" w:firstLine="456"/>
        <w:spacing w:after="0" w:line="262" w:lineRule="auto"/>
        <w:rPr>
          <w:sz w:val="20"/>
          <w:szCs w:val="20"/>
          <w:color w:val="auto"/>
        </w:rPr>
      </w:pPr>
      <w:r>
        <w:rPr>
          <w:rFonts w:ascii="Arial" w:cs="Arial" w:eastAsia="Arial" w:hAnsi="Arial"/>
          <w:sz w:val="18"/>
          <w:szCs w:val="18"/>
          <w:color w:val="auto"/>
        </w:rPr>
        <w:t>THIS STOCK OPTION AGREEMENT (together with the attached grant notice (the “</w:t>
      </w:r>
      <w:r>
        <w:rPr>
          <w:rFonts w:ascii="Arial" w:cs="Arial" w:eastAsia="Arial" w:hAnsi="Arial"/>
          <w:sz w:val="18"/>
          <w:szCs w:val="18"/>
          <w:b w:val="1"/>
          <w:bCs w:val="1"/>
          <w:color w:val="auto"/>
        </w:rPr>
        <w:t>Grant Notice</w:t>
      </w:r>
      <w:r>
        <w:rPr>
          <w:rFonts w:ascii="Arial" w:cs="Arial" w:eastAsia="Arial" w:hAnsi="Arial"/>
          <w:sz w:val="18"/>
          <w:szCs w:val="18"/>
          <w:color w:val="auto"/>
        </w:rPr>
        <w:t>”), (the “</w:t>
      </w:r>
      <w:r>
        <w:rPr>
          <w:rFonts w:ascii="Arial" w:cs="Arial" w:eastAsia="Arial" w:hAnsi="Arial"/>
          <w:sz w:val="18"/>
          <w:szCs w:val="18"/>
          <w:b w:val="1"/>
          <w:bCs w:val="1"/>
          <w:color w:val="auto"/>
        </w:rPr>
        <w:t>Agreement</w:t>
      </w:r>
      <w:r>
        <w:rPr>
          <w:rFonts w:ascii="Arial" w:cs="Arial" w:eastAsia="Arial" w:hAnsi="Arial"/>
          <w:sz w:val="18"/>
          <w:szCs w:val="18"/>
          <w:color w:val="auto"/>
        </w:rPr>
        <w:t>”) is made and entered into as of the date set forth on the Grant Notice by and between Wynn Resorts, Limited, a Nevada corporation (the “</w:t>
      </w:r>
      <w:r>
        <w:rPr>
          <w:rFonts w:ascii="Arial" w:cs="Arial" w:eastAsia="Arial" w:hAnsi="Arial"/>
          <w:sz w:val="18"/>
          <w:szCs w:val="18"/>
          <w:b w:val="1"/>
          <w:bCs w:val="1"/>
          <w:color w:val="auto"/>
        </w:rPr>
        <w:t>Company</w:t>
      </w:r>
      <w:r>
        <w:rPr>
          <w:rFonts w:ascii="Arial" w:cs="Arial" w:eastAsia="Arial" w:hAnsi="Arial"/>
          <w:sz w:val="18"/>
          <w:szCs w:val="18"/>
          <w:color w:val="auto"/>
        </w:rPr>
        <w:t>”), and the individual (the “</w:t>
      </w:r>
      <w:r>
        <w:rPr>
          <w:rFonts w:ascii="Arial" w:cs="Arial" w:eastAsia="Arial" w:hAnsi="Arial"/>
          <w:sz w:val="18"/>
          <w:szCs w:val="18"/>
          <w:b w:val="1"/>
          <w:bCs w:val="1"/>
          <w:color w:val="auto"/>
        </w:rPr>
        <w:t>Optionee</w:t>
      </w:r>
      <w:r>
        <w:rPr>
          <w:rFonts w:ascii="Arial" w:cs="Arial" w:eastAsia="Arial" w:hAnsi="Arial"/>
          <w:sz w:val="18"/>
          <w:szCs w:val="18"/>
          <w:color w:val="auto"/>
        </w:rPr>
        <w:t>”) set forth on the Grant Notice.</w:t>
      </w:r>
    </w:p>
    <w:p>
      <w:pPr>
        <w:spacing w:after="0" w:line="132" w:lineRule="exact"/>
        <w:rPr>
          <w:sz w:val="20"/>
          <w:szCs w:val="20"/>
          <w:color w:val="auto"/>
        </w:rPr>
      </w:pPr>
    </w:p>
    <w:p>
      <w:pPr>
        <w:ind w:right="20" w:firstLine="456"/>
        <w:spacing w:after="0" w:line="258" w:lineRule="auto"/>
        <w:rPr>
          <w:sz w:val="20"/>
          <w:szCs w:val="20"/>
          <w:color w:val="auto"/>
        </w:rPr>
      </w:pPr>
      <w:r>
        <w:rPr>
          <w:rFonts w:ascii="Arial" w:cs="Arial" w:eastAsia="Arial" w:hAnsi="Arial"/>
          <w:sz w:val="18"/>
          <w:szCs w:val="18"/>
          <w:color w:val="auto"/>
        </w:rPr>
        <w:t>A. Pursuant to the Wynn Resorts, Limited 2002 Stock Incentive Plan (the “</w:t>
      </w:r>
      <w:r>
        <w:rPr>
          <w:rFonts w:ascii="Arial" w:cs="Arial" w:eastAsia="Arial" w:hAnsi="Arial"/>
          <w:sz w:val="18"/>
          <w:szCs w:val="18"/>
          <w:b w:val="1"/>
          <w:bCs w:val="1"/>
          <w:color w:val="auto"/>
        </w:rPr>
        <w:t>Plan</w:t>
      </w:r>
      <w:r>
        <w:rPr>
          <w:rFonts w:ascii="Arial" w:cs="Arial" w:eastAsia="Arial" w:hAnsi="Arial"/>
          <w:sz w:val="18"/>
          <w:szCs w:val="18"/>
          <w:color w:val="auto"/>
        </w:rPr>
        <w:t>”), the Administrator has determined that it is to the advantage and best interest of the Company to grant to Optionee an option (the “</w:t>
      </w:r>
      <w:r>
        <w:rPr>
          <w:rFonts w:ascii="Arial" w:cs="Arial" w:eastAsia="Arial" w:hAnsi="Arial"/>
          <w:sz w:val="18"/>
          <w:szCs w:val="18"/>
          <w:b w:val="1"/>
          <w:bCs w:val="1"/>
          <w:color w:val="auto"/>
        </w:rPr>
        <w:t>Option</w:t>
      </w:r>
      <w:r>
        <w:rPr>
          <w:rFonts w:ascii="Arial" w:cs="Arial" w:eastAsia="Arial" w:hAnsi="Arial"/>
          <w:sz w:val="18"/>
          <w:szCs w:val="18"/>
          <w:color w:val="auto"/>
        </w:rPr>
        <w:t>”) related to the number of shares of the Common Stock of the Company (the “</w:t>
      </w:r>
      <w:r>
        <w:rPr>
          <w:rFonts w:ascii="Arial" w:cs="Arial" w:eastAsia="Arial" w:hAnsi="Arial"/>
          <w:sz w:val="18"/>
          <w:szCs w:val="18"/>
          <w:b w:val="1"/>
          <w:bCs w:val="1"/>
          <w:color w:val="auto"/>
        </w:rPr>
        <w:t>Shares</w:t>
      </w:r>
      <w:r>
        <w:rPr>
          <w:rFonts w:ascii="Arial" w:cs="Arial" w:eastAsia="Arial" w:hAnsi="Arial"/>
          <w:sz w:val="18"/>
          <w:szCs w:val="18"/>
          <w:color w:val="auto"/>
        </w:rPr>
        <w:t>” or the “</w:t>
      </w:r>
      <w:r>
        <w:rPr>
          <w:rFonts w:ascii="Arial" w:cs="Arial" w:eastAsia="Arial" w:hAnsi="Arial"/>
          <w:sz w:val="18"/>
          <w:szCs w:val="18"/>
          <w:b w:val="1"/>
          <w:bCs w:val="1"/>
          <w:color w:val="auto"/>
        </w:rPr>
        <w:t>Option Shares</w:t>
      </w:r>
      <w:r>
        <w:rPr>
          <w:rFonts w:ascii="Arial" w:cs="Arial" w:eastAsia="Arial" w:hAnsi="Arial"/>
          <w:sz w:val="18"/>
          <w:szCs w:val="18"/>
          <w:color w:val="auto"/>
        </w:rPr>
        <w:t>”) set forth on the Grant Notice, at the exercise price determined as provided herein, and in all respects subject to the terms, definitions and provisions of the Plan, which is incorporated herein by reference.</w:t>
      </w:r>
    </w:p>
    <w:p>
      <w:pPr>
        <w:spacing w:after="0" w:line="14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 Unless otherwise defined herein, capitalized terms used in this Agreement shall have the meanings set forth in the Plan.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NOW, THEREFORE, in consideration of the mutual agreements contained herein, the Optionee and the Company hereby agree as follows:</w:t>
      </w:r>
    </w:p>
    <w:p>
      <w:pPr>
        <w:spacing w:after="0" w:line="194" w:lineRule="exact"/>
        <w:rPr>
          <w:sz w:val="20"/>
          <w:szCs w:val="20"/>
          <w:color w:val="auto"/>
        </w:rPr>
      </w:pPr>
    </w:p>
    <w:p>
      <w:pPr>
        <w:ind w:left="180" w:hanging="172"/>
        <w:spacing w:after="0"/>
        <w:tabs>
          <w:tab w:leader="none" w:pos="180"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Grant and Terms of Stock Option</w:t>
      </w:r>
      <w:r>
        <w:rPr>
          <w:rFonts w:ascii="Arial" w:cs="Arial" w:eastAsia="Arial" w:hAnsi="Arial"/>
          <w:sz w:val="18"/>
          <w:szCs w:val="18"/>
          <w:color w:val="auto"/>
        </w:rPr>
        <w:t>.</w:t>
      </w:r>
    </w:p>
    <w:p>
      <w:pPr>
        <w:spacing w:after="0" w:line="171"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 xml:space="preserve">1.1 </w:t>
      </w:r>
      <w:r>
        <w:rPr>
          <w:rFonts w:ascii="Arial" w:cs="Arial" w:eastAsia="Arial" w:hAnsi="Arial"/>
          <w:sz w:val="16"/>
          <w:szCs w:val="16"/>
          <w:u w:val="single" w:color="auto"/>
          <w:color w:val="auto"/>
        </w:rPr>
        <w:t>Grant of Option</w:t>
      </w:r>
      <w:r>
        <w:rPr>
          <w:rFonts w:ascii="Arial" w:cs="Arial" w:eastAsia="Arial" w:hAnsi="Arial"/>
          <w:sz w:val="16"/>
          <w:szCs w:val="16"/>
          <w:color w:val="auto"/>
        </w:rPr>
        <w:t>. Pursuant to the Grant Notice, the Company has granted to the Optionee the right and option to purchase, subject to the terms and conditions set forth in the Plan and this Agreement, all or any part of the number of Shares set forth on the Grant Notice at a purchase price per Share equal to the exercise price per Share set forth on the Grant Notice. If the Grant Notice indicates (under “Type of Option”) that this Option is an “ISO”, then this Option is intended by the Company and Optionee to be an Incentive Stock Option. However, if the Grant Notice indicates that this Option is a “NQSO”, then this Option is not intended to be an Incentive Stock Option and is instead intended to be a Nonqualified Stock Option.</w:t>
      </w:r>
    </w:p>
    <w:p>
      <w:pPr>
        <w:spacing w:after="0" w:line="116" w:lineRule="exact"/>
        <w:rPr>
          <w:sz w:val="20"/>
          <w:szCs w:val="20"/>
          <w:color w:val="auto"/>
        </w:rPr>
      </w:pPr>
    </w:p>
    <w:p>
      <w:pPr>
        <w:ind w:right="160" w:firstLine="456"/>
        <w:spacing w:after="0" w:line="290" w:lineRule="auto"/>
        <w:rPr>
          <w:sz w:val="20"/>
          <w:szCs w:val="20"/>
          <w:color w:val="auto"/>
        </w:rPr>
      </w:pPr>
      <w:r>
        <w:rPr>
          <w:rFonts w:ascii="Arial" w:cs="Arial" w:eastAsia="Arial" w:hAnsi="Arial"/>
          <w:sz w:val="16"/>
          <w:szCs w:val="16"/>
          <w:color w:val="auto"/>
        </w:rPr>
        <w:t xml:space="preserve">1.2 </w:t>
      </w:r>
      <w:r>
        <w:rPr>
          <w:rFonts w:ascii="Arial" w:cs="Arial" w:eastAsia="Arial" w:hAnsi="Arial"/>
          <w:sz w:val="16"/>
          <w:szCs w:val="16"/>
          <w:u w:val="single" w:color="auto"/>
          <w:color w:val="auto"/>
        </w:rPr>
        <w:t>Vesting and Exercisability</w:t>
      </w:r>
      <w:r>
        <w:rPr>
          <w:rFonts w:ascii="Arial" w:cs="Arial" w:eastAsia="Arial" w:hAnsi="Arial"/>
          <w:sz w:val="16"/>
          <w:szCs w:val="16"/>
          <w:color w:val="auto"/>
        </w:rPr>
        <w:t>. Subject to the provisions of the Plan and the other provisions of this Agreement, this Option shall vest and become exercisable in accordance with the vesting schedule set forth in the Grant Notice. Notwithstanding the foregoing, in the event of termination of Optionee’s Continuous Status as an Employee, Director or Consultant for any reason, other than Optionee’s death or Disability or Optionee’s termination by the Company without Cause, this Option shall immediately cease vesting. In the event of termination of Optionee’s Continuous Status as an Employee, Director or Consultant as a result of Optionee’s death or Disability, this option shall immediately vest in full. In the event of a termination of Optionee’s Continuous Status as an Employee, Director or Consultant by the Company for any reason other than Cause or the Optionee’s death or Disability, a pro-rata portion of the Option Shares shall be deemed vested as of immediately prior to such termination, determined based upon a fraction, the</w:t>
      </w:r>
    </w:p>
    <w:p>
      <w:pPr>
        <w:sectPr>
          <w:pgSz w:w="11900" w:h="16838" w:orient="portrait"/>
          <w:cols w:equalWidth="0" w:num="1">
            <w:col w:w="11420"/>
          </w:cols>
          <w:pgMar w:left="240" w:top="125" w:right="239" w:bottom="1440" w:gutter="0" w:footer="0" w:header="0"/>
        </w:sectPr>
      </w:pPr>
    </w:p>
    <w:bookmarkStart w:id="36" w:name="page37"/>
    <w:bookmarkEnd w:id="36"/>
    <w:p>
      <w:pPr>
        <w:ind w:right="20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numerator of which shall be the number of whole months between the grant date (as set forth in the Grant Notice) and the date of termination of Optionee’s Continuous Status as an Employee, Director or Consultant, and the denominator of which shall be the number of whole months between the grant date and the vesting date each as set forth in the Grant Notice. In the event of a Change of Control (as defined below), this Option shall immediately vest in full.</w:t>
      </w:r>
    </w:p>
    <w:p>
      <w:pPr>
        <w:spacing w:after="0" w:line="10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the purposes of this Option, “</w:t>
      </w:r>
      <w:r>
        <w:rPr>
          <w:rFonts w:ascii="Arial" w:cs="Arial" w:eastAsia="Arial" w:hAnsi="Arial"/>
          <w:sz w:val="18"/>
          <w:szCs w:val="18"/>
          <w:b w:val="1"/>
          <w:bCs w:val="1"/>
          <w:color w:val="auto"/>
        </w:rPr>
        <w:t>Change of Control</w:t>
      </w:r>
      <w:r>
        <w:rPr>
          <w:rFonts w:ascii="Arial" w:cs="Arial" w:eastAsia="Arial" w:hAnsi="Arial"/>
          <w:sz w:val="18"/>
          <w:szCs w:val="18"/>
          <w:color w:val="auto"/>
        </w:rPr>
        <w:t>” shall mean the occurrence of any one of the following events:</w:t>
      </w:r>
    </w:p>
    <w:p>
      <w:pPr>
        <w:spacing w:after="0" w:line="177" w:lineRule="exact"/>
        <w:rPr>
          <w:sz w:val="20"/>
          <w:szCs w:val="20"/>
          <w:color w:val="auto"/>
        </w:rPr>
      </w:pPr>
    </w:p>
    <w:p>
      <w:pPr>
        <w:ind w:right="160" w:firstLine="464"/>
        <w:spacing w:after="0" w:line="332" w:lineRule="auto"/>
        <w:tabs>
          <w:tab w:leader="none" w:pos="666"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direct or indirect acquisition by an unrelated “Person” or “Group” of “Beneficial Ownership” (as such terms are defined below) of more than fifty percent (50%) of the voting power of the Company’s issued and outstanding voting securities in a single transaction or a series of related transactions;</w:t>
      </w:r>
    </w:p>
    <w:p>
      <w:pPr>
        <w:spacing w:after="0" w:line="85" w:lineRule="exact"/>
        <w:rPr>
          <w:rFonts w:ascii="Arial" w:cs="Arial" w:eastAsia="Arial" w:hAnsi="Arial"/>
          <w:sz w:val="16"/>
          <w:szCs w:val="16"/>
          <w:color w:val="auto"/>
        </w:rPr>
      </w:pPr>
    </w:p>
    <w:p>
      <w:pPr>
        <w:ind w:right="20" w:firstLine="464"/>
        <w:spacing w:after="0" w:line="268" w:lineRule="auto"/>
        <w:tabs>
          <w:tab w:leader="none" w:pos="715"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direct or indirect sale or transfer by the Company of substantially all of its assets to one or more unrelated Persons or Groups in a single transaction or a series of related transactions;</w:t>
      </w:r>
    </w:p>
    <w:p>
      <w:pPr>
        <w:spacing w:after="0" w:line="131" w:lineRule="exact"/>
        <w:rPr>
          <w:rFonts w:ascii="Arial" w:cs="Arial" w:eastAsia="Arial" w:hAnsi="Arial"/>
          <w:sz w:val="18"/>
          <w:szCs w:val="18"/>
          <w:color w:val="auto"/>
        </w:rPr>
      </w:pPr>
    </w:p>
    <w:p>
      <w:pPr>
        <w:ind w:right="100" w:firstLine="464"/>
        <w:spacing w:after="0" w:line="256" w:lineRule="auto"/>
        <w:tabs>
          <w:tab w:leader="none" w:pos="764"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merger, consolidation or reorganization of the Company with or into another corporation or other entity in which the Beneficial Owners of more than fifty percent (50%) of the voting power of the Company’s issued and outstanding voting securities immediately before such merger or consolidation do not own more than fifty percent (50%) of the voting power of the issued and outstanding voting securities of the surviving corporation or other entity immediately after such merger, consolidation or reorganization; or</w:t>
      </w:r>
    </w:p>
    <w:p>
      <w:pPr>
        <w:spacing w:after="0" w:line="137" w:lineRule="exact"/>
        <w:rPr>
          <w:rFonts w:ascii="Arial" w:cs="Arial" w:eastAsia="Arial" w:hAnsi="Arial"/>
          <w:sz w:val="18"/>
          <w:szCs w:val="18"/>
          <w:color w:val="auto"/>
        </w:rPr>
      </w:pPr>
    </w:p>
    <w:p>
      <w:pPr>
        <w:jc w:val="both"/>
        <w:ind w:right="160" w:firstLine="464"/>
        <w:spacing w:after="0" w:line="310" w:lineRule="auto"/>
        <w:tabs>
          <w:tab w:leader="none" w:pos="754" w:val="left"/>
        </w:tabs>
        <w:numPr>
          <w:ilvl w:val="0"/>
          <w:numId w:val="20"/>
        </w:numPr>
        <w:rPr>
          <w:rFonts w:ascii="Arial" w:cs="Arial" w:eastAsia="Arial" w:hAnsi="Arial"/>
          <w:sz w:val="16"/>
          <w:szCs w:val="16"/>
          <w:color w:val="auto"/>
        </w:rPr>
      </w:pPr>
      <w:r>
        <w:rPr>
          <w:rFonts w:ascii="Arial" w:cs="Arial" w:eastAsia="Arial" w:hAnsi="Arial"/>
          <w:sz w:val="16"/>
          <w:szCs w:val="16"/>
          <w:color w:val="auto"/>
        </w:rPr>
        <w:t>more than fifty percent (50%) of the members of the Company’s Board of Directors (the “</w:t>
      </w:r>
      <w:r>
        <w:rPr>
          <w:rFonts w:ascii="Arial" w:cs="Arial" w:eastAsia="Arial" w:hAnsi="Arial"/>
          <w:sz w:val="16"/>
          <w:szCs w:val="16"/>
          <w:b w:val="1"/>
          <w:bCs w:val="1"/>
          <w:color w:val="auto"/>
        </w:rPr>
        <w:t>Board</w:t>
      </w:r>
      <w:r>
        <w:rPr>
          <w:rFonts w:ascii="Arial" w:cs="Arial" w:eastAsia="Arial" w:hAnsi="Arial"/>
          <w:sz w:val="16"/>
          <w:szCs w:val="16"/>
          <w:color w:val="auto"/>
        </w:rPr>
        <w:t>”) are individuals who were neither members of the Board immediately following the closing of the Company’s initial public offering nor individuals whose election (or nomination for election) to the Board was approved by a vote of at least fifty percent (50%) of the members of the Board immediately before such election or nomination (“</w:t>
      </w:r>
      <w:r>
        <w:rPr>
          <w:rFonts w:ascii="Arial" w:cs="Arial" w:eastAsia="Arial" w:hAnsi="Arial"/>
          <w:sz w:val="16"/>
          <w:szCs w:val="16"/>
          <w:b w:val="1"/>
          <w:bCs w:val="1"/>
          <w:color w:val="auto"/>
        </w:rPr>
        <w:t>Approved Directors</w:t>
      </w:r>
      <w:r>
        <w:rPr>
          <w:rFonts w:ascii="Arial" w:cs="Arial" w:eastAsia="Arial" w:hAnsi="Arial"/>
          <w:sz w:val="16"/>
          <w:szCs w:val="16"/>
          <w:color w:val="auto"/>
        </w:rPr>
        <w:t>”).</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For purposes of determining whether a Change of Control has occurred, the following Persons and Groups shall not be deemed to be “unrelated”:</w:t>
      </w:r>
    </w:p>
    <w:p>
      <w:pPr>
        <w:spacing w:after="0" w:line="38" w:lineRule="exact"/>
        <w:rPr>
          <w:sz w:val="20"/>
          <w:szCs w:val="20"/>
          <w:color w:val="auto"/>
        </w:rPr>
      </w:pPr>
    </w:p>
    <w:p>
      <w:pPr>
        <w:ind w:firstLine="8"/>
        <w:spacing w:after="0" w:line="287" w:lineRule="auto"/>
        <w:tabs>
          <w:tab w:leader="none" w:pos="210" w:val="left"/>
        </w:tabs>
        <w:numPr>
          <w:ilvl w:val="0"/>
          <w:numId w:val="21"/>
        </w:numPr>
        <w:rPr>
          <w:rFonts w:ascii="Arial" w:cs="Arial" w:eastAsia="Arial" w:hAnsi="Arial"/>
          <w:sz w:val="16"/>
          <w:szCs w:val="16"/>
          <w:color w:val="auto"/>
        </w:rPr>
      </w:pPr>
      <w:r>
        <w:rPr>
          <w:rFonts w:ascii="Arial" w:cs="Arial" w:eastAsia="Arial" w:hAnsi="Arial"/>
          <w:sz w:val="16"/>
          <w:szCs w:val="16"/>
          <w:color w:val="auto"/>
        </w:rPr>
        <w:t>Stephen A. Wynn, the spouse, siblings, children, grandchildren or great grandchildren of Stephen A. Wynn, any trust primarily for the benefit of the foregoing persons, or any affiliate of any of the foregoing persons, (B) any Person or Group directly or indirectly having Beneficial Ownership of more than fifty percent (50%) of the issued and outstanding voting power of Company’s voting securities immediately before the transaction in question, (C) any Person or Group of which the Company has Beneficial Ownership of more than fifty percent (50%) of the voting power of the issued and outstanding voting securities immediately before the transaction in question, and (D) any Person or Group of which more than fifty percent (50%) of the voting power of the issued and outstanding voting securities are owned, directly or indirectly, by Beneficial Owners of more than fifty percent (50%) of the issued and outstanding voting power of the Company’s voting securities immediately before the transaction in question. The terms “</w:t>
      </w:r>
      <w:r>
        <w:rPr>
          <w:rFonts w:ascii="Arial" w:cs="Arial" w:eastAsia="Arial" w:hAnsi="Arial"/>
          <w:sz w:val="16"/>
          <w:szCs w:val="16"/>
          <w:b w:val="1"/>
          <w:bCs w:val="1"/>
          <w:color w:val="auto"/>
        </w:rPr>
        <w:t>Person</w:t>
      </w:r>
      <w:r>
        <w:rPr>
          <w:rFonts w:ascii="Arial" w:cs="Arial" w:eastAsia="Arial" w:hAnsi="Arial"/>
          <w:sz w:val="16"/>
          <w:szCs w:val="16"/>
          <w:color w:val="auto"/>
        </w:rPr>
        <w:t>,” “</w:t>
      </w:r>
      <w:r>
        <w:rPr>
          <w:rFonts w:ascii="Arial" w:cs="Arial" w:eastAsia="Arial" w:hAnsi="Arial"/>
          <w:sz w:val="16"/>
          <w:szCs w:val="16"/>
          <w:b w:val="1"/>
          <w:bCs w:val="1"/>
          <w:color w:val="auto"/>
        </w:rPr>
        <w:t>Group</w:t>
      </w:r>
      <w:r>
        <w:rPr>
          <w:rFonts w:ascii="Arial" w:cs="Arial" w:eastAsia="Arial" w:hAnsi="Arial"/>
          <w:sz w:val="16"/>
          <w:szCs w:val="16"/>
          <w:color w:val="auto"/>
        </w:rPr>
        <w:t>,” “</w:t>
      </w:r>
      <w:r>
        <w:rPr>
          <w:rFonts w:ascii="Arial" w:cs="Arial" w:eastAsia="Arial" w:hAnsi="Arial"/>
          <w:sz w:val="16"/>
          <w:szCs w:val="16"/>
          <w:b w:val="1"/>
          <w:bCs w:val="1"/>
          <w:color w:val="auto"/>
        </w:rPr>
        <w:t>Beneficial Owner</w:t>
      </w:r>
      <w:r>
        <w:rPr>
          <w:rFonts w:ascii="Arial" w:cs="Arial" w:eastAsia="Arial" w:hAnsi="Arial"/>
          <w:sz w:val="16"/>
          <w:szCs w:val="16"/>
          <w:color w:val="auto"/>
        </w:rPr>
        <w:t>,” and “</w:t>
      </w:r>
      <w:r>
        <w:rPr>
          <w:rFonts w:ascii="Arial" w:cs="Arial" w:eastAsia="Arial" w:hAnsi="Arial"/>
          <w:sz w:val="16"/>
          <w:szCs w:val="16"/>
          <w:b w:val="1"/>
          <w:bCs w:val="1"/>
          <w:color w:val="auto"/>
        </w:rPr>
        <w:t>Beneficial Ownership</w:t>
      </w:r>
      <w:r>
        <w:rPr>
          <w:rFonts w:ascii="Arial" w:cs="Arial" w:eastAsia="Arial" w:hAnsi="Arial"/>
          <w:sz w:val="16"/>
          <w:szCs w:val="16"/>
          <w:color w:val="auto"/>
        </w:rPr>
        <w:t>” shall have the meanings used in the Securities Exchange Act of</w:t>
      </w:r>
    </w:p>
    <w:p>
      <w:pPr>
        <w:sectPr>
          <w:pgSz w:w="11900" w:h="16838" w:orient="portrait"/>
          <w:cols w:equalWidth="0" w:num="1">
            <w:col w:w="11340"/>
          </w:cols>
          <w:pgMar w:left="240" w:top="280" w:right="319" w:bottom="1440" w:gutter="0" w:footer="0" w:header="0"/>
        </w:sectPr>
      </w:pPr>
    </w:p>
    <w:bookmarkStart w:id="37" w:name="page38"/>
    <w:bookmarkEnd w:id="37"/>
    <w:p>
      <w:pPr>
        <w:ind w:right="4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1934 and the rules and regulations promulgated thereunder (the “</w:t>
      </w:r>
      <w:r>
        <w:rPr>
          <w:rFonts w:ascii="Arial" w:cs="Arial" w:eastAsia="Arial" w:hAnsi="Arial"/>
          <w:sz w:val="16"/>
          <w:szCs w:val="16"/>
          <w:b w:val="1"/>
          <w:bCs w:val="1"/>
          <w:color w:val="auto"/>
        </w:rPr>
        <w:t>Exchange Act</w:t>
      </w:r>
      <w:r>
        <w:rPr>
          <w:rFonts w:ascii="Arial" w:cs="Arial" w:eastAsia="Arial" w:hAnsi="Arial"/>
          <w:sz w:val="16"/>
          <w:szCs w:val="16"/>
          <w:color w:val="auto"/>
        </w:rPr>
        <w:t>”). Notwithstanding the foregoing, an individual shall not be deemed to be an Approved Director if such individual became a member of the Board as a result of either an actual or threatened “</w:t>
      </w:r>
      <w:r>
        <w:rPr>
          <w:rFonts w:ascii="Arial" w:cs="Arial" w:eastAsia="Arial" w:hAnsi="Arial"/>
          <w:sz w:val="16"/>
          <w:szCs w:val="16"/>
          <w:b w:val="1"/>
          <w:bCs w:val="1"/>
          <w:color w:val="auto"/>
        </w:rPr>
        <w:t>Election Contest</w:t>
      </w:r>
      <w:r>
        <w:rPr>
          <w:rFonts w:ascii="Arial" w:cs="Arial" w:eastAsia="Arial" w:hAnsi="Arial"/>
          <w:sz w:val="16"/>
          <w:szCs w:val="16"/>
          <w:color w:val="auto"/>
        </w:rPr>
        <w:t>” (as described in Rule 14a-11 promulgated under the Exchange Act) or other actual or threatened solicitation of proxies by or on behalf of anyone other than the Board (a “</w:t>
      </w:r>
      <w:r>
        <w:rPr>
          <w:rFonts w:ascii="Arial" w:cs="Arial" w:eastAsia="Arial" w:hAnsi="Arial"/>
          <w:sz w:val="16"/>
          <w:szCs w:val="16"/>
          <w:b w:val="1"/>
          <w:bCs w:val="1"/>
          <w:color w:val="auto"/>
        </w:rPr>
        <w:t>Proxy Contest</w:t>
      </w:r>
      <w:r>
        <w:rPr>
          <w:rFonts w:ascii="Arial" w:cs="Arial" w:eastAsia="Arial" w:hAnsi="Arial"/>
          <w:sz w:val="16"/>
          <w:szCs w:val="16"/>
          <w:color w:val="auto"/>
        </w:rPr>
        <w:t>”), or as a result of an agreement to avoid or settle an Election Contest or Proxy Contest.</w:t>
      </w:r>
    </w:p>
    <w:p>
      <w:pPr>
        <w:spacing w:after="0" w:line="109"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 xml:space="preserve">1.3 </w:t>
      </w:r>
      <w:r>
        <w:rPr>
          <w:rFonts w:ascii="Arial" w:cs="Arial" w:eastAsia="Arial" w:hAnsi="Arial"/>
          <w:sz w:val="16"/>
          <w:szCs w:val="16"/>
          <w:u w:val="single" w:color="auto"/>
          <w:color w:val="auto"/>
        </w:rPr>
        <w:t>Term of Option</w:t>
      </w:r>
      <w:r>
        <w:rPr>
          <w:rFonts w:ascii="Arial" w:cs="Arial" w:eastAsia="Arial" w:hAnsi="Arial"/>
          <w:sz w:val="16"/>
          <w:szCs w:val="16"/>
          <w:color w:val="auto"/>
        </w:rPr>
        <w:t>. No portion of this Option may be exercised more than ten years from the date of this Agreement. In the event of termination of Optionee’s Continuous Status as an Employee, Director or Consultant for any reason, the portion of this Option that is not vested and exercisable as of the date of termination (after taking into account any vesting acceleration provided for in Section 1.2 above) shall be immediately cancelled and terminated. In addition, the portion of this Option that is vested and exercisable as of the date of termination of Optionee’s Continuous Status as an Employee, Director or Consultant shall terminate and be cancelled on the earlier of (i) the expiration of the ten year period set forth in the first sentence of this Section 1.3, or (ii) 90 days after termination of Optionee’s Continuous Status as an Employee, Director or Consultant (or 12 months in the case of termination as a result of Optionee’s Disability or death); provided, however, if Optionee’s Continuous Status as an Employee, Director or Consultant is terminated for Cause, this entire Option shall be cancelled and terminated as of the date of such termination and shall no longer be exercisable as to any Shares, whether or not previously vested.</w:t>
      </w:r>
    </w:p>
    <w:p>
      <w:pPr>
        <w:spacing w:after="0" w:line="118" w:lineRule="exact"/>
        <w:rPr>
          <w:sz w:val="20"/>
          <w:szCs w:val="20"/>
          <w:color w:val="auto"/>
        </w:rPr>
      </w:pPr>
    </w:p>
    <w:p>
      <w:pPr>
        <w:ind w:left="180" w:hanging="172"/>
        <w:spacing w:after="0"/>
        <w:tabs>
          <w:tab w:leader="none" w:pos="180"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Method of Exercise</w:t>
      </w:r>
      <w:r>
        <w:rPr>
          <w:rFonts w:ascii="Arial" w:cs="Arial" w:eastAsia="Arial" w:hAnsi="Arial"/>
          <w:sz w:val="18"/>
          <w:szCs w:val="18"/>
          <w:color w:val="auto"/>
        </w:rPr>
        <w:t>.</w:t>
      </w:r>
    </w:p>
    <w:p>
      <w:pPr>
        <w:spacing w:after="0" w:line="171"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 xml:space="preserve">2.1 </w:t>
      </w:r>
      <w:r>
        <w:rPr>
          <w:rFonts w:ascii="Arial" w:cs="Arial" w:eastAsia="Arial" w:hAnsi="Arial"/>
          <w:sz w:val="16"/>
          <w:szCs w:val="16"/>
          <w:u w:val="single" w:color="auto"/>
          <w:color w:val="auto"/>
        </w:rPr>
        <w:t>Delivery of Notice of Exercise</w:t>
      </w:r>
      <w:r>
        <w:rPr>
          <w:rFonts w:ascii="Arial" w:cs="Arial" w:eastAsia="Arial" w:hAnsi="Arial"/>
          <w:sz w:val="16"/>
          <w:szCs w:val="16"/>
          <w:color w:val="auto"/>
        </w:rPr>
        <w:t>. This Option shall be exercisable by written notice in the form attached hereto as Exhibit A which shall state the election to exercise this Option, the number of Shares in respect of which this Option is being exercised, and such other representations and agreements with respect to such Shares as may be required by the Company pursuant to the provisions of this Agreement and the Plan. Such written notice shall be signed by Optionee (or by Optionee’s beneficiary or other person entitled to exercise this Option in the event of Optionee’s death or Disability under the Plan) and shall be delivered in person or by certified mail to the Secretary of the Company. The written notice shall be accompanied by payment of the exercise price. This Option shall not be deemed exercised until the Company receives such written notice accompanied by the exercise price and any other applicable terms and conditions of this Agreement are satisfied. This Option may not be exercised for a fraction of a Share.</w:t>
      </w:r>
    </w:p>
    <w:p>
      <w:pPr>
        <w:spacing w:after="0" w:line="11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Settlement of Options</w:t>
      </w:r>
      <w:r>
        <w:rPr>
          <w:rFonts w:ascii="Arial" w:cs="Arial" w:eastAsia="Arial" w:hAnsi="Arial"/>
          <w:sz w:val="18"/>
          <w:szCs w:val="18"/>
          <w:color w:val="auto"/>
        </w:rPr>
        <w:t xml:space="preserve">. Subject to any applicable terms and conditions of this Agreement, Options will be settled either by the delivery of Shares or cash in lieu thereof to Optionee or, in the event of Optionee’s death, to Optionee’s estate, heir or beneficiary, upon receipt of a written notice satisfying the provisions of Section 2.1 above; provided that Optionee shall have satisfied all of the tax withholding obligations described in </w:t>
      </w:r>
      <w:r>
        <w:rPr>
          <w:rFonts w:ascii="Arial" w:cs="Arial" w:eastAsia="Arial" w:hAnsi="Arial"/>
          <w:sz w:val="18"/>
          <w:szCs w:val="18"/>
          <w:u w:val="single" w:color="auto"/>
          <w:color w:val="auto"/>
        </w:rPr>
        <w:t>Section 2.4 below</w:t>
      </w:r>
      <w:r>
        <w:rPr>
          <w:rFonts w:ascii="Arial" w:cs="Arial" w:eastAsia="Arial" w:hAnsi="Arial"/>
          <w:sz w:val="18"/>
          <w:szCs w:val="18"/>
          <w:color w:val="auto"/>
        </w:rPr>
        <w:t>, and provided that Optionee has completed, signed and returned any documents and taken any additional action that the Company deems appropriate to enable it to accomplish the delivery of the Shares or cash in lieu thereof.</w:t>
      </w:r>
    </w:p>
    <w:p>
      <w:pPr>
        <w:sectPr>
          <w:pgSz w:w="11900" w:h="16838" w:orient="portrait"/>
          <w:cols w:equalWidth="0" w:num="1">
            <w:col w:w="11400"/>
          </w:cols>
          <w:pgMar w:left="240" w:top="274" w:right="259" w:bottom="1440" w:gutter="0" w:footer="0" w:header="0"/>
        </w:sectPr>
      </w:pPr>
    </w:p>
    <w:bookmarkStart w:id="38" w:name="page39"/>
    <w:bookmarkEnd w:id="38"/>
    <w:p>
      <w:pPr>
        <w:ind w:right="60" w:firstLine="456"/>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2.3 </w:t>
      </w:r>
      <w:r>
        <w:rPr>
          <w:rFonts w:ascii="Arial" w:cs="Arial" w:eastAsia="Arial" w:hAnsi="Arial"/>
          <w:sz w:val="16"/>
          <w:szCs w:val="16"/>
          <w:u w:val="single" w:color="auto"/>
          <w:color w:val="auto"/>
        </w:rPr>
        <w:t>Restrictions on Exercise</w:t>
      </w:r>
      <w:r>
        <w:rPr>
          <w:rFonts w:ascii="Arial" w:cs="Arial" w:eastAsia="Arial" w:hAnsi="Arial"/>
          <w:sz w:val="16"/>
          <w:szCs w:val="16"/>
          <w:color w:val="auto"/>
        </w:rPr>
        <w:t>. No Shares will be issued pursuant to the exercise of this Option unless and until there shall have been full compliance with all applicable requirements of the Securities Act of 1933, as amended, and the rules promulgated thereunder (the “</w:t>
      </w:r>
      <w:r>
        <w:rPr>
          <w:rFonts w:ascii="Arial" w:cs="Arial" w:eastAsia="Arial" w:hAnsi="Arial"/>
          <w:sz w:val="16"/>
          <w:szCs w:val="16"/>
          <w:b w:val="1"/>
          <w:bCs w:val="1"/>
          <w:color w:val="auto"/>
        </w:rPr>
        <w:t>Securities Act</w:t>
      </w:r>
      <w:r>
        <w:rPr>
          <w:rFonts w:ascii="Arial" w:cs="Arial" w:eastAsia="Arial" w:hAnsi="Arial"/>
          <w:sz w:val="16"/>
          <w:szCs w:val="16"/>
          <w:color w:val="auto"/>
        </w:rPr>
        <w:t>”), whether by registration or satisfaction of exemption conditions, all Applicable Laws, and all applicable listing requirements of any national securities exchange or other market system on which the Common Stock is then listed. As a condition to the exercise of this Option, the Company may require Optionee to make any representation and warranty to the Company as may be necessary or appropriate, in the judgment of the Administrator, to comply with any Applicable Law.</w:t>
      </w:r>
    </w:p>
    <w:p>
      <w:pPr>
        <w:spacing w:after="0" w:line="116"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 xml:space="preserve">2.4 </w:t>
      </w:r>
      <w:r>
        <w:rPr>
          <w:rFonts w:ascii="Arial" w:cs="Arial" w:eastAsia="Arial" w:hAnsi="Arial"/>
          <w:sz w:val="16"/>
          <w:szCs w:val="16"/>
          <w:u w:val="single" w:color="auto"/>
          <w:color w:val="auto"/>
        </w:rPr>
        <w:t>Method of Payment</w:t>
      </w:r>
      <w:r>
        <w:rPr>
          <w:rFonts w:ascii="Arial" w:cs="Arial" w:eastAsia="Arial" w:hAnsi="Arial"/>
          <w:sz w:val="16"/>
          <w:szCs w:val="16"/>
          <w:color w:val="auto"/>
        </w:rPr>
        <w:t>. Unless the Administrator permits or requires the Optionee to pay the exercise price in such other form(s) of consideration as the Administrator in its discretion shall specify pursuant to the Plan, the exercise price shall be paid by the Company withholding from the Shares otherwise issuable to the Optionee upon the exercise of this Option (or portion thereof) the whole number of Shares (rounded up) having a Fair Market Value on the date of exercise sufficient to satisfy the exercise price. If the withheld Shares are not sufficient to pay the exercise price, the Optionee shall pay to the Company on the date of exercise any amount of the exercise price that is not satisfied by the withholding of Shares described above, and if the withheld Shares are more than sufficient to satisfy the exercise price the Company shall make such arrangement as it determines appropriate to credit such amount for the Optionee’s benefit. In addition, the Administrator may impose such other conditions in connection with the delivery of shares of Common Stock in satisfaction of the exercise price as it deems appropriate in its sole discretion, including without limitation a requirement that the shares of Common Stock delivered have been held by the Optionee for a specified period of time.</w:t>
      </w:r>
    </w:p>
    <w:p>
      <w:pPr>
        <w:spacing w:after="0" w:line="120"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 xml:space="preserve">2.5 </w:t>
      </w:r>
      <w:r>
        <w:rPr>
          <w:rFonts w:ascii="Arial" w:cs="Arial" w:eastAsia="Arial" w:hAnsi="Arial"/>
          <w:sz w:val="18"/>
          <w:szCs w:val="18"/>
          <w:u w:val="single" w:color="auto"/>
          <w:color w:val="auto"/>
        </w:rPr>
        <w:t>Notice of Disqualifying Disposition of Incentive Stock Option</w:t>
      </w:r>
      <w:r>
        <w:rPr>
          <w:rFonts w:ascii="Arial" w:cs="Arial" w:eastAsia="Arial" w:hAnsi="Arial"/>
          <w:sz w:val="18"/>
          <w:szCs w:val="18"/>
          <w:color w:val="auto"/>
        </w:rPr>
        <w:t>. If this Option is an Incentive Stock Option and the Optionee sells or otherwise disposes of any of the Shares acquired upon exercise of this Option on or before the later of (i) two years after the date of grant, or (ii) one year after the date such Shares were acquired, the Optionee shall immediately notify the Company in writing of such disposition.</w:t>
      </w:r>
    </w:p>
    <w:p>
      <w:pPr>
        <w:spacing w:after="0" w:line="140" w:lineRule="exact"/>
        <w:rPr>
          <w:sz w:val="20"/>
          <w:szCs w:val="20"/>
          <w:color w:val="auto"/>
        </w:rPr>
      </w:pPr>
    </w:p>
    <w:p>
      <w:pPr>
        <w:ind w:firstLine="8"/>
        <w:spacing w:after="0" w:line="287" w:lineRule="auto"/>
        <w:tabs>
          <w:tab w:leader="none" w:pos="176" w:val="left"/>
        </w:tabs>
        <w:numPr>
          <w:ilvl w:val="0"/>
          <w:numId w:val="23"/>
        </w:numPr>
        <w:rPr>
          <w:rFonts w:ascii="Arial" w:cs="Arial" w:eastAsia="Arial" w:hAnsi="Arial"/>
          <w:sz w:val="16"/>
          <w:szCs w:val="16"/>
          <w:color w:val="auto"/>
        </w:rPr>
      </w:pPr>
      <w:r>
        <w:rPr>
          <w:rFonts w:ascii="Arial" w:cs="Arial" w:eastAsia="Arial" w:hAnsi="Arial"/>
          <w:sz w:val="16"/>
          <w:szCs w:val="16"/>
          <w:u w:val="single" w:color="auto"/>
          <w:color w:val="auto"/>
        </w:rPr>
        <w:t>Non-Transferability of Option</w:t>
      </w:r>
      <w:r>
        <w:rPr>
          <w:rFonts w:ascii="Arial" w:cs="Arial" w:eastAsia="Arial" w:hAnsi="Arial"/>
          <w:sz w:val="16"/>
          <w:szCs w:val="16"/>
          <w:color w:val="auto"/>
        </w:rPr>
        <w:t>. This Option may not be transferred in any manner otherwise than by will or by the laws of descent or distribution or to a beneficiary designated pursuant to the Plan, and may be exercised during the lifetime of Optionee only by Optionee, or, in the event of Optionee’s Disability, on his behalf by his legal representative. Subject to all of the other terms and conditions of this Agreement, following the death of Optionee, this Option may be exercised in full by Optionee’s beneficiary or other person entitled to exercise this Option in the event of Optionee’s death under the Plan. Notwithstanding the first sentence of this Section 3, if this Option is a Nonqualified Stock Option, (i) this Option may be assigned pursuant to a qualified domestic relations order as defined by the Code, and exercised by the spouse of the Optionee who obtained such Option pursuant to such qualified domestic relations order, and (ii) this Option may be assigned, in connection with the Optionee’s estate plan, in whole or in part, during the Optionee’s lifetime to one or more members of the Optionee’s immediate family or to a trust established exclusively for one or more of such immediate family members. Rights under the assigned portion may be exercised by the person or persons who acquire a proprietary interest in such Option pursuant to the assignment. The terms applicable to the assigned portion shall be the</w:t>
      </w:r>
    </w:p>
    <w:p>
      <w:pPr>
        <w:sectPr>
          <w:pgSz w:w="11900" w:h="16838" w:orient="portrait"/>
          <w:cols w:equalWidth="0" w:num="1">
            <w:col w:w="11420"/>
          </w:cols>
          <w:pgMar w:left="240" w:top="280" w:right="239" w:bottom="1440" w:gutter="0" w:footer="0" w:header="0"/>
        </w:sectPr>
      </w:pPr>
    </w:p>
    <w:bookmarkStart w:id="39" w:name="page40"/>
    <w:bookmarkEnd w:id="39"/>
    <w:p>
      <w:pPr>
        <w:ind w:right="100"/>
        <w:spacing w:after="0" w:line="370"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same as those in effect for the Option immediately before such assignment and shall be set forth in such documents issued to the assignee as the Administrator deems appropriate. For purposes of this Section 3, the term “</w:t>
      </w:r>
      <w:r>
        <w:rPr>
          <w:rFonts w:ascii="Arial" w:cs="Arial" w:eastAsia="Arial" w:hAnsi="Arial"/>
          <w:sz w:val="15"/>
          <w:szCs w:val="15"/>
          <w:b w:val="1"/>
          <w:bCs w:val="1"/>
          <w:color w:val="auto"/>
        </w:rPr>
        <w:t>immediate family</w:t>
      </w:r>
      <w:r>
        <w:rPr>
          <w:rFonts w:ascii="Arial" w:cs="Arial" w:eastAsia="Arial" w:hAnsi="Arial"/>
          <w:sz w:val="15"/>
          <w:szCs w:val="15"/>
          <w:color w:val="auto"/>
        </w:rPr>
        <w:t>” means an individual’s spouse, children, stepchildren, grandchildren and parents.</w:t>
      </w:r>
    </w:p>
    <w:p>
      <w:pPr>
        <w:spacing w:after="0" w:line="62" w:lineRule="exact"/>
        <w:rPr>
          <w:sz w:val="20"/>
          <w:szCs w:val="20"/>
          <w:color w:val="auto"/>
        </w:rPr>
      </w:pPr>
    </w:p>
    <w:p>
      <w:pPr>
        <w:ind w:firstLine="8"/>
        <w:spacing w:after="0" w:line="256" w:lineRule="auto"/>
        <w:tabs>
          <w:tab w:leader="none" w:pos="176"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Restrictions; Restrictive Legends</w:t>
      </w:r>
      <w:r>
        <w:rPr>
          <w:rFonts w:ascii="Arial" w:cs="Arial" w:eastAsia="Arial" w:hAnsi="Arial"/>
          <w:sz w:val="18"/>
          <w:szCs w:val="18"/>
          <w:color w:val="auto"/>
        </w:rPr>
        <w:t>. Ownership and transfer of Shares issued pursuant to the exercise of this Option will be subject to the provisions of, including ownership and transfer restrictions (including, without limitation, ownership and transfer restrictions imposed by applicable gaming laws) contained in, the Company’s Certificate of Incorporation, as amended from time to time, restrictions imposed by Applicable Laws and restrictions set forth or referenced in legends imprinted on certificates representing such Shares.</w:t>
      </w:r>
    </w:p>
    <w:p>
      <w:pPr>
        <w:spacing w:after="0" w:line="143" w:lineRule="exact"/>
        <w:rPr>
          <w:rFonts w:ascii="Arial" w:cs="Arial" w:eastAsia="Arial" w:hAnsi="Arial"/>
          <w:sz w:val="18"/>
          <w:szCs w:val="18"/>
          <w:color w:val="auto"/>
        </w:rPr>
      </w:pPr>
    </w:p>
    <w:p>
      <w:pPr>
        <w:ind w:left="180" w:hanging="172"/>
        <w:spacing w:after="0"/>
        <w:tabs>
          <w:tab w:leader="none" w:pos="180"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w:t>
      </w:r>
    </w:p>
    <w:p>
      <w:pPr>
        <w:spacing w:after="0" w:line="171"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color w:val="auto"/>
        </w:rPr>
        <w:t xml:space="preserve">5.1 </w:t>
      </w:r>
      <w:r>
        <w:rPr>
          <w:rFonts w:ascii="Arial" w:cs="Arial" w:eastAsia="Arial" w:hAnsi="Arial"/>
          <w:sz w:val="16"/>
          <w:szCs w:val="16"/>
          <w:u w:val="single" w:color="auto"/>
          <w:color w:val="auto"/>
        </w:rPr>
        <w:t>Governing Law</w:t>
      </w:r>
      <w:r>
        <w:rPr>
          <w:rFonts w:ascii="Arial" w:cs="Arial" w:eastAsia="Arial" w:hAnsi="Arial"/>
          <w:sz w:val="16"/>
          <w:szCs w:val="16"/>
          <w:color w:val="auto"/>
        </w:rPr>
        <w:t>. This Agreement shall be governed by and construed under the laws of the state of Nevada applicable to agreements made and to be performed entirely in Nevada, without regard to the conflicts of law provisions of Nevada or any other jurisdiction.</w:t>
      </w:r>
    </w:p>
    <w:p>
      <w:pPr>
        <w:spacing w:after="0" w:line="85" w:lineRule="exact"/>
        <w:rPr>
          <w:sz w:val="20"/>
          <w:szCs w:val="20"/>
          <w:color w:val="auto"/>
        </w:rPr>
      </w:pPr>
    </w:p>
    <w:p>
      <w:pPr>
        <w:ind w:right="400" w:firstLine="456"/>
        <w:spacing w:after="0" w:line="306" w:lineRule="auto"/>
        <w:rPr>
          <w:sz w:val="20"/>
          <w:szCs w:val="20"/>
          <w:color w:val="auto"/>
        </w:rPr>
      </w:pPr>
      <w:r>
        <w:rPr>
          <w:rFonts w:ascii="Arial" w:cs="Arial" w:eastAsia="Arial" w:hAnsi="Arial"/>
          <w:sz w:val="16"/>
          <w:szCs w:val="16"/>
          <w:color w:val="auto"/>
        </w:rPr>
        <w:t xml:space="preserve">5.2 </w:t>
      </w:r>
      <w:r>
        <w:rPr>
          <w:rFonts w:ascii="Arial" w:cs="Arial" w:eastAsia="Arial" w:hAnsi="Arial"/>
          <w:sz w:val="16"/>
          <w:szCs w:val="16"/>
          <w:u w:val="single" w:color="auto"/>
          <w:color w:val="auto"/>
        </w:rPr>
        <w:t>Notices</w:t>
      </w:r>
      <w:r>
        <w:rPr>
          <w:rFonts w:ascii="Arial" w:cs="Arial" w:eastAsia="Arial" w:hAnsi="Arial"/>
          <w:sz w:val="16"/>
          <w:szCs w:val="16"/>
          <w:color w:val="auto"/>
        </w:rPr>
        <w:t>. Any notice required or permitted under this Agreement shall be given in writing by express courier or by postage prepaid, United States registered or certified mail, return receipt requested, to the address set forth below or to such other address for a party as that party may designate by 10 days advance written notice to the other parties. Notice shall be effective upon the earlier of receipt or 3 days after the mailing of such notice.</w:t>
      </w:r>
    </w:p>
    <w:p>
      <w:pPr>
        <w:sectPr>
          <w:pgSz w:w="11900" w:h="16838" w:orient="portrait"/>
          <w:cols w:equalWidth="0" w:num="1">
            <w:col w:w="11420"/>
          </w:cols>
          <w:pgMar w:left="240" w:top="280" w:right="239" w:bottom="1440" w:gutter="0" w:footer="0" w:header="0"/>
        </w:sectPr>
      </w:pPr>
    </w:p>
    <w:p>
      <w:pPr>
        <w:spacing w:after="0" w:line="147" w:lineRule="exact"/>
        <w:rPr>
          <w:sz w:val="20"/>
          <w:szCs w:val="20"/>
          <w:color w:val="auto"/>
        </w:rPr>
      </w:pPr>
    </w:p>
    <w:p>
      <w:pPr>
        <w:jc w:val="center"/>
        <w:ind w:left="400"/>
        <w:spacing w:after="0"/>
        <w:rPr>
          <w:sz w:val="20"/>
          <w:szCs w:val="20"/>
          <w:color w:val="auto"/>
        </w:rPr>
      </w:pPr>
      <w:r>
        <w:rPr>
          <w:rFonts w:ascii="Arial" w:cs="Arial" w:eastAsia="Arial" w:hAnsi="Arial"/>
          <w:sz w:val="16"/>
          <w:szCs w:val="16"/>
          <w:color w:val="auto"/>
        </w:rPr>
        <w:t>If to the Company:</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Wynn Resorts, Limited</w:t>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color w:val="auto"/>
        </w:rPr>
        <w:t>3131 Las Vegas Boulevard South</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Las Vegas, NV 89109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Legal Department</w:t>
      </w:r>
    </w:p>
    <w:p>
      <w:pPr>
        <w:spacing w:after="0" w:line="165" w:lineRule="exact"/>
        <w:rPr>
          <w:sz w:val="20"/>
          <w:szCs w:val="20"/>
          <w:color w:val="auto"/>
        </w:rPr>
      </w:pPr>
    </w:p>
    <w:p>
      <w:pPr>
        <w:sectPr>
          <w:pgSz w:w="11900" w:h="16838" w:orient="portrait"/>
          <w:cols w:equalWidth="0" w:num="2">
            <w:col w:w="1720" w:space="360"/>
            <w:col w:w="9340"/>
          </w:cols>
          <w:pgMar w:left="240" w:top="280" w:right="239" w:bottom="1440" w:gutter="0" w:footer="0" w:header="0"/>
          <w:type w:val="continuous"/>
        </w:sectPr>
      </w:pPr>
    </w:p>
    <w:p>
      <w:pPr>
        <w:ind w:left="120"/>
        <w:spacing w:after="0"/>
        <w:rPr>
          <w:sz w:val="20"/>
          <w:szCs w:val="20"/>
          <w:color w:val="auto"/>
        </w:rPr>
      </w:pPr>
      <w:r>
        <w:rPr>
          <w:rFonts w:ascii="Arial" w:cs="Arial" w:eastAsia="Arial" w:hAnsi="Arial"/>
          <w:sz w:val="18"/>
          <w:szCs w:val="18"/>
          <w:color w:val="auto"/>
        </w:rPr>
        <w:t>If to Optionee, at the address set forth on the Grant Notice.</w:t>
      </w:r>
    </w:p>
    <w:p>
      <w:pPr>
        <w:spacing w:after="0" w:line="171"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 xml:space="preserve">5.3 </w:t>
      </w:r>
      <w:r>
        <w:rPr>
          <w:rFonts w:ascii="Arial" w:cs="Arial" w:eastAsia="Arial" w:hAnsi="Arial"/>
          <w:sz w:val="16"/>
          <w:szCs w:val="16"/>
          <w:u w:val="single" w:color="auto"/>
          <w:color w:val="auto"/>
        </w:rPr>
        <w:t>Community Property</w:t>
      </w:r>
      <w:r>
        <w:rPr>
          <w:rFonts w:ascii="Arial" w:cs="Arial" w:eastAsia="Arial" w:hAnsi="Arial"/>
          <w:sz w:val="16"/>
          <w:szCs w:val="16"/>
          <w:color w:val="auto"/>
        </w:rPr>
        <w:t>. Without prejudice to the actual rights of the spouses as between each other, for all purposes of this Agreement, the Optionee shall be treated as agent and attorney-in-fact for that interest held or claimed by his or her spouse with respect to this Option and the parties hereto shall act in all matters as if the Optionee was the sole owner of this Option. This appointment is coupled with an interest and is irrevocable.</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u w:val="single" w:color="auto"/>
          <w:color w:val="auto"/>
        </w:rPr>
        <w:t>Modifications</w:t>
      </w:r>
      <w:r>
        <w:rPr>
          <w:rFonts w:ascii="Arial" w:cs="Arial" w:eastAsia="Arial" w:hAnsi="Arial"/>
          <w:sz w:val="18"/>
          <w:szCs w:val="18"/>
          <w:color w:val="auto"/>
        </w:rPr>
        <w:t>. This Agreement may be amended, altered or modified only by a writing signed by each of the parties hereto.</w:t>
      </w:r>
    </w:p>
    <w:p>
      <w:pPr>
        <w:spacing w:after="0" w:line="171"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 xml:space="preserve">5.5 </w:t>
      </w:r>
      <w:r>
        <w:rPr>
          <w:rFonts w:ascii="Arial" w:cs="Arial" w:eastAsia="Arial" w:hAnsi="Arial"/>
          <w:sz w:val="16"/>
          <w:szCs w:val="16"/>
          <w:u w:val="single" w:color="auto"/>
          <w:color w:val="auto"/>
        </w:rPr>
        <w:t>Application to Other Stock</w:t>
      </w:r>
      <w:r>
        <w:rPr>
          <w:rFonts w:ascii="Arial" w:cs="Arial" w:eastAsia="Arial" w:hAnsi="Arial"/>
          <w:sz w:val="16"/>
          <w:szCs w:val="16"/>
          <w:color w:val="auto"/>
        </w:rPr>
        <w:t>. In the event any capital stock of the Company or any other corporation shall be distributed on, with respect to, or in exchange for shares of Common Stock as a stock dividend, stock split, reclassification or recapitalization in connection with any merger or reorganization or otherwise, all restrictions, rights and obligations set forth in this Agreement shall apply with respect to such other capital stock to the same extent as they are, or would have been applicable, to the Option Shares on or with respect to which such other capital stock was distributed.</w:t>
      </w:r>
    </w:p>
    <w:p>
      <w:pPr>
        <w:sectPr>
          <w:pgSz w:w="11900" w:h="16838" w:orient="portrait"/>
          <w:cols w:equalWidth="0" w:num="1">
            <w:col w:w="11420"/>
          </w:cols>
          <w:pgMar w:left="240" w:top="280" w:right="239" w:bottom="1440" w:gutter="0" w:footer="0" w:header="0"/>
          <w:type w:val="continuous"/>
        </w:sectPr>
      </w:pPr>
    </w:p>
    <w:bookmarkStart w:id="40" w:name="page41"/>
    <w:bookmarkEnd w:id="40"/>
    <w:p>
      <w:pPr>
        <w:ind w:right="24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5.6 </w:t>
      </w:r>
      <w:r>
        <w:rPr>
          <w:rFonts w:ascii="Arial" w:cs="Arial" w:eastAsia="Arial" w:hAnsi="Arial"/>
          <w:sz w:val="18"/>
          <w:szCs w:val="18"/>
          <w:u w:val="single" w:color="auto"/>
          <w:color w:val="auto"/>
        </w:rPr>
        <w:t>Additional Documents</w:t>
      </w:r>
      <w:r>
        <w:rPr>
          <w:rFonts w:ascii="Arial" w:cs="Arial" w:eastAsia="Arial" w:hAnsi="Arial"/>
          <w:sz w:val="18"/>
          <w:szCs w:val="18"/>
          <w:color w:val="auto"/>
        </w:rPr>
        <w:t>. Each party agrees to execute any and all further documents and writings, and to perform such other actions, which may be or become reasonably necessary or expedient to be made effective and carry out this Agreement.</w:t>
      </w:r>
    </w:p>
    <w:p>
      <w:pPr>
        <w:spacing w:after="0" w:line="132"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 xml:space="preserve">5.7 </w:t>
      </w:r>
      <w:r>
        <w:rPr>
          <w:rFonts w:ascii="Arial" w:cs="Arial" w:eastAsia="Arial" w:hAnsi="Arial"/>
          <w:sz w:val="18"/>
          <w:szCs w:val="18"/>
          <w:u w:val="single" w:color="auto"/>
          <w:color w:val="auto"/>
        </w:rPr>
        <w:t>No Third-Party Benefits</w:t>
      </w:r>
      <w:r>
        <w:rPr>
          <w:rFonts w:ascii="Arial" w:cs="Arial" w:eastAsia="Arial" w:hAnsi="Arial"/>
          <w:sz w:val="18"/>
          <w:szCs w:val="18"/>
          <w:color w:val="auto"/>
        </w:rPr>
        <w:t>. Except as otherwise expressly provided in this Agreement, none of the provisions of this Agreement shall be for the benefit of, or enforceable by, any third-party beneficiary.</w:t>
      </w:r>
    </w:p>
    <w:p>
      <w:pPr>
        <w:spacing w:after="0" w:line="132"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 xml:space="preserve">5.8 </w:t>
      </w:r>
      <w:r>
        <w:rPr>
          <w:rFonts w:ascii="Arial" w:cs="Arial" w:eastAsia="Arial" w:hAnsi="Arial"/>
          <w:sz w:val="18"/>
          <w:szCs w:val="18"/>
          <w:u w:val="single" w:color="auto"/>
          <w:color w:val="auto"/>
        </w:rPr>
        <w:t>Successors and Assigns</w:t>
      </w:r>
      <w:r>
        <w:rPr>
          <w:rFonts w:ascii="Arial" w:cs="Arial" w:eastAsia="Arial" w:hAnsi="Arial"/>
          <w:sz w:val="18"/>
          <w:szCs w:val="18"/>
          <w:color w:val="auto"/>
        </w:rPr>
        <w:t>. Except as provided herein to the contrary, this Agreement shall be binding upon and inure to the benefit of the parties, their respective successors and permitted assigns.</w:t>
      </w:r>
    </w:p>
    <w:p>
      <w:pPr>
        <w:spacing w:after="0" w:line="132"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 xml:space="preserve">5.9 </w:t>
      </w:r>
      <w:r>
        <w:rPr>
          <w:rFonts w:ascii="Arial" w:cs="Arial" w:eastAsia="Arial" w:hAnsi="Arial"/>
          <w:sz w:val="16"/>
          <w:szCs w:val="16"/>
          <w:u w:val="single" w:color="auto"/>
          <w:color w:val="auto"/>
        </w:rPr>
        <w:t>No Assignment</w:t>
      </w:r>
      <w:r>
        <w:rPr>
          <w:rFonts w:ascii="Arial" w:cs="Arial" w:eastAsia="Arial" w:hAnsi="Arial"/>
          <w:sz w:val="16"/>
          <w:szCs w:val="16"/>
          <w:color w:val="auto"/>
        </w:rPr>
        <w:t>. Except as otherwise provided in this Agreement, the Optionee may not assign any of his, her or its rights under this Agreement without the prior written consent of the Company, which consent may be withheld in its sole discretion. The Company shall be permitted to assign its rights or obligations under this Agreement, but no such assignment shall release the Company of any obligations pursuant to this Agreement.</w:t>
      </w:r>
    </w:p>
    <w:p>
      <w:pPr>
        <w:spacing w:after="0" w:line="107" w:lineRule="exact"/>
        <w:rPr>
          <w:sz w:val="20"/>
          <w:szCs w:val="20"/>
          <w:color w:val="auto"/>
        </w:rPr>
      </w:pPr>
    </w:p>
    <w:p>
      <w:pPr>
        <w:ind w:right="560" w:firstLine="456"/>
        <w:spacing w:after="0" w:line="259" w:lineRule="auto"/>
        <w:rPr>
          <w:sz w:val="20"/>
          <w:szCs w:val="20"/>
          <w:color w:val="auto"/>
        </w:rPr>
      </w:pPr>
      <w:r>
        <w:rPr>
          <w:rFonts w:ascii="Arial" w:cs="Arial" w:eastAsia="Arial" w:hAnsi="Arial"/>
          <w:sz w:val="18"/>
          <w:szCs w:val="18"/>
          <w:color w:val="auto"/>
        </w:rPr>
        <w:t xml:space="preserve">5.10 </w:t>
      </w:r>
      <w:r>
        <w:rPr>
          <w:rFonts w:ascii="Arial" w:cs="Arial" w:eastAsia="Arial" w:hAnsi="Arial"/>
          <w:sz w:val="18"/>
          <w:szCs w:val="18"/>
          <w:u w:val="single" w:color="auto"/>
          <w:color w:val="auto"/>
        </w:rPr>
        <w:t>Severability</w:t>
      </w:r>
      <w:r>
        <w:rPr>
          <w:rFonts w:ascii="Arial" w:cs="Arial" w:eastAsia="Arial" w:hAnsi="Arial"/>
          <w:sz w:val="18"/>
          <w:szCs w:val="18"/>
          <w:color w:val="auto"/>
        </w:rPr>
        <w:t>. If any of the provisions of this Agreement are determined to be unlawful or otherwise unenforceable, in whole or in part, such determination shall not affect the validity of the remainder of this Agreement, and this Agreement shall be reformed to the extent necessary to carry out its provisions to the greatest extent possible in accordance with the intent of the parties.</w:t>
      </w:r>
    </w:p>
    <w:p>
      <w:pPr>
        <w:spacing w:after="0" w:line="140"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 xml:space="preserve">5.11 </w:t>
      </w:r>
      <w:r>
        <w:rPr>
          <w:rFonts w:ascii="Arial" w:cs="Arial" w:eastAsia="Arial" w:hAnsi="Arial"/>
          <w:sz w:val="18"/>
          <w:szCs w:val="18"/>
          <w:u w:val="single" w:color="auto"/>
          <w:color w:val="auto"/>
        </w:rPr>
        <w:t>Equitable Relief</w:t>
      </w:r>
      <w:r>
        <w:rPr>
          <w:rFonts w:ascii="Arial" w:cs="Arial" w:eastAsia="Arial" w:hAnsi="Arial"/>
          <w:sz w:val="18"/>
          <w:szCs w:val="18"/>
          <w:color w:val="auto"/>
        </w:rPr>
        <w:t>. The Optionee acknowledges that, in the event of a threatened or actual breach of any of the provisions of this Agreement, damages alone will be an inadequate remedy, and such breach will cause the Company great, immediate and irreparable injury and damage. Accordingly, the Optionee agrees that the Company shall be entitled to injunctive and other equitable relief, and that such relief shall be in addition to, and not in lieu of, any remedies it may have at law or under this Agreement.</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5.12 </w:t>
      </w:r>
      <w:r>
        <w:rPr>
          <w:rFonts w:ascii="Arial" w:cs="Arial" w:eastAsia="Arial" w:hAnsi="Arial"/>
          <w:sz w:val="18"/>
          <w:szCs w:val="18"/>
          <w:u w:val="single" w:color="auto"/>
          <w:color w:val="auto"/>
        </w:rPr>
        <w:t>Arbitration</w:t>
      </w:r>
      <w:r>
        <w:rPr>
          <w:rFonts w:ascii="Arial" w:cs="Arial" w:eastAsia="Arial" w:hAnsi="Arial"/>
          <w:sz w:val="18"/>
          <w:szCs w:val="18"/>
          <w:color w:val="auto"/>
        </w:rPr>
        <w:t>.</w:t>
      </w:r>
    </w:p>
    <w:p>
      <w:pPr>
        <w:spacing w:after="0" w:line="90" w:lineRule="exact"/>
        <w:rPr>
          <w:sz w:val="20"/>
          <w:szCs w:val="20"/>
          <w:color w:val="auto"/>
        </w:rPr>
      </w:pPr>
    </w:p>
    <w:p>
      <w:pPr>
        <w:ind w:right="80" w:firstLine="913"/>
        <w:spacing w:after="0" w:line="289" w:lineRule="auto"/>
        <w:rPr>
          <w:sz w:val="20"/>
          <w:szCs w:val="20"/>
          <w:color w:val="auto"/>
        </w:rPr>
      </w:pPr>
      <w:r>
        <w:rPr>
          <w:rFonts w:ascii="Arial" w:cs="Arial" w:eastAsia="Arial" w:hAnsi="Arial"/>
          <w:sz w:val="16"/>
          <w:szCs w:val="16"/>
          <w:color w:val="auto"/>
        </w:rPr>
        <w:t xml:space="preserve">5.12.1 </w:t>
      </w:r>
      <w:r>
        <w:rPr>
          <w:rFonts w:ascii="Arial" w:cs="Arial" w:eastAsia="Arial" w:hAnsi="Arial"/>
          <w:sz w:val="16"/>
          <w:szCs w:val="16"/>
          <w:u w:val="single" w:color="auto"/>
          <w:color w:val="auto"/>
        </w:rPr>
        <w:t>General</w:t>
      </w:r>
      <w:r>
        <w:rPr>
          <w:rFonts w:ascii="Arial" w:cs="Arial" w:eastAsia="Arial" w:hAnsi="Arial"/>
          <w:sz w:val="16"/>
          <w:szCs w:val="16"/>
          <w:color w:val="auto"/>
        </w:rPr>
        <w:t>. Except as provided in Section 5.11, any controversy, dispute, or claim between the parties to this Agreement, including any claim arising out of, in connection with, or in relation to the formation, interpretation, performance or breach of this Agreement shall be settled exclusively by arbitration, before a single arbitrator, in accordance with this Section 5.12 and the then most applicable rules of the American Arbitration Association. Judgment upon any award rendered by the arbitrator may be entered by any state or federal court having jurisdiction thereof. Such arbitration shall be administered by the American Arbitration Association. Arbitration shall be the exclusive remedy for determining any such dispute, regardless of its nature. Notwithstanding the foregoing, either party may in an appropriate matter apply to a court for provisional relief, including a temporary restraining order or a preliminary injunction, on the ground that the award to which the applicant may be entitled in arbitration may be rendered ineffectual without provisional relief. Unless mutually agreed by the parties otherwise, any arbitration shall take place in Las Vegas, Nevada.</w:t>
      </w:r>
    </w:p>
    <w:p>
      <w:pPr>
        <w:sectPr>
          <w:pgSz w:w="11900" w:h="16838" w:orient="portrait"/>
          <w:cols w:equalWidth="0" w:num="1">
            <w:col w:w="11420"/>
          </w:cols>
          <w:pgMar w:left="240" w:top="280" w:right="239" w:bottom="1440" w:gutter="0" w:footer="0" w:header="0"/>
        </w:sectPr>
      </w:pPr>
    </w:p>
    <w:bookmarkStart w:id="41" w:name="page42"/>
    <w:bookmarkEnd w:id="41"/>
    <w:p>
      <w:pPr>
        <w:ind w:right="20" w:firstLine="913"/>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5.12.2 </w:t>
      </w:r>
      <w:r>
        <w:rPr>
          <w:rFonts w:ascii="Arial" w:cs="Arial" w:eastAsia="Arial" w:hAnsi="Arial"/>
          <w:sz w:val="16"/>
          <w:szCs w:val="16"/>
          <w:u w:val="single" w:color="auto"/>
          <w:color w:val="auto"/>
        </w:rPr>
        <w:t>Selection of Arbitrator</w:t>
      </w:r>
      <w:r>
        <w:rPr>
          <w:rFonts w:ascii="Arial" w:cs="Arial" w:eastAsia="Arial" w:hAnsi="Arial"/>
          <w:sz w:val="16"/>
          <w:szCs w:val="16"/>
          <w:color w:val="auto"/>
        </w:rPr>
        <w:t>. In the event the parties are unable to agree upon an arbitrator, the parties shall select a single arbitrator from a list of nine arbitrators drawn by the parties at random from the “Independent” (or “Gold Card”) list of retired judges or, at the option of Optionee, from a list of nine persons (which shall be retired judges or corporate or litigation attorneys experienced in stock options and buy-sell agreements) provided by the office of the American Arbitration Association having jurisdiction over Las Vegas, Nevada. If the parties are unable to agree upon an arbitrator from the list so drawn, then the parties shall each strike names alternately from the list, with the first to strike being determined by lot. After each party has used four strikes, the remaining name on the list shall be the arbitrator. If such person is unable to serve for any reason, the parties shall repeat this process until an arbitrator is selected.</w:t>
      </w:r>
    </w:p>
    <w:p>
      <w:pPr>
        <w:spacing w:after="0" w:line="120" w:lineRule="exact"/>
        <w:rPr>
          <w:sz w:val="20"/>
          <w:szCs w:val="20"/>
          <w:color w:val="auto"/>
        </w:rPr>
      </w:pPr>
    </w:p>
    <w:p>
      <w:pPr>
        <w:ind w:firstLine="913"/>
        <w:spacing w:after="0" w:line="288" w:lineRule="auto"/>
        <w:rPr>
          <w:sz w:val="20"/>
          <w:szCs w:val="20"/>
          <w:color w:val="auto"/>
        </w:rPr>
      </w:pPr>
      <w:r>
        <w:rPr>
          <w:rFonts w:ascii="Arial" w:cs="Arial" w:eastAsia="Arial" w:hAnsi="Arial"/>
          <w:sz w:val="16"/>
          <w:szCs w:val="16"/>
          <w:color w:val="auto"/>
        </w:rPr>
        <w:t xml:space="preserve">5.12.3 </w:t>
      </w:r>
      <w:r>
        <w:rPr>
          <w:rFonts w:ascii="Arial" w:cs="Arial" w:eastAsia="Arial" w:hAnsi="Arial"/>
          <w:sz w:val="16"/>
          <w:szCs w:val="16"/>
          <w:u w:val="single" w:color="auto"/>
          <w:color w:val="auto"/>
        </w:rPr>
        <w:t>Applicability of Arbitration; Remedial Authority</w:t>
      </w:r>
      <w:r>
        <w:rPr>
          <w:rFonts w:ascii="Arial" w:cs="Arial" w:eastAsia="Arial" w:hAnsi="Arial"/>
          <w:sz w:val="16"/>
          <w:szCs w:val="16"/>
          <w:color w:val="auto"/>
        </w:rPr>
        <w:t>. This agreement to resolve any disputes by binding arbitration shall extend to claims against any parent, subsidiary or affiliate of each party, and, when acting within such capacity, any officer, director, shareholder, employee or agent of each party, or of any of the above, and shall apply as well to claims arising out of state and federal statutes and local ordinances as well as to claims arising under the common law. In the event of a dispute subject to this paragraph the parties shall be entitled to reasonable discovery subject to the discretion of the arbitrator. The remedial authority of the arbitrator (which shall include the right to grant injunctive or other equitable relief) shall be the same as, but no greater than, would be the remedial power of a court having jurisdiction over the parties and their dispute. The arbitrator shall, upon an appropriate motion, dismiss any claim without an evidentiary hearing if the party bringing the motion establishes that he or it would be entitled to summary judgement if the matter had been pursued in court litigation. In the event of a conflict between the applicable rules of the American Arbitration Association and these procedures, the provisions of these procedures shall govern.</w:t>
      </w:r>
    </w:p>
    <w:p>
      <w:pPr>
        <w:spacing w:after="0" w:line="120"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 xml:space="preserve">5.12.4 </w:t>
      </w:r>
      <w:r>
        <w:rPr>
          <w:rFonts w:ascii="Arial" w:cs="Arial" w:eastAsia="Arial" w:hAnsi="Arial"/>
          <w:sz w:val="18"/>
          <w:szCs w:val="18"/>
          <w:u w:val="single" w:color="auto"/>
          <w:color w:val="auto"/>
        </w:rPr>
        <w:t>Fees and Costs</w:t>
      </w:r>
      <w:r>
        <w:rPr>
          <w:rFonts w:ascii="Arial" w:cs="Arial" w:eastAsia="Arial" w:hAnsi="Arial"/>
          <w:sz w:val="18"/>
          <w:szCs w:val="18"/>
          <w:color w:val="auto"/>
        </w:rPr>
        <w:t>. Any filing or administrative fees shall be borne initially by the party requesting arbitration. The Company shall be responsible for the costs and fees of the arbitration, unless the Optionee wishes to contribute (up to 50%) of the costs and fees of the arbitration. Notwithstanding the foregoing, the prevailing party in such arbitration, as determined by the arbitrator, and in any enforcement or other court proceedings, shall be entitled, to the extent permitted by law, to reimbursement from the other party for all of the prevailing party’s costs (including but not limited to the arbitrator’s compensation), expenses, and attorneys’ fees.</w:t>
      </w:r>
    </w:p>
    <w:p>
      <w:pPr>
        <w:spacing w:after="0" w:line="143" w:lineRule="exact"/>
        <w:rPr>
          <w:sz w:val="20"/>
          <w:szCs w:val="20"/>
          <w:color w:val="auto"/>
        </w:rPr>
      </w:pPr>
    </w:p>
    <w:p>
      <w:pPr>
        <w:ind w:right="20" w:firstLine="913"/>
        <w:spacing w:after="0" w:line="255" w:lineRule="auto"/>
        <w:rPr>
          <w:sz w:val="20"/>
          <w:szCs w:val="20"/>
          <w:color w:val="auto"/>
        </w:rPr>
      </w:pPr>
      <w:r>
        <w:rPr>
          <w:rFonts w:ascii="Arial" w:cs="Arial" w:eastAsia="Arial" w:hAnsi="Arial"/>
          <w:sz w:val="18"/>
          <w:szCs w:val="18"/>
          <w:color w:val="auto"/>
        </w:rPr>
        <w:t xml:space="preserve">5.12.5 </w:t>
      </w:r>
      <w:r>
        <w:rPr>
          <w:rFonts w:ascii="Arial" w:cs="Arial" w:eastAsia="Arial" w:hAnsi="Arial"/>
          <w:sz w:val="18"/>
          <w:szCs w:val="18"/>
          <w:u w:val="single" w:color="auto"/>
          <w:color w:val="auto"/>
        </w:rPr>
        <w:t>Award Final and Binding</w:t>
      </w:r>
      <w:r>
        <w:rPr>
          <w:rFonts w:ascii="Arial" w:cs="Arial" w:eastAsia="Arial" w:hAnsi="Arial"/>
          <w:sz w:val="18"/>
          <w:szCs w:val="18"/>
          <w:color w:val="auto"/>
        </w:rPr>
        <w:t>. The arbitrator shall render an award and written opinion, and the award shall be final and binding upon the parties. If any of the provisions of this paragraph, or of this Agreement, are determined to be unlawful or otherwise unenforceable, in whole or in part, such determination shall not affect the validity of the remainder of this Agreement, and this Agreement shall be reformed to the extent necessary to carry out its provisions to the greatest extent possible and to insure that the resolution of all conflicts between the parties, including those arising out of statutory claims, shall be resolved by neutral, binding arbitration. If a court should find that the arbitration</w:t>
      </w:r>
    </w:p>
    <w:p>
      <w:pPr>
        <w:sectPr>
          <w:pgSz w:w="11900" w:h="16838" w:orient="portrait"/>
          <w:cols w:equalWidth="0" w:num="1">
            <w:col w:w="11400"/>
          </w:cols>
          <w:pgMar w:left="240" w:top="280" w:right="259" w:bottom="1440" w:gutter="0" w:footer="0" w:header="0"/>
        </w:sectPr>
      </w:pPr>
    </w:p>
    <w:bookmarkStart w:id="42" w:name="page43"/>
    <w:bookmarkEnd w:id="42"/>
    <w:p>
      <w:pPr>
        <w:ind w:right="48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provisions of this Agreement are not absolutely binding, then the parties intend any arbitration decision and award to be fully admissible in evidence in any subsequent action, given great weight by any finder of fact, and treated as determinative to the maximum extent permitted by law.</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5.13 </w:t>
      </w:r>
      <w:r>
        <w:rPr>
          <w:rFonts w:ascii="Arial" w:cs="Arial" w:eastAsia="Arial" w:hAnsi="Arial"/>
          <w:sz w:val="18"/>
          <w:szCs w:val="18"/>
          <w:u w:val="single" w:color="auto"/>
          <w:color w:val="auto"/>
        </w:rPr>
        <w:t>Compliance With Applicable Laws</w:t>
      </w:r>
      <w:r>
        <w:rPr>
          <w:rFonts w:ascii="Arial" w:cs="Arial" w:eastAsia="Arial" w:hAnsi="Arial"/>
          <w:sz w:val="18"/>
          <w:szCs w:val="18"/>
          <w:color w:val="auto"/>
        </w:rPr>
        <w:t>.</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Optionee will do all acts and things, execute, acknowledge and deliver all documents and instruments, and make all representations and warranties that are necessary or appropriate, in the judgment of the Company, for the purchase, vesting, holding or transfer of the Option Shares to comply with Applicable Laws. Without limiting the generality of the foregoing, the Optionee hereby represents and warrants that:</w:t>
      </w:r>
    </w:p>
    <w:p>
      <w:pPr>
        <w:spacing w:after="0" w:line="59" w:lineRule="exact"/>
        <w:rPr>
          <w:sz w:val="20"/>
          <w:szCs w:val="20"/>
          <w:color w:val="auto"/>
        </w:rPr>
      </w:pPr>
    </w:p>
    <w:p>
      <w:pPr>
        <w:ind w:right="40" w:firstLine="913"/>
        <w:spacing w:after="0" w:line="306" w:lineRule="auto"/>
        <w:rPr>
          <w:sz w:val="20"/>
          <w:szCs w:val="20"/>
          <w:color w:val="auto"/>
        </w:rPr>
      </w:pPr>
      <w:r>
        <w:rPr>
          <w:rFonts w:ascii="Arial" w:cs="Arial" w:eastAsia="Arial" w:hAnsi="Arial"/>
          <w:sz w:val="16"/>
          <w:szCs w:val="16"/>
          <w:color w:val="auto"/>
        </w:rPr>
        <w:t>5.13.1 He is sufficiently aware of the Company’s business affairs and financial condition to reach an informed and knowledgeable decision to acquire the Option Shares. Upon exercise of the Option, he will be purchasing the Option Shares for his own account for investment purposes only and not with a view to, or for the resale in connection with, any “distribution” thereof for purposes of the Securities Act.</w:t>
      </w:r>
    </w:p>
    <w:p>
      <w:pPr>
        <w:spacing w:after="0" w:line="107" w:lineRule="exact"/>
        <w:rPr>
          <w:sz w:val="20"/>
          <w:szCs w:val="20"/>
          <w:color w:val="auto"/>
        </w:rPr>
      </w:pPr>
    </w:p>
    <w:p>
      <w:pPr>
        <w:ind w:right="180" w:firstLine="913"/>
        <w:spacing w:after="0" w:line="256" w:lineRule="auto"/>
        <w:rPr>
          <w:sz w:val="20"/>
          <w:szCs w:val="20"/>
          <w:color w:val="auto"/>
        </w:rPr>
      </w:pPr>
      <w:r>
        <w:rPr>
          <w:rFonts w:ascii="Arial" w:cs="Arial" w:eastAsia="Arial" w:hAnsi="Arial"/>
          <w:sz w:val="18"/>
          <w:szCs w:val="18"/>
          <w:color w:val="auto"/>
        </w:rPr>
        <w:t>5.13.2 He further understands that the Option Shares must be held indefinitely unless subsequently registered under the Securities Act or unless an exemption from registration is otherwise available (such as Rule 144 under the Securities Act). In addition, he understands that the certificate evidencing the Option Shares will be imprinted with a legend which prohibits the transfer of the Option Shares unless they are registered or such registration is not required in the opinion of counsel for the Company.</w:t>
      </w:r>
    </w:p>
    <w:p>
      <w:pPr>
        <w:spacing w:after="0" w:line="143" w:lineRule="exact"/>
        <w:rPr>
          <w:sz w:val="20"/>
          <w:szCs w:val="20"/>
          <w:color w:val="auto"/>
        </w:rPr>
      </w:pPr>
    </w:p>
    <w:p>
      <w:pPr>
        <w:jc w:val="both"/>
        <w:ind w:right="120" w:firstLine="913"/>
        <w:spacing w:after="0" w:line="306" w:lineRule="auto"/>
        <w:rPr>
          <w:sz w:val="20"/>
          <w:szCs w:val="20"/>
          <w:color w:val="auto"/>
        </w:rPr>
      </w:pPr>
      <w:r>
        <w:rPr>
          <w:rFonts w:ascii="Arial" w:cs="Arial" w:eastAsia="Arial" w:hAnsi="Arial"/>
          <w:sz w:val="16"/>
          <w:szCs w:val="16"/>
          <w:color w:val="auto"/>
        </w:rPr>
        <w:t>5.13.3 He understands that at the time he wishes to sell the Option Shares, there may be no public market upon which to make such a sale, and that, even if such a public market then exists, the Company may not be satisfying the current public information requirements of Rule 144, and that, in such event, he would be precluded from selling the Shares under Rule 144 even if the minimum holding periods had been satisfied.</w:t>
      </w:r>
    </w:p>
    <w:p>
      <w:pPr>
        <w:spacing w:after="0" w:line="107"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 xml:space="preserve">5.14 </w:t>
      </w:r>
      <w:r>
        <w:rPr>
          <w:rFonts w:ascii="Arial" w:cs="Arial" w:eastAsia="Arial" w:hAnsi="Arial"/>
          <w:sz w:val="18"/>
          <w:szCs w:val="18"/>
          <w:u w:val="single" w:color="auto"/>
          <w:color w:val="auto"/>
        </w:rPr>
        <w:t>Headings</w:t>
      </w:r>
      <w:r>
        <w:rPr>
          <w:rFonts w:ascii="Arial" w:cs="Arial" w:eastAsia="Arial" w:hAnsi="Arial"/>
          <w:sz w:val="18"/>
          <w:szCs w:val="18"/>
          <w:color w:val="auto"/>
        </w:rPr>
        <w:t>. The section headings in this Agreement are inserted only as a matter of convenience, and in no way define, limit, extend or interpret the scope of this Agreement or of any particular section.</w:t>
      </w:r>
    </w:p>
    <w:p>
      <w:pPr>
        <w:spacing w:after="0" w:line="132"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 xml:space="preserve">5.15 </w:t>
      </w:r>
      <w:r>
        <w:rPr>
          <w:rFonts w:ascii="Arial" w:cs="Arial" w:eastAsia="Arial" w:hAnsi="Arial"/>
          <w:sz w:val="16"/>
          <w:szCs w:val="16"/>
          <w:u w:val="single" w:color="auto"/>
          <w:color w:val="auto"/>
        </w:rPr>
        <w:t>Number and Gender</w:t>
      </w:r>
      <w:r>
        <w:rPr>
          <w:rFonts w:ascii="Arial" w:cs="Arial" w:eastAsia="Arial" w:hAnsi="Arial"/>
          <w:sz w:val="16"/>
          <w:szCs w:val="16"/>
          <w:color w:val="auto"/>
        </w:rPr>
        <w:t>. Throughout this Agreement, as the context may require, (a) the masculine gender includes the feminine and the neuter gender includes the masculine and the feminine; (b) the singular tense and number includes the plural, and the plural tense and number includes the singular; (c) the past tense includes the present, and the present tense includes the past; (d) references to parties, sections, paragraphs and exhibits mean the parties, sections, paragraphs and exhibits of and to this Agreement; and (e) periods of days, weeks or months mean calendar days, weeks or months.</w:t>
      </w:r>
    </w:p>
    <w:p>
      <w:pPr>
        <w:spacing w:after="0" w:line="113"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 xml:space="preserve">5.16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simultaneously in two or more counterparts, each of which shall be deemed an original, but all of which together shall constitute one and the same instrument.</w:t>
      </w:r>
    </w:p>
    <w:p>
      <w:pPr>
        <w:sectPr>
          <w:pgSz w:w="11900" w:h="16838" w:orient="portrait"/>
          <w:cols w:equalWidth="0" w:num="1">
            <w:col w:w="11400"/>
          </w:cols>
          <w:pgMar w:left="240" w:top="280" w:right="259" w:bottom="1440" w:gutter="0" w:footer="0" w:header="0"/>
        </w:sectPr>
      </w:pPr>
    </w:p>
    <w:bookmarkStart w:id="43" w:name="page44"/>
    <w:bookmarkEnd w:id="43"/>
    <w:p>
      <w:pPr>
        <w:ind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5.17 </w:t>
      </w:r>
      <w:r>
        <w:rPr>
          <w:rFonts w:ascii="Arial" w:cs="Arial" w:eastAsia="Arial" w:hAnsi="Arial"/>
          <w:sz w:val="18"/>
          <w:szCs w:val="18"/>
          <w:u w:val="single" w:color="auto"/>
          <w:color w:val="auto"/>
        </w:rPr>
        <w:t>Complete Agreement</w:t>
      </w:r>
      <w:r>
        <w:rPr>
          <w:rFonts w:ascii="Arial" w:cs="Arial" w:eastAsia="Arial" w:hAnsi="Arial"/>
          <w:sz w:val="18"/>
          <w:szCs w:val="18"/>
          <w:color w:val="auto"/>
        </w:rPr>
        <w:t>. The Grant Notice, this Agreement and the Plan constitute the parties’ entire agreement with respect to the subject matter hereof and supersede all agreements, representations, warranties, statements, promises and understandings, whether oral or written, with respect to the subject matter hereof.</w:t>
      </w:r>
    </w:p>
    <w:p>
      <w:pPr>
        <w:spacing w:after="0" w:line="18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WYNN RESORTS, LIMITED</w:t>
      </w:r>
    </w:p>
    <w:p>
      <w:pPr>
        <w:spacing w:after="0" w:line="200" w:lineRule="exact"/>
        <w:rPr>
          <w:sz w:val="20"/>
          <w:szCs w:val="20"/>
          <w:color w:val="auto"/>
        </w:rPr>
      </w:pPr>
    </w:p>
    <w:p>
      <w:pPr>
        <w:spacing w:after="0" w:line="24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2540</wp:posOffset>
            </wp:positionV>
            <wp:extent cx="271843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ind w:left="8960"/>
        <w:spacing w:after="0"/>
        <w:rPr>
          <w:sz w:val="20"/>
          <w:szCs w:val="20"/>
          <w:color w:val="auto"/>
        </w:rPr>
      </w:pPr>
      <w:r>
        <w:rPr>
          <w:rFonts w:ascii="Arial" w:cs="Arial" w:eastAsia="Arial" w:hAnsi="Arial"/>
          <w:sz w:val="14"/>
          <w:szCs w:val="14"/>
          <w:b w:val="1"/>
          <w:bCs w:val="1"/>
          <w:color w:val="auto"/>
        </w:rPr>
        <w:t>Kim Sinatra</w:t>
      </w:r>
    </w:p>
    <w:p>
      <w:pPr>
        <w:ind w:left="6860"/>
        <w:spacing w:after="0" w:line="193" w:lineRule="auto"/>
        <w:tabs>
          <w:tab w:leader="none" w:pos="8180" w:val="left"/>
        </w:tabs>
        <w:rPr>
          <w:sz w:val="20"/>
          <w:szCs w:val="20"/>
          <w:color w:val="auto"/>
        </w:rPr>
      </w:pPr>
      <w:r>
        <w:rPr>
          <w:rFonts w:ascii="Arial" w:cs="Arial" w:eastAsia="Arial" w:hAnsi="Arial"/>
          <w:sz w:val="16"/>
          <w:szCs w:val="16"/>
          <w:color w:val="auto"/>
        </w:rPr>
        <w:t>Its:</w:t>
      </w:r>
      <w:r>
        <w:rPr>
          <w:sz w:val="20"/>
          <w:szCs w:val="20"/>
          <w:color w:val="auto"/>
        </w:rPr>
        <w:tab/>
      </w:r>
      <w:r>
        <w:rPr>
          <w:rFonts w:ascii="Arial" w:cs="Arial" w:eastAsia="Arial" w:hAnsi="Arial"/>
          <w:sz w:val="13"/>
          <w:szCs w:val="13"/>
          <w:b w:val="1"/>
          <w:bCs w:val="1"/>
          <w:color w:val="auto"/>
        </w:rPr>
        <w:t>Senior Vice President, General Counsel</w:t>
      </w:r>
    </w:p>
    <w:p>
      <w:pPr>
        <w:ind w:left="8920"/>
        <w:spacing w:after="0"/>
        <w:rPr>
          <w:sz w:val="20"/>
          <w:szCs w:val="20"/>
          <w:color w:val="auto"/>
        </w:rPr>
      </w:pPr>
      <w:r>
        <w:rPr>
          <w:rFonts w:ascii="Arial" w:cs="Arial" w:eastAsia="Arial" w:hAnsi="Arial"/>
          <w:sz w:val="14"/>
          <w:szCs w:val="14"/>
          <w:b w:val="1"/>
          <w:bCs w:val="1"/>
          <w:color w:val="auto"/>
        </w:rPr>
        <w:t>and Secretary</w:t>
      </w:r>
    </w:p>
    <w:p>
      <w:pPr>
        <w:spacing w:after="0" w:line="200" w:lineRule="exact"/>
        <w:rPr>
          <w:sz w:val="20"/>
          <w:szCs w:val="20"/>
          <w:color w:val="auto"/>
        </w:rPr>
      </w:pPr>
    </w:p>
    <w:p>
      <w:pPr>
        <w:spacing w:after="0" w:line="35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OPTIONEE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294005</wp:posOffset>
            </wp:positionV>
            <wp:extent cx="289877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898775" cy="8890"/>
                    </a:xfrm>
                    <a:prstGeom prst="rect">
                      <a:avLst/>
                    </a:prstGeom>
                    <a:noFill/>
                  </pic:spPr>
                </pic:pic>
              </a:graphicData>
            </a:graphic>
          </wp:anchor>
        </w:drawing>
        <w:drawing>
          <wp:anchor simplePos="0" relativeHeight="251657728" behindDoc="1" locked="0" layoutInCell="0" allowOverlap="1">
            <wp:simplePos x="0" y="0"/>
            <wp:positionH relativeFrom="column">
              <wp:posOffset>4352925</wp:posOffset>
            </wp:positionH>
            <wp:positionV relativeFrom="paragraph">
              <wp:posOffset>516890</wp:posOffset>
            </wp:positionV>
            <wp:extent cx="289877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8800"/>
        <w:spacing w:after="0"/>
        <w:rPr>
          <w:sz w:val="20"/>
          <w:szCs w:val="20"/>
          <w:color w:val="auto"/>
        </w:rPr>
      </w:pPr>
      <w:r>
        <w:rPr>
          <w:rFonts w:ascii="Arial" w:cs="Arial" w:eastAsia="Arial" w:hAnsi="Arial"/>
          <w:sz w:val="14"/>
          <w:szCs w:val="14"/>
          <w:b w:val="1"/>
          <w:bCs w:val="1"/>
          <w:color w:val="auto"/>
        </w:rPr>
        <w:t>Print Name</w:t>
      </w:r>
    </w:p>
    <w:p>
      <w:pPr>
        <w:sectPr>
          <w:pgSz w:w="11900" w:h="16838" w:orient="portrait"/>
          <w:cols w:equalWidth="0" w:num="1">
            <w:col w:w="11360"/>
          </w:cols>
          <w:pgMar w:left="240" w:top="280" w:right="299" w:bottom="1440" w:gutter="0" w:footer="0" w:header="0"/>
        </w:sectPr>
      </w:pPr>
    </w:p>
    <w:bookmarkStart w:id="44" w:name="page45"/>
    <w:bookmarkEnd w:id="44"/>
    <w:p>
      <w:pPr>
        <w:jc w:val="center"/>
        <w:ind w:right="-15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SPOUSAL CONSENT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By his or her signature below, the spouse of the Optionee agrees to be bound by all of the terms and conditions of the foregoing Option Agreement.</w:t>
      </w:r>
    </w:p>
    <w:p>
      <w:pPr>
        <w:spacing w:after="0" w:line="246"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OPTIONEE’S SPOUSE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4060825</wp:posOffset>
            </wp:positionH>
            <wp:positionV relativeFrom="paragraph">
              <wp:posOffset>422910</wp:posOffset>
            </wp:positionV>
            <wp:extent cx="289877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8400"/>
        <w:spacing w:after="0"/>
        <w:rPr>
          <w:sz w:val="20"/>
          <w:szCs w:val="20"/>
          <w:color w:val="auto"/>
        </w:rPr>
      </w:pPr>
      <w:r>
        <w:rPr>
          <w:rFonts w:ascii="Arial" w:cs="Arial" w:eastAsia="Arial" w:hAnsi="Arial"/>
          <w:sz w:val="14"/>
          <w:szCs w:val="14"/>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4060825</wp:posOffset>
            </wp:positionH>
            <wp:positionV relativeFrom="paragraph">
              <wp:posOffset>412115</wp:posOffset>
            </wp:positionV>
            <wp:extent cx="289877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8340"/>
        <w:spacing w:after="0"/>
        <w:rPr>
          <w:sz w:val="20"/>
          <w:szCs w:val="20"/>
          <w:color w:val="auto"/>
        </w:rPr>
      </w:pPr>
      <w:r>
        <w:rPr>
          <w:rFonts w:ascii="Arial" w:cs="Arial" w:eastAsia="Arial" w:hAnsi="Arial"/>
          <w:sz w:val="14"/>
          <w:szCs w:val="14"/>
          <w:b w:val="1"/>
          <w:bCs w:val="1"/>
          <w:color w:val="auto"/>
        </w:rPr>
        <w:t>Print Name</w:t>
      </w:r>
    </w:p>
    <w:p>
      <w:pPr>
        <w:sectPr>
          <w:pgSz w:w="11900" w:h="16838" w:orient="portrait"/>
          <w:cols w:equalWidth="0" w:num="1">
            <w:col w:w="10340"/>
          </w:cols>
          <w:pgMar w:left="700" w:top="280" w:right="859" w:bottom="1440" w:gutter="0" w:footer="0" w:header="0"/>
        </w:sectPr>
      </w:pPr>
    </w:p>
    <w:bookmarkStart w:id="45" w:name="page46"/>
    <w:bookmarkEnd w:id="45"/>
    <w:p>
      <w:pPr>
        <w:jc w:val="center"/>
        <w:ind w:right="-1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21" w:lineRule="exact"/>
        <w:rPr>
          <w:sz w:val="20"/>
          <w:szCs w:val="20"/>
          <w:color w:val="auto"/>
        </w:rPr>
      </w:pPr>
    </w:p>
    <w:p>
      <w:pPr>
        <w:jc w:val="center"/>
        <w:ind w:right="-179"/>
        <w:spacing w:after="0"/>
        <w:rPr>
          <w:sz w:val="20"/>
          <w:szCs w:val="20"/>
          <w:color w:val="auto"/>
        </w:rPr>
      </w:pPr>
      <w:r>
        <w:rPr>
          <w:rFonts w:ascii="Arial" w:cs="Arial" w:eastAsia="Arial" w:hAnsi="Arial"/>
          <w:sz w:val="16"/>
          <w:szCs w:val="16"/>
          <w:b w:val="1"/>
          <w:bCs w:val="1"/>
          <w:u w:val="single" w:color="auto"/>
          <w:color w:val="auto"/>
        </w:rPr>
        <w:t>NOTICE OF EXERCISE OF STOCK OPTION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Wynn Resorts, Limited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3131 Las Vegas Boulevard South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Las Vegas, Nevada 89109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Legal Department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undersigned hereby elects to exercise the option indicated below:</w:t>
      </w:r>
    </w:p>
    <w:p>
      <w:pPr>
        <w:sectPr>
          <w:pgSz w:w="11900" w:h="16838" w:orient="portrait"/>
          <w:cols w:equalWidth="0" w:num="1">
            <w:col w:w="11260"/>
          </w:cols>
          <w:pgMar w:left="240" w:top="274" w:right="399" w:bottom="1440" w:gutter="0" w:footer="0" w:header="0"/>
        </w:sect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Option Grant Date: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Type of Option:</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Number of Shares Being Exercised:</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Exercise Price Per Share: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Total Exercise Price: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Method of Payment:</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Incentive Stock Option/Nonqualified Stock Option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w:t>
      </w:r>
    </w:p>
    <w:p>
      <w:pPr>
        <w:spacing w:after="0" w:line="165" w:lineRule="exact"/>
        <w:rPr>
          <w:sz w:val="20"/>
          <w:szCs w:val="20"/>
          <w:color w:val="auto"/>
        </w:rPr>
      </w:pPr>
    </w:p>
    <w:p>
      <w:pPr>
        <w:sectPr>
          <w:pgSz w:w="11900" w:h="16838" w:orient="portrait"/>
          <w:cols w:equalWidth="0" w:num="2">
            <w:col w:w="2540" w:space="560"/>
            <w:col w:w="8160"/>
          </w:cols>
          <w:pgMar w:left="240" w:top="274" w:right="399" w:bottom="1440" w:gutter="0" w:footer="0" w:header="0"/>
          <w:type w:val="continuous"/>
        </w:sectPr>
      </w:pPr>
    </w:p>
    <w:p>
      <w:pPr>
        <w:ind w:left="460"/>
        <w:spacing w:after="0"/>
        <w:rPr>
          <w:sz w:val="20"/>
          <w:szCs w:val="20"/>
          <w:color w:val="auto"/>
        </w:rPr>
      </w:pPr>
      <w:r>
        <w:rPr>
          <w:rFonts w:ascii="Arial" w:cs="Arial" w:eastAsia="Arial" w:hAnsi="Arial"/>
          <w:sz w:val="18"/>
          <w:szCs w:val="18"/>
          <w:color w:val="auto"/>
        </w:rPr>
        <w:t>Enclosed herewith is payment in full of the total exercise price and a copy of the Grant Notice.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5"/>
          <w:szCs w:val="15"/>
          <w:color w:val="auto"/>
        </w:rPr>
        <w:t>My exact name, current address and social security number for purposes of the stock certificates to be issued and the shareholder list of the Company are:</w:t>
      </w:r>
    </w:p>
    <w:p>
      <w:pPr>
        <w:spacing w:after="0" w:line="206"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1176655</wp:posOffset>
            </wp:positionH>
            <wp:positionV relativeFrom="paragraph">
              <wp:posOffset>-13970</wp:posOffset>
            </wp:positionV>
            <wp:extent cx="158877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588770" cy="8890"/>
                    </a:xfrm>
                    <a:prstGeom prst="rect">
                      <a:avLst/>
                    </a:prstGeom>
                    <a:noFill/>
                  </pic:spPr>
                </pic:pic>
              </a:graphicData>
            </a:graphic>
          </wp:anchor>
        </w:drawing>
      </w:r>
    </w:p>
    <w:p>
      <w:pPr>
        <w:spacing w:after="0" w:line="151"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1275715</wp:posOffset>
            </wp:positionH>
            <wp:positionV relativeFrom="paragraph">
              <wp:posOffset>-13970</wp:posOffset>
            </wp:positionV>
            <wp:extent cx="147701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477010" cy="8890"/>
                    </a:xfrm>
                    <a:prstGeom prst="rect">
                      <a:avLst/>
                    </a:prstGeom>
                    <a:noFill/>
                  </pic:spPr>
                </pic:pic>
              </a:graphicData>
            </a:graphic>
          </wp:anchor>
        </w:drawing>
        <w:drawing>
          <wp:anchor simplePos="0" relativeHeight="251657728" behindDoc="1" locked="0" layoutInCell="0" allowOverlap="1">
            <wp:simplePos x="0" y="0"/>
            <wp:positionH relativeFrom="column">
              <wp:posOffset>1437005</wp:posOffset>
            </wp:positionH>
            <wp:positionV relativeFrom="paragraph">
              <wp:posOffset>225425</wp:posOffset>
            </wp:positionV>
            <wp:extent cx="144907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Social Security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1981200</wp:posOffset>
            </wp:positionH>
            <wp:positionV relativeFrom="paragraph">
              <wp:posOffset>-13970</wp:posOffset>
            </wp:positionV>
            <wp:extent cx="72453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535" cy="8890"/>
                    </a:xfrm>
                    <a:prstGeom prst="rect">
                      <a:avLst/>
                    </a:prstGeom>
                    <a:noFill/>
                  </pic:spPr>
                </pic:pic>
              </a:graphicData>
            </a:graphic>
          </wp:anchor>
        </w:drawing>
      </w:r>
    </w:p>
    <w:p>
      <w:pPr>
        <w:spacing w:after="0" w:line="192" w:lineRule="exact"/>
        <w:rPr>
          <w:sz w:val="20"/>
          <w:szCs w:val="20"/>
          <w:color w:val="auto"/>
        </w:rPr>
      </w:pPr>
    </w:p>
    <w:p>
      <w:pPr>
        <w:ind w:left="3100"/>
        <w:spacing w:after="0"/>
        <w:rPr>
          <w:sz w:val="20"/>
          <w:szCs w:val="20"/>
          <w:color w:val="auto"/>
        </w:rPr>
      </w:pPr>
      <w:r>
        <w:rPr>
          <w:rFonts w:ascii="Arial" w:cs="Arial" w:eastAsia="Arial" w:hAnsi="Arial"/>
          <w:sz w:val="18"/>
          <w:szCs w:val="18"/>
          <w:color w:val="auto"/>
        </w:rPr>
        <w:t>Sincerely,</w:t>
      </w:r>
    </w:p>
    <w:p>
      <w:pPr>
        <w:spacing w:after="0" w:line="200" w:lineRule="exact"/>
        <w:rPr>
          <w:sz w:val="20"/>
          <w:szCs w:val="20"/>
          <w:color w:val="auto"/>
        </w:rPr>
      </w:pPr>
    </w:p>
    <w:p>
      <w:pPr>
        <w:spacing w:after="0" w:line="241" w:lineRule="exact"/>
        <w:rPr>
          <w:sz w:val="20"/>
          <w:szCs w:val="20"/>
          <w:color w:val="auto"/>
        </w:rPr>
      </w:pPr>
    </w:p>
    <w:p>
      <w:pPr>
        <w:spacing w:after="0"/>
        <w:tabs>
          <w:tab w:leader="none" w:pos="308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330200</wp:posOffset>
            </wp:positionH>
            <wp:positionV relativeFrom="paragraph">
              <wp:posOffset>-13970</wp:posOffset>
            </wp:positionV>
            <wp:extent cx="55753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ind w:left="3100"/>
        <w:spacing w:after="0"/>
        <w:rPr>
          <w:sz w:val="20"/>
          <w:szCs w:val="20"/>
          <w:color w:val="auto"/>
        </w:rPr>
      </w:pPr>
      <w:r>
        <w:rPr>
          <w:rFonts w:ascii="Arial" w:cs="Arial" w:eastAsia="Arial" w:hAnsi="Arial"/>
          <w:sz w:val="18"/>
          <w:szCs w:val="18"/>
          <w:color w:val="auto"/>
        </w:rPr>
        <w:t>(Optionee’s Signature)</w:t>
      </w:r>
    </w:p>
    <w:p>
      <w:pPr>
        <w:sectPr>
          <w:pgSz w:w="11900" w:h="16838" w:orient="portrait"/>
          <w:cols w:equalWidth="0" w:num="1">
            <w:col w:w="11260"/>
          </w:cols>
          <w:pgMar w:left="240" w:top="274" w:right="399" w:bottom="1440" w:gutter="0" w:footer="0" w:header="0"/>
          <w:type w:val="continuous"/>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10.6</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2002 STOCK INCENTIVE PLAN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RESTRICTED STOCK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Pursuant to the terms of the Wynn Resorts, Limited 2002 Stock Incentive Plan (the “</w:t>
      </w:r>
      <w:r>
        <w:rPr>
          <w:rFonts w:ascii="Arial" w:cs="Arial" w:eastAsia="Arial" w:hAnsi="Arial"/>
          <w:sz w:val="16"/>
          <w:szCs w:val="16"/>
          <w:b w:val="1"/>
          <w:bCs w:val="1"/>
          <w:color w:val="auto"/>
        </w:rPr>
        <w:t>Plan</w:t>
      </w:r>
      <w:r>
        <w:rPr>
          <w:rFonts w:ascii="Arial" w:cs="Arial" w:eastAsia="Arial" w:hAnsi="Arial"/>
          <w:sz w:val="16"/>
          <w:szCs w:val="16"/>
          <w:color w:val="auto"/>
        </w:rPr>
        <w:t>”), Wynn Resorts, Limited, a Nevada corporation (the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Company</w:t>
      </w:r>
      <w:r>
        <w:rPr>
          <w:rFonts w:ascii="Arial" w:cs="Arial" w:eastAsia="Arial" w:hAnsi="Arial"/>
          <w:sz w:val="16"/>
          <w:szCs w:val="16"/>
          <w:color w:val="auto"/>
        </w:rPr>
        <w:t>”), hereby offers to grant to you (the “</w:t>
      </w:r>
      <w:r>
        <w:rPr>
          <w:rFonts w:ascii="Arial" w:cs="Arial" w:eastAsia="Arial" w:hAnsi="Arial"/>
          <w:sz w:val="16"/>
          <w:szCs w:val="16"/>
          <w:b w:val="1"/>
          <w:bCs w:val="1"/>
          <w:color w:val="auto"/>
        </w:rPr>
        <w:t>Grantee</w:t>
      </w:r>
      <w:r>
        <w:rPr>
          <w:rFonts w:ascii="Arial" w:cs="Arial" w:eastAsia="Arial" w:hAnsi="Arial"/>
          <w:sz w:val="16"/>
          <w:szCs w:val="16"/>
          <w:color w:val="auto"/>
        </w:rPr>
        <w:t>”) a Stock Award of Shares of Company Common Stock as set forth immediately below, on the terms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conditions and subject to the restrictions set forth in the Plan and this Restricted Stock Agreement (the “</w:t>
      </w:r>
      <w:r>
        <w:rPr>
          <w:rFonts w:ascii="Arial" w:cs="Arial" w:eastAsia="Arial" w:hAnsi="Arial"/>
          <w:sz w:val="16"/>
          <w:szCs w:val="16"/>
          <w:b w:val="1"/>
          <w:bCs w:val="1"/>
          <w:color w:val="auto"/>
        </w:rPr>
        <w:t>Agreement</w:t>
      </w:r>
      <w:r>
        <w:rPr>
          <w:rFonts w:ascii="Arial" w:cs="Arial" w:eastAsia="Arial" w:hAnsi="Arial"/>
          <w:sz w:val="16"/>
          <w:szCs w:val="16"/>
          <w:color w:val="auto"/>
        </w:rPr>
        <w:t>”). To accept this offer, sign one copy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this Agreement and return it by </w:t>
      </w:r>
      <w:r>
        <w:rPr>
          <w:rFonts w:ascii="Arial" w:cs="Arial" w:eastAsia="Arial" w:hAnsi="Arial"/>
          <w:sz w:val="16"/>
          <w:szCs w:val="16"/>
          <w:b w:val="1"/>
          <w:bCs w:val="1"/>
          <w:color w:val="auto"/>
        </w:rPr>
        <w:t>[ ]</w:t>
      </w:r>
      <w:r>
        <w:rPr>
          <w:rFonts w:ascii="Arial" w:cs="Arial" w:eastAsia="Arial" w:hAnsi="Arial"/>
          <w:sz w:val="16"/>
          <w:szCs w:val="16"/>
          <w:color w:val="auto"/>
        </w:rPr>
        <w:t xml:space="preserve"> to the General Counsel, Wynn Resorts, Limited, Legal Department, 3131 Las Vegas Blvd South, Las Vegas, Nevada 89109.</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Grantee: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Award: Shares of Common Stock</w:t>
      </w:r>
    </w:p>
    <w:p>
      <w:pPr>
        <w:sectPr>
          <w:pgSz w:w="11900" w:h="16838" w:orient="portrait"/>
          <w:cols w:equalWidth="0" w:num="1">
            <w:col w:w="11420"/>
          </w:cols>
          <w:pgMar w:left="240" w:top="125" w:right="239" w:bottom="1440" w:gutter="0" w:footer="0" w:header="0"/>
        </w:sectPr>
      </w:pPr>
    </w:p>
    <w:p>
      <w:pPr>
        <w:spacing w:after="0" w:line="9" w:lineRule="exact"/>
        <w:rPr>
          <w:sz w:val="20"/>
          <w:szCs w:val="20"/>
          <w:color w:val="auto"/>
        </w:rPr>
      </w:pPr>
    </w:p>
    <w:p>
      <w:pPr>
        <w:spacing w:after="0" w:line="302" w:lineRule="auto"/>
        <w:rPr>
          <w:sz w:val="20"/>
          <w:szCs w:val="20"/>
          <w:color w:val="auto"/>
        </w:rPr>
      </w:pPr>
      <w:r>
        <w:rPr>
          <w:rFonts w:ascii="Arial" w:cs="Arial" w:eastAsia="Arial" w:hAnsi="Arial"/>
          <w:sz w:val="16"/>
          <w:szCs w:val="16"/>
          <w:b w:val="1"/>
          <w:bCs w:val="1"/>
          <w:color w:val="auto"/>
        </w:rPr>
        <w:t>Grant Date: Purchase Price: None Vesting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669925</wp:posOffset>
            </wp:positionH>
            <wp:positionV relativeFrom="paragraph">
              <wp:posOffset>-53340</wp:posOffset>
            </wp:positionV>
            <wp:extent cx="55753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or earlier pursuant to Sections 3(c), 3(d) or 3(e) below.</w:t>
      </w:r>
    </w:p>
    <w:p>
      <w:pPr>
        <w:spacing w:after="0" w:line="211" w:lineRule="exact"/>
        <w:rPr>
          <w:sz w:val="20"/>
          <w:szCs w:val="20"/>
          <w:color w:val="auto"/>
        </w:rPr>
      </w:pPr>
    </w:p>
    <w:p>
      <w:pPr>
        <w:sectPr>
          <w:pgSz w:w="11900" w:h="16838" w:orient="portrait"/>
          <w:cols w:equalWidth="0" w:num="2">
            <w:col w:w="1620" w:space="360"/>
            <w:col w:w="9440"/>
          </w:cols>
          <w:pgMar w:left="240" w:top="125" w:right="239" w:bottom="1440" w:gutter="0" w:footer="0" w:header="0"/>
          <w:type w:val="continuous"/>
        </w:sectPr>
      </w:pPr>
    </w:p>
    <w:p>
      <w:pPr>
        <w:ind w:left="180" w:hanging="172"/>
        <w:spacing w:after="0"/>
        <w:tabs>
          <w:tab w:leader="none" w:pos="180"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Capitalized terms used in this Agreement that are not otherwise defined herein shall have the same meanings as in the Plan.</w:t>
      </w:r>
    </w:p>
    <w:p>
      <w:pPr>
        <w:spacing w:after="0" w:line="171" w:lineRule="exact"/>
        <w:rPr>
          <w:rFonts w:ascii="Arial" w:cs="Arial" w:eastAsia="Arial" w:hAnsi="Arial"/>
          <w:sz w:val="18"/>
          <w:szCs w:val="18"/>
          <w:color w:val="auto"/>
        </w:rPr>
      </w:pPr>
    </w:p>
    <w:p>
      <w:pPr>
        <w:ind w:left="180" w:hanging="172"/>
        <w:spacing w:after="0"/>
        <w:tabs>
          <w:tab w:leader="none" w:pos="180" w:val="left"/>
        </w:tabs>
        <w:numPr>
          <w:ilvl w:val="0"/>
          <w:numId w:val="25"/>
        </w:numPr>
        <w:rPr>
          <w:rFonts w:ascii="Arial" w:cs="Arial" w:eastAsia="Arial" w:hAnsi="Arial"/>
          <w:sz w:val="16"/>
          <w:szCs w:val="16"/>
          <w:color w:val="auto"/>
        </w:rPr>
      </w:pPr>
      <w:r>
        <w:rPr>
          <w:rFonts w:ascii="Arial" w:cs="Arial" w:eastAsia="Arial" w:hAnsi="Arial"/>
          <w:sz w:val="16"/>
          <w:szCs w:val="16"/>
          <w:u w:val="single" w:color="auto"/>
          <w:color w:val="auto"/>
        </w:rPr>
        <w:t>Grant</w:t>
      </w:r>
      <w:r>
        <w:rPr>
          <w:rFonts w:ascii="Arial" w:cs="Arial" w:eastAsia="Arial" w:hAnsi="Arial"/>
          <w:sz w:val="16"/>
          <w:szCs w:val="16"/>
          <w:color w:val="auto"/>
        </w:rPr>
        <w:t>. The Company hereby grants the Stock Award set forth above to Grantee, subject to the terms and conditions of this Agreement and the Plan.</w:t>
      </w:r>
    </w:p>
    <w:p>
      <w:pPr>
        <w:spacing w:after="0" w:line="234" w:lineRule="exact"/>
        <w:rPr>
          <w:rFonts w:ascii="Arial" w:cs="Arial" w:eastAsia="Arial" w:hAnsi="Arial"/>
          <w:sz w:val="16"/>
          <w:szCs w:val="16"/>
          <w:color w:val="auto"/>
        </w:rPr>
      </w:pPr>
    </w:p>
    <w:p>
      <w:pPr>
        <w:ind w:left="460" w:hanging="452"/>
        <w:spacing w:after="0"/>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Restrictions</w:t>
      </w:r>
    </w:p>
    <w:p>
      <w:pPr>
        <w:spacing w:after="0" w:line="90" w:lineRule="exact"/>
        <w:rPr>
          <w:sz w:val="20"/>
          <w:szCs w:val="20"/>
          <w:color w:val="auto"/>
        </w:rPr>
      </w:pPr>
    </w:p>
    <w:p>
      <w:pPr>
        <w:ind w:right="100" w:firstLine="8"/>
        <w:spacing w:after="0" w:line="335" w:lineRule="auto"/>
        <w:tabs>
          <w:tab w:leader="none" w:pos="239" w:val="left"/>
        </w:tabs>
        <w:numPr>
          <w:ilvl w:val="0"/>
          <w:numId w:val="26"/>
        </w:numPr>
        <w:rPr>
          <w:rFonts w:ascii="Arial" w:cs="Arial" w:eastAsia="Arial" w:hAnsi="Arial"/>
          <w:sz w:val="15"/>
          <w:szCs w:val="15"/>
          <w:color w:val="auto"/>
        </w:rPr>
      </w:pPr>
      <w:r>
        <w:rPr>
          <w:rFonts w:ascii="Arial" w:cs="Arial" w:eastAsia="Arial" w:hAnsi="Arial"/>
          <w:sz w:val="15"/>
          <w:szCs w:val="15"/>
          <w:color w:val="auto"/>
        </w:rPr>
        <w:t>Subject to Sections 3(c), 3(d), 3(e) and 4, shares granted pursuant to the Stock Award may not be sold, assigned, transferred, pledged, hypothecated or otherwise disposed of or encumbered and shall be subject to a risk of forfeiture as described in Section 3(b) until the Vesting Date and any additional requirements or restrictions contained in this Agreement or in the Plan have been otherwise satisfied, terminated or expressly waived by the Company in writing.</w:t>
      </w:r>
    </w:p>
    <w:p>
      <w:pPr>
        <w:spacing w:after="0" w:line="88" w:lineRule="exact"/>
        <w:rPr>
          <w:rFonts w:ascii="Arial" w:cs="Arial" w:eastAsia="Arial" w:hAnsi="Arial"/>
          <w:sz w:val="15"/>
          <w:szCs w:val="15"/>
          <w:color w:val="auto"/>
        </w:rPr>
      </w:pPr>
    </w:p>
    <w:p>
      <w:pPr>
        <w:ind w:right="20" w:firstLine="8"/>
        <w:spacing w:after="0" w:line="256" w:lineRule="auto"/>
        <w:tabs>
          <w:tab w:leader="none" w:pos="249" w:val="left"/>
        </w:tabs>
        <w:numPr>
          <w:ilvl w:val="0"/>
          <w:numId w:val="26"/>
        </w:numPr>
        <w:rPr>
          <w:rFonts w:ascii="Arial" w:cs="Arial" w:eastAsia="Arial" w:hAnsi="Arial"/>
          <w:sz w:val="18"/>
          <w:szCs w:val="18"/>
          <w:color w:val="auto"/>
        </w:rPr>
      </w:pPr>
      <w:r>
        <w:rPr>
          <w:rFonts w:ascii="Arial" w:cs="Arial" w:eastAsia="Arial" w:hAnsi="Arial"/>
          <w:sz w:val="18"/>
          <w:szCs w:val="18"/>
          <w:color w:val="auto"/>
        </w:rPr>
        <w:t>Except as otherwise provided under the terms of the Plan and subject to Sections 3(c) and 3(d), if Grantee’s employment with the Company is terminated for any reason, then this Agreement shall terminate and all rights of the Grantee with respect to Shares granted pursuant to the Stock Award that have not vested up to the date of termination shall immediately terminate. The Shares granted pursuant to the Stock Award that are subject to restrictions upon the date of termination, and any and all</w:t>
      </w:r>
    </w:p>
    <w:p>
      <w:pPr>
        <w:sectPr>
          <w:pgSz w:w="11900" w:h="16838" w:orient="portrait"/>
          <w:cols w:equalWidth="0" w:num="1">
            <w:col w:w="11420"/>
          </w:cols>
          <w:pgMar w:left="240" w:top="125" w:right="239" w:bottom="1440" w:gutter="0" w:footer="0" w:header="0"/>
          <w:type w:val="continuous"/>
        </w:sectPr>
      </w:pPr>
    </w:p>
    <w:bookmarkStart w:id="47" w:name="page48"/>
    <w:bookmarkEnd w:id="47"/>
    <w:p>
      <w:pPr>
        <w:jc w:val="both"/>
        <w:ind w:right="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accrued but unpaid dividends thereon, shall be forfeited to the Company without payment of any consideration by the Company, and neither the Grantee nor any of his or her successors, heirs, assigns, or personal representatives shall thereafter have any further rights or interests in such Stock Award or accrued but unpaid dividends in connection therewith.</w:t>
      </w:r>
    </w:p>
    <w:p>
      <w:pPr>
        <w:spacing w:after="0" w:line="140" w:lineRule="exact"/>
        <w:rPr>
          <w:sz w:val="20"/>
          <w:szCs w:val="20"/>
          <w:color w:val="auto"/>
        </w:rPr>
      </w:pPr>
    </w:p>
    <w:p>
      <w:pPr>
        <w:ind w:right="40" w:firstLine="8"/>
        <w:spacing w:after="0" w:line="302" w:lineRule="auto"/>
        <w:tabs>
          <w:tab w:leader="none" w:pos="239" w:val="left"/>
        </w:tabs>
        <w:numPr>
          <w:ilvl w:val="0"/>
          <w:numId w:val="27"/>
        </w:numPr>
        <w:rPr>
          <w:rFonts w:ascii="Arial" w:cs="Arial" w:eastAsia="Arial" w:hAnsi="Arial"/>
          <w:sz w:val="15"/>
          <w:szCs w:val="15"/>
          <w:color w:val="auto"/>
        </w:rPr>
      </w:pPr>
      <w:r>
        <w:rPr>
          <w:rFonts w:ascii="Arial" w:cs="Arial" w:eastAsia="Arial" w:hAnsi="Arial"/>
          <w:sz w:val="15"/>
          <w:szCs w:val="15"/>
          <w:color w:val="auto"/>
        </w:rPr>
        <w:t>In the event that Grantee’s employment with the Company or one of the Company’s affiliates is terminated by the Company (or one of its affiliates) without “Cause” prior to the Vesting Date, the restrictions set forth in Section 3(a) shall lapse and the Shares granted pursuant to the Stock Award shall vest pro-rata, determined based upon: a fraction, the numerator of which shall be the number of whole months between the Grant Date and the date of termination of Grantee’s Continuous Status as an Employee, Director or Consultant, and the denominator of which shall be the number of whole months between the grant date and</w:t>
      </w:r>
    </w:p>
    <w:p>
      <w:pPr>
        <w:spacing w:after="0" w:line="2" w:lineRule="exact"/>
        <w:rPr>
          <w:rFonts w:ascii="Arial" w:cs="Arial" w:eastAsia="Arial" w:hAnsi="Arial"/>
          <w:sz w:val="15"/>
          <w:szCs w:val="15"/>
          <w:color w:val="auto"/>
        </w:rPr>
      </w:pPr>
    </w:p>
    <w:p>
      <w:pPr>
        <w:ind w:firstLine="886"/>
        <w:spacing w:after="0" w:line="287" w:lineRule="auto"/>
        <w:tabs>
          <w:tab w:leader="none" w:pos="966" w:val="left"/>
        </w:tabs>
        <w:numPr>
          <w:ilvl w:val="1"/>
          <w:numId w:val="27"/>
        </w:numPr>
        <w:rPr>
          <w:rFonts w:ascii="Arial" w:cs="Arial" w:eastAsia="Arial" w:hAnsi="Arial"/>
          <w:sz w:val="16"/>
          <w:szCs w:val="16"/>
          <w:color w:val="auto"/>
        </w:rPr>
      </w:pPr>
      <w:r>
        <w:rPr>
          <w:rFonts w:ascii="Arial" w:cs="Arial" w:eastAsia="Arial" w:hAnsi="Arial"/>
          <w:sz w:val="16"/>
          <w:szCs w:val="16"/>
          <w:color w:val="auto"/>
        </w:rPr>
        <w:t>and such vested Shares shall become fully and freely transferable (provided, that such transfer is otherwise in accordance with federal and state securities laws) and non-forfeitable; provided further, however, that the Company’s Right of First Refusal (described in Section 4, below) shall apply upon and after such vesting. As used in this Section 3(c) “</w:t>
      </w:r>
      <w:r>
        <w:rPr>
          <w:rFonts w:ascii="Arial" w:cs="Arial" w:eastAsia="Arial" w:hAnsi="Arial"/>
          <w:sz w:val="16"/>
          <w:szCs w:val="16"/>
          <w:b w:val="1"/>
          <w:bCs w:val="1"/>
          <w:color w:val="auto"/>
        </w:rPr>
        <w:t>Cause</w:t>
      </w:r>
      <w:r>
        <w:rPr>
          <w:rFonts w:ascii="Arial" w:cs="Arial" w:eastAsia="Arial" w:hAnsi="Arial"/>
          <w:sz w:val="16"/>
          <w:szCs w:val="16"/>
          <w:color w:val="auto"/>
        </w:rPr>
        <w:t>” shall have the meaning set forth in a Grantee’s employment or consulting agreement with the Company (if any), or if not defined therein, shall mean (i) acts or omissions by the Grantee which constitute intentional material misconduct or a knowing violation of a material policy of the Company or any of its subsidiaries, (ii) the Grantee personally receiving a benefit in money, property or services from the Company or any of its subsidiaries or from another person dealing with the Company or any of its subsidiaries, in material violation of applicable law or Company policy, (iii) an act of fraud, conversion, misappropriation, or embezzlement by the Grantee or Grantee’s conviction of, or entering a guilty plea or plea of no contest with respect to, a felony, or the equivalent thereof (other than DUI), or (iv) any material misuse or improper disclosure of confidential or proprietary information of the Company.</w:t>
      </w:r>
    </w:p>
    <w:p>
      <w:pPr>
        <w:spacing w:after="0" w:line="120" w:lineRule="exact"/>
        <w:rPr>
          <w:rFonts w:ascii="Arial" w:cs="Arial" w:eastAsia="Arial" w:hAnsi="Arial"/>
          <w:sz w:val="16"/>
          <w:szCs w:val="16"/>
          <w:color w:val="auto"/>
        </w:rPr>
      </w:pPr>
    </w:p>
    <w:p>
      <w:pPr>
        <w:ind w:right="140" w:firstLine="8"/>
        <w:spacing w:after="0" w:line="256" w:lineRule="auto"/>
        <w:tabs>
          <w:tab w:leader="none" w:pos="249"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 the event of termination of Grantee’s Continuous Status as an Employee, Director or Consultant as a result of Grantee’s death or Disability, this Stock Award shall immediately vest in full and such vested Shares shall become fully and freely transferable (provided, that such transfer is otherwise in accordance with federal and state securities laws) and non-forfeitable; provided further, however, that the Company’s Right of First Refusal (described in Section 4, below) shall apply upon and after such vesting.</w:t>
      </w:r>
    </w:p>
    <w:p>
      <w:pPr>
        <w:spacing w:after="0" w:line="143" w:lineRule="exact"/>
        <w:rPr>
          <w:rFonts w:ascii="Arial" w:cs="Arial" w:eastAsia="Arial" w:hAnsi="Arial"/>
          <w:sz w:val="18"/>
          <w:szCs w:val="18"/>
          <w:color w:val="auto"/>
        </w:rPr>
      </w:pPr>
    </w:p>
    <w:p>
      <w:pPr>
        <w:ind w:right="120" w:firstLine="8"/>
        <w:spacing w:after="0" w:line="332" w:lineRule="auto"/>
        <w:tabs>
          <w:tab w:leader="none" w:pos="239" w:val="left"/>
        </w:tabs>
        <w:numPr>
          <w:ilvl w:val="0"/>
          <w:numId w:val="27"/>
        </w:numPr>
        <w:rPr>
          <w:rFonts w:ascii="Arial" w:cs="Arial" w:eastAsia="Arial" w:hAnsi="Arial"/>
          <w:sz w:val="16"/>
          <w:szCs w:val="16"/>
          <w:color w:val="auto"/>
        </w:rPr>
      </w:pPr>
      <w:r>
        <w:rPr>
          <w:rFonts w:ascii="Arial" w:cs="Arial" w:eastAsia="Arial" w:hAnsi="Arial"/>
          <w:sz w:val="16"/>
          <w:szCs w:val="16"/>
          <w:color w:val="auto"/>
        </w:rPr>
        <w:t>In the event of a Change of Control (as defined below), this Stock Award shall immediately vest in full and such vested Shares shall become fully and freely transferable (provided, that such transfer is otherwise in accordance with federal and state securities laws) and non-forfeitable.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-2195195</wp:posOffset>
            </wp:positionV>
            <wp:extent cx="55753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For the purposes of this Stock Award, “</w:t>
      </w:r>
      <w:r>
        <w:rPr>
          <w:rFonts w:ascii="Arial" w:cs="Arial" w:eastAsia="Arial" w:hAnsi="Arial"/>
          <w:sz w:val="18"/>
          <w:szCs w:val="18"/>
          <w:b w:val="1"/>
          <w:bCs w:val="1"/>
          <w:color w:val="auto"/>
        </w:rPr>
        <w:t>Change of Control</w:t>
      </w:r>
      <w:r>
        <w:rPr>
          <w:rFonts w:ascii="Arial" w:cs="Arial" w:eastAsia="Arial" w:hAnsi="Arial"/>
          <w:sz w:val="18"/>
          <w:szCs w:val="18"/>
          <w:color w:val="auto"/>
        </w:rPr>
        <w:t>” shall mean the occurrence of any one of the following events:</w:t>
      </w:r>
    </w:p>
    <w:p>
      <w:pPr>
        <w:sectPr>
          <w:pgSz w:w="11900" w:h="16838" w:orient="portrait"/>
          <w:cols w:equalWidth="0" w:num="1">
            <w:col w:w="11360"/>
          </w:cols>
          <w:pgMar w:left="240" w:top="280" w:right="299" w:bottom="1440" w:gutter="0" w:footer="0" w:header="0"/>
        </w:sectPr>
      </w:pPr>
    </w:p>
    <w:bookmarkStart w:id="48" w:name="page49"/>
    <w:bookmarkEnd w:id="48"/>
    <w:p>
      <w:pPr>
        <w:ind w:right="140" w:firstLine="8"/>
        <w:spacing w:after="0" w:line="332" w:lineRule="auto"/>
        <w:tabs>
          <w:tab w:leader="none" w:pos="210" w:val="left"/>
        </w:tabs>
        <w:numPr>
          <w:ilvl w:val="0"/>
          <w:numId w:val="2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direct or indirect acquisition by an unrelated “Person” or “Group” of “Beneficial Ownership” (as such terms are defined below) of more than fifty percent (50%) of the voting power of the Company’s issued and outstanding voting securities in a single transaction or a series of related transactions;</w:t>
      </w:r>
    </w:p>
    <w:p>
      <w:pPr>
        <w:spacing w:after="0" w:line="85" w:lineRule="exact"/>
        <w:rPr>
          <w:rFonts w:ascii="Arial" w:cs="Arial" w:eastAsia="Arial" w:hAnsi="Arial"/>
          <w:sz w:val="16"/>
          <w:szCs w:val="16"/>
          <w:color w:val="auto"/>
        </w:rPr>
      </w:pPr>
    </w:p>
    <w:p>
      <w:pPr>
        <w:ind w:right="240" w:firstLine="8"/>
        <w:spacing w:after="0" w:line="268" w:lineRule="auto"/>
        <w:tabs>
          <w:tab w:leader="none" w:pos="258"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direct or indirect sale or transfer by the Company of substantially all of its assets to one or more unrelated Persons or Groups in a single transaction or a series of related transactions;</w:t>
      </w:r>
    </w:p>
    <w:p>
      <w:pPr>
        <w:spacing w:after="0" w:line="131" w:lineRule="exact"/>
        <w:rPr>
          <w:rFonts w:ascii="Arial" w:cs="Arial" w:eastAsia="Arial" w:hAnsi="Arial"/>
          <w:sz w:val="18"/>
          <w:szCs w:val="18"/>
          <w:color w:val="auto"/>
        </w:rPr>
      </w:pPr>
    </w:p>
    <w:p>
      <w:pPr>
        <w:ind w:right="20" w:firstLine="8"/>
        <w:spacing w:after="0" w:line="256" w:lineRule="auto"/>
        <w:tabs>
          <w:tab w:leader="none" w:pos="307"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merger, consolidation or reorganization of the Company with or into another corporation or other entity in which the Beneficial Owners of more than fifty percent (50%) of the voting power of the Company’s issued and outstanding voting securities immediately before such merger or consolidation do not own more than fifty percent (50%) of the voting power of the issued and outstanding voting securities of the surviving corporation or other entity immediately after such merger, consolidation or reorganization; or</w:t>
      </w:r>
    </w:p>
    <w:p>
      <w:pPr>
        <w:spacing w:after="0" w:line="137" w:lineRule="exact"/>
        <w:rPr>
          <w:rFonts w:ascii="Arial" w:cs="Arial" w:eastAsia="Arial" w:hAnsi="Arial"/>
          <w:sz w:val="18"/>
          <w:szCs w:val="18"/>
          <w:color w:val="auto"/>
        </w:rPr>
      </w:pPr>
    </w:p>
    <w:p>
      <w:pPr>
        <w:ind w:right="40" w:firstLine="8"/>
        <w:spacing w:after="0" w:line="310" w:lineRule="auto"/>
        <w:tabs>
          <w:tab w:leader="none" w:pos="297" w:val="left"/>
        </w:tabs>
        <w:numPr>
          <w:ilvl w:val="0"/>
          <w:numId w:val="28"/>
        </w:numPr>
        <w:rPr>
          <w:rFonts w:ascii="Arial" w:cs="Arial" w:eastAsia="Arial" w:hAnsi="Arial"/>
          <w:sz w:val="16"/>
          <w:szCs w:val="16"/>
          <w:color w:val="auto"/>
        </w:rPr>
      </w:pPr>
      <w:r>
        <w:rPr>
          <w:rFonts w:ascii="Arial" w:cs="Arial" w:eastAsia="Arial" w:hAnsi="Arial"/>
          <w:sz w:val="16"/>
          <w:szCs w:val="16"/>
          <w:color w:val="auto"/>
        </w:rPr>
        <w:t>more than fifty percent (50%) of the members of the Company’s Board of Directors (the “</w:t>
      </w:r>
      <w:r>
        <w:rPr>
          <w:rFonts w:ascii="Arial" w:cs="Arial" w:eastAsia="Arial" w:hAnsi="Arial"/>
          <w:sz w:val="16"/>
          <w:szCs w:val="16"/>
          <w:b w:val="1"/>
          <w:bCs w:val="1"/>
          <w:color w:val="auto"/>
        </w:rPr>
        <w:t>Board</w:t>
      </w:r>
      <w:r>
        <w:rPr>
          <w:rFonts w:ascii="Arial" w:cs="Arial" w:eastAsia="Arial" w:hAnsi="Arial"/>
          <w:sz w:val="16"/>
          <w:szCs w:val="16"/>
          <w:color w:val="auto"/>
        </w:rPr>
        <w:t>”) are individuals who were neither members of the Board immediately following the closing of the Company’s initial public offering nor individuals whose election (or nomination for election) to the Board was approved by a vote of at least fifty percent (50%) of the members of the Board immediately before such election or nomination (“</w:t>
      </w:r>
      <w:r>
        <w:rPr>
          <w:rFonts w:ascii="Arial" w:cs="Arial" w:eastAsia="Arial" w:hAnsi="Arial"/>
          <w:sz w:val="16"/>
          <w:szCs w:val="16"/>
          <w:b w:val="1"/>
          <w:bCs w:val="1"/>
          <w:color w:val="auto"/>
        </w:rPr>
        <w:t>Approved Directors</w:t>
      </w:r>
      <w:r>
        <w:rPr>
          <w:rFonts w:ascii="Arial" w:cs="Arial" w:eastAsia="Arial" w:hAnsi="Arial"/>
          <w:sz w:val="16"/>
          <w:szCs w:val="16"/>
          <w:color w:val="auto"/>
        </w:rPr>
        <w:t>”).</w:t>
      </w:r>
    </w:p>
    <w:p>
      <w:pPr>
        <w:spacing w:after="0" w:line="103"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For purposes of determining whether a Change of Control has occurred, the following Persons and Groups shall not be deemed to be “unrelated”: (i) Stephen A. Wynn, the spouse, siblings, children, grandchildren or great grandchildren of Stephen A. Wynn, any trust primarily for the benefit of the foregoing persons, or any affiliate of any of the foregoing persons, (B) any Person or Group directly or indirectly having Beneficial Ownership of more than fifty percent (50%) of the issued and outstanding voting power of Company’s voting securities immediately before the transaction in question, (C) any Person or Group of which the Company has Beneficial Ownership of more than fifty percent (50%) of the voting power of the issued and outstanding voting securities immediately before the transaction in question, and (D) any Person or Group of which more than fifty percent (50%) of the voting power of the issued and outstanding voting securities are owned, directly or indirectly, by Beneficial Owners of more than fifty percent (50%) of the issued and outstanding voting power of the Company’s voting securities immediately before the transaction in question. The terms “</w:t>
      </w:r>
      <w:r>
        <w:rPr>
          <w:rFonts w:ascii="Arial" w:cs="Arial" w:eastAsia="Arial" w:hAnsi="Arial"/>
          <w:sz w:val="16"/>
          <w:szCs w:val="16"/>
          <w:b w:val="1"/>
          <w:bCs w:val="1"/>
          <w:color w:val="auto"/>
        </w:rPr>
        <w:t>Person</w:t>
      </w:r>
      <w:r>
        <w:rPr>
          <w:rFonts w:ascii="Arial" w:cs="Arial" w:eastAsia="Arial" w:hAnsi="Arial"/>
          <w:sz w:val="16"/>
          <w:szCs w:val="16"/>
          <w:color w:val="auto"/>
        </w:rPr>
        <w:t>,” “</w:t>
      </w:r>
      <w:r>
        <w:rPr>
          <w:rFonts w:ascii="Arial" w:cs="Arial" w:eastAsia="Arial" w:hAnsi="Arial"/>
          <w:sz w:val="16"/>
          <w:szCs w:val="16"/>
          <w:b w:val="1"/>
          <w:bCs w:val="1"/>
          <w:color w:val="auto"/>
        </w:rPr>
        <w:t>Group</w:t>
      </w:r>
      <w:r>
        <w:rPr>
          <w:rFonts w:ascii="Arial" w:cs="Arial" w:eastAsia="Arial" w:hAnsi="Arial"/>
          <w:sz w:val="16"/>
          <w:szCs w:val="16"/>
          <w:color w:val="auto"/>
        </w:rPr>
        <w:t>,” “</w:t>
      </w:r>
      <w:r>
        <w:rPr>
          <w:rFonts w:ascii="Arial" w:cs="Arial" w:eastAsia="Arial" w:hAnsi="Arial"/>
          <w:sz w:val="16"/>
          <w:szCs w:val="16"/>
          <w:b w:val="1"/>
          <w:bCs w:val="1"/>
          <w:color w:val="auto"/>
        </w:rPr>
        <w:t>Beneficial Owner</w:t>
      </w:r>
      <w:r>
        <w:rPr>
          <w:rFonts w:ascii="Arial" w:cs="Arial" w:eastAsia="Arial" w:hAnsi="Arial"/>
          <w:sz w:val="16"/>
          <w:szCs w:val="16"/>
          <w:color w:val="auto"/>
        </w:rPr>
        <w:t>,” and “</w:t>
      </w:r>
      <w:r>
        <w:rPr>
          <w:rFonts w:ascii="Arial" w:cs="Arial" w:eastAsia="Arial" w:hAnsi="Arial"/>
          <w:sz w:val="16"/>
          <w:szCs w:val="16"/>
          <w:b w:val="1"/>
          <w:bCs w:val="1"/>
          <w:color w:val="auto"/>
        </w:rPr>
        <w:t>Beneficial Ownership</w:t>
      </w:r>
      <w:r>
        <w:rPr>
          <w:rFonts w:ascii="Arial" w:cs="Arial" w:eastAsia="Arial" w:hAnsi="Arial"/>
          <w:sz w:val="16"/>
          <w:szCs w:val="16"/>
          <w:color w:val="auto"/>
        </w:rPr>
        <w:t>” shall have the meanings used in the Securities Exchange Act of 1934 and the rules and regulations promulgated thereunder (the “</w:t>
      </w:r>
      <w:r>
        <w:rPr>
          <w:rFonts w:ascii="Arial" w:cs="Arial" w:eastAsia="Arial" w:hAnsi="Arial"/>
          <w:sz w:val="16"/>
          <w:szCs w:val="16"/>
          <w:b w:val="1"/>
          <w:bCs w:val="1"/>
          <w:color w:val="auto"/>
        </w:rPr>
        <w:t>Exchange Act</w:t>
      </w:r>
      <w:r>
        <w:rPr>
          <w:rFonts w:ascii="Arial" w:cs="Arial" w:eastAsia="Arial" w:hAnsi="Arial"/>
          <w:sz w:val="16"/>
          <w:szCs w:val="16"/>
          <w:color w:val="auto"/>
        </w:rPr>
        <w:t>”). Notwithstanding the foregoing, an individual shall not be deemed to be an Approved Director if such individual became a member of the Board as a result of either an actual or threatened “</w:t>
      </w:r>
      <w:r>
        <w:rPr>
          <w:rFonts w:ascii="Arial" w:cs="Arial" w:eastAsia="Arial" w:hAnsi="Arial"/>
          <w:sz w:val="16"/>
          <w:szCs w:val="16"/>
          <w:b w:val="1"/>
          <w:bCs w:val="1"/>
          <w:color w:val="auto"/>
        </w:rPr>
        <w:t>Election Contest</w:t>
      </w:r>
      <w:r>
        <w:rPr>
          <w:rFonts w:ascii="Arial" w:cs="Arial" w:eastAsia="Arial" w:hAnsi="Arial"/>
          <w:sz w:val="16"/>
          <w:szCs w:val="16"/>
          <w:color w:val="auto"/>
        </w:rPr>
        <w:t>” (as described in Rule 14a-11 promulgated under the Exchange Act) or other actual or threatened solicitation of proxies by or on behalf of anyone other than the Board (a “</w:t>
      </w:r>
      <w:r>
        <w:rPr>
          <w:rFonts w:ascii="Arial" w:cs="Arial" w:eastAsia="Arial" w:hAnsi="Arial"/>
          <w:sz w:val="16"/>
          <w:szCs w:val="16"/>
          <w:b w:val="1"/>
          <w:bCs w:val="1"/>
          <w:color w:val="auto"/>
        </w:rPr>
        <w:t>Proxy Contest</w:t>
      </w:r>
      <w:r>
        <w:rPr>
          <w:rFonts w:ascii="Arial" w:cs="Arial" w:eastAsia="Arial" w:hAnsi="Arial"/>
          <w:sz w:val="16"/>
          <w:szCs w:val="16"/>
          <w:color w:val="auto"/>
        </w:rPr>
        <w:t>”), or as a result of an agreement to avoid or settle an Election Contest or Proxy Contest.</w:t>
      </w:r>
    </w:p>
    <w:p>
      <w:pPr>
        <w:sectPr>
          <w:pgSz w:w="11900" w:h="16838" w:orient="portrait"/>
          <w:cols w:equalWidth="0" w:num="1">
            <w:col w:w="11420"/>
          </w:cols>
          <w:pgMar w:left="240" w:top="280" w:right="239" w:bottom="1440" w:gutter="0" w:footer="0" w:header="0"/>
        </w:sectPr>
      </w:pPr>
    </w:p>
    <w:bookmarkStart w:id="49" w:name="page50"/>
    <w:bookmarkEnd w:id="49"/>
    <w:p>
      <w:pPr>
        <w:ind w:left="172" w:hanging="172"/>
        <w:spacing w:after="0"/>
        <w:tabs>
          <w:tab w:leader="none" w:pos="172"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Right of First Refusal</w:t>
      </w:r>
    </w:p>
    <w:p>
      <w:pPr>
        <w:spacing w:after="0" w:line="90" w:lineRule="exact"/>
        <w:rPr>
          <w:sz w:val="20"/>
          <w:szCs w:val="20"/>
          <w:color w:val="auto"/>
        </w:rPr>
      </w:pPr>
    </w:p>
    <w:p>
      <w:pPr>
        <w:ind w:left="-8" w:right="80" w:firstLine="8"/>
        <w:spacing w:after="0" w:line="256" w:lineRule="auto"/>
        <w:tabs>
          <w:tab w:leader="none" w:pos="231" w:val="left"/>
        </w:tabs>
        <w:numPr>
          <w:ilvl w:val="0"/>
          <w:numId w:val="30"/>
        </w:numPr>
        <w:rPr>
          <w:rFonts w:ascii="Arial" w:cs="Arial" w:eastAsia="Arial" w:hAnsi="Arial"/>
          <w:sz w:val="18"/>
          <w:szCs w:val="18"/>
          <w:color w:val="auto"/>
        </w:rPr>
      </w:pPr>
      <w:r>
        <w:rPr>
          <w:rFonts w:ascii="Arial" w:cs="Arial" w:eastAsia="Arial" w:hAnsi="Arial"/>
          <w:sz w:val="18"/>
          <w:szCs w:val="18"/>
          <w:color w:val="auto"/>
        </w:rPr>
        <w:t>Except as provided in Section 4(e) below, in the event Grantee, Grantee’s legal representative, or other holder of Shares acquired under this Agreement proposes to sell, exchange, transfer, pledge, or otherwise dispose (each a “Transfer”) of any vested Shares (the “</w:t>
      </w:r>
      <w:r>
        <w:rPr>
          <w:rFonts w:ascii="Arial" w:cs="Arial" w:eastAsia="Arial" w:hAnsi="Arial"/>
          <w:sz w:val="18"/>
          <w:szCs w:val="18"/>
          <w:b w:val="1"/>
          <w:bCs w:val="1"/>
          <w:color w:val="auto"/>
        </w:rPr>
        <w:t>Transfer Shares</w:t>
      </w:r>
      <w:r>
        <w:rPr>
          <w:rFonts w:ascii="Arial" w:cs="Arial" w:eastAsia="Arial" w:hAnsi="Arial"/>
          <w:sz w:val="18"/>
          <w:szCs w:val="18"/>
          <w:color w:val="auto"/>
        </w:rPr>
        <w:t>”), the Company shall have the right to repurchase the Transfer Shares under the terms and subject to the conditions set forth in this Section 4 (the “</w:t>
      </w:r>
      <w:r>
        <w:rPr>
          <w:rFonts w:ascii="Arial" w:cs="Arial" w:eastAsia="Arial" w:hAnsi="Arial"/>
          <w:sz w:val="18"/>
          <w:szCs w:val="18"/>
          <w:b w:val="1"/>
          <w:bCs w:val="1"/>
          <w:color w:val="auto"/>
        </w:rPr>
        <w:t>Right of First Refusal</w:t>
      </w:r>
      <w:r>
        <w:rPr>
          <w:rFonts w:ascii="Arial" w:cs="Arial" w:eastAsia="Arial" w:hAnsi="Arial"/>
          <w:sz w:val="18"/>
          <w:szCs w:val="18"/>
          <w:color w:val="auto"/>
        </w:rPr>
        <w:t>”). This Right of First Refusal terminates in accordance with Section 4(e).</w:t>
      </w:r>
    </w:p>
    <w:p>
      <w:pPr>
        <w:spacing w:after="0" w:line="137" w:lineRule="exact"/>
        <w:rPr>
          <w:rFonts w:ascii="Arial" w:cs="Arial" w:eastAsia="Arial" w:hAnsi="Arial"/>
          <w:sz w:val="18"/>
          <w:szCs w:val="18"/>
          <w:color w:val="auto"/>
        </w:rPr>
      </w:pPr>
    </w:p>
    <w:p>
      <w:pPr>
        <w:ind w:left="-8" w:right="80" w:firstLine="8"/>
        <w:spacing w:after="0" w:line="310" w:lineRule="auto"/>
        <w:tabs>
          <w:tab w:leader="none" w:pos="241" w:val="left"/>
        </w:tabs>
        <w:numPr>
          <w:ilvl w:val="0"/>
          <w:numId w:val="30"/>
        </w:numPr>
        <w:rPr>
          <w:rFonts w:ascii="Arial" w:cs="Arial" w:eastAsia="Arial" w:hAnsi="Arial"/>
          <w:sz w:val="16"/>
          <w:szCs w:val="16"/>
          <w:color w:val="auto"/>
        </w:rPr>
      </w:pPr>
      <w:r>
        <w:rPr>
          <w:rFonts w:ascii="Arial" w:cs="Arial" w:eastAsia="Arial" w:hAnsi="Arial"/>
          <w:sz w:val="16"/>
          <w:szCs w:val="16"/>
          <w:color w:val="auto"/>
        </w:rPr>
        <w:t>Prior to any Transfer of the Transfer Shares, Grantee shall deliver written notice (the “</w:t>
      </w:r>
      <w:r>
        <w:rPr>
          <w:rFonts w:ascii="Arial" w:cs="Arial" w:eastAsia="Arial" w:hAnsi="Arial"/>
          <w:sz w:val="16"/>
          <w:szCs w:val="16"/>
          <w:b w:val="1"/>
          <w:bCs w:val="1"/>
          <w:color w:val="auto"/>
        </w:rPr>
        <w:t>Transfer Notice</w:t>
      </w:r>
      <w:r>
        <w:rPr>
          <w:rFonts w:ascii="Arial" w:cs="Arial" w:eastAsia="Arial" w:hAnsi="Arial"/>
          <w:sz w:val="16"/>
          <w:szCs w:val="16"/>
          <w:color w:val="auto"/>
        </w:rPr>
        <w:t>”) to the Company describing fully the proposed Transfer, including the number of Transfer Shares and the proposed Transfer price. In the event of a bona fide gift or involuntary Transfer, the proposed Transfer price shall be deemed to be the Fair Market Value of the Transfer Shares on the date of the proposed Transfer.</w:t>
      </w:r>
    </w:p>
    <w:p>
      <w:pPr>
        <w:spacing w:after="0" w:line="103" w:lineRule="exact"/>
        <w:rPr>
          <w:rFonts w:ascii="Arial" w:cs="Arial" w:eastAsia="Arial" w:hAnsi="Arial"/>
          <w:sz w:val="16"/>
          <w:szCs w:val="16"/>
          <w:color w:val="auto"/>
        </w:rPr>
      </w:pPr>
    </w:p>
    <w:p>
      <w:pPr>
        <w:ind w:left="-8" w:right="20" w:firstLine="8"/>
        <w:spacing w:after="0" w:line="291" w:lineRule="auto"/>
        <w:tabs>
          <w:tab w:leader="none" w:pos="231" w:val="left"/>
        </w:tabs>
        <w:numPr>
          <w:ilvl w:val="0"/>
          <w:numId w:val="30"/>
        </w:numPr>
        <w:rPr>
          <w:rFonts w:ascii="Arial" w:cs="Arial" w:eastAsia="Arial" w:hAnsi="Arial"/>
          <w:sz w:val="16"/>
          <w:szCs w:val="16"/>
          <w:color w:val="auto"/>
        </w:rPr>
      </w:pPr>
      <w:r>
        <w:rPr>
          <w:rFonts w:ascii="Arial" w:cs="Arial" w:eastAsia="Arial" w:hAnsi="Arial"/>
          <w:sz w:val="16"/>
          <w:szCs w:val="16"/>
          <w:color w:val="auto"/>
        </w:rPr>
        <w:t>Upon receipt of the Transfer Notice, the Company shall have the right to purchase all, but not less than all, of the Transfer Shares (except as the Company and Grantee otherwise agree) at the Fair Market Value of such Shares on the date such right is exercised by delivery to Grantee of a notice of exercise of the Right of First Refusal within two (2) business days after the date the Transfer Notice is delivered to the Company. The Company’s exercise or failure to exercise the Right of First Refusal with respect to any Transfer shall not affect the Company’s right to exercise the Right of First Refusal with respect to any other Transfer. If the Company exercises the Right of First Refusal, the Company and Grantee shall thereupon consummate the sale of the Transfer Shares to the Company within five business (5) business days after the date the Transfer Notice is delivered to the Company.</w:t>
      </w:r>
    </w:p>
    <w:p>
      <w:pPr>
        <w:spacing w:after="0" w:line="120" w:lineRule="exact"/>
        <w:rPr>
          <w:rFonts w:ascii="Arial" w:cs="Arial" w:eastAsia="Arial" w:hAnsi="Arial"/>
          <w:sz w:val="16"/>
          <w:szCs w:val="16"/>
          <w:color w:val="auto"/>
        </w:rPr>
      </w:pPr>
    </w:p>
    <w:p>
      <w:pPr>
        <w:ind w:left="-8" w:right="260" w:firstLine="8"/>
        <w:spacing w:after="0" w:line="298" w:lineRule="auto"/>
        <w:tabs>
          <w:tab w:leader="none" w:pos="241" w:val="left"/>
        </w:tabs>
        <w:numPr>
          <w:ilvl w:val="0"/>
          <w:numId w:val="30"/>
        </w:numPr>
        <w:rPr>
          <w:rFonts w:ascii="Arial" w:cs="Arial" w:eastAsia="Arial" w:hAnsi="Arial"/>
          <w:sz w:val="16"/>
          <w:szCs w:val="16"/>
          <w:color w:val="auto"/>
        </w:rPr>
      </w:pPr>
      <w:r>
        <w:rPr>
          <w:rFonts w:ascii="Arial" w:cs="Arial" w:eastAsia="Arial" w:hAnsi="Arial"/>
          <w:sz w:val="16"/>
          <w:szCs w:val="16"/>
          <w:color w:val="auto"/>
        </w:rPr>
        <w:t>If the Company fails to exercise the Right of First Refusal in full (or to such lesser extent as the Company and Grantee otherwise agree) within the period specified in Section 4(c) above, Grantee may Transfer the Transfer Shares described in the Transfer Notice, provided such transaction occurs not later than ten (10) business days following delivery to the Company of the Transfer Notice. Any subsequent Transfer by Grantee, shall again be subject to the Right of First Refusal and shall require compliance by Grantee with the procedure described in this Section 4.</w:t>
      </w:r>
    </w:p>
    <w:p>
      <w:pPr>
        <w:spacing w:after="0" w:line="112" w:lineRule="exact"/>
        <w:rPr>
          <w:rFonts w:ascii="Arial" w:cs="Arial" w:eastAsia="Arial" w:hAnsi="Arial"/>
          <w:sz w:val="16"/>
          <w:szCs w:val="16"/>
          <w:color w:val="auto"/>
        </w:rPr>
      </w:pPr>
    </w:p>
    <w:p>
      <w:pPr>
        <w:ind w:left="-8" w:right="160" w:firstLine="8"/>
        <w:spacing w:after="0" w:line="332" w:lineRule="auto"/>
        <w:tabs>
          <w:tab w:leader="none" w:pos="231"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Right of First Refusal shall not apply to any Transfer or exchange of Shares if such Transfer or exchange is in connection with an Change of Control. In addition, notwithstanding anything herein to the contrary, the Right of First Refusal shall terminate upon a Change of Control.</w:t>
      </w:r>
    </w:p>
    <w:p>
      <w:pPr>
        <w:spacing w:after="0" w:line="85" w:lineRule="exact"/>
        <w:rPr>
          <w:sz w:val="20"/>
          <w:szCs w:val="20"/>
          <w:color w:val="auto"/>
        </w:rPr>
      </w:pPr>
    </w:p>
    <w:p>
      <w:pPr>
        <w:ind w:left="-8" w:firstLine="8"/>
        <w:spacing w:after="0" w:line="259" w:lineRule="auto"/>
        <w:tabs>
          <w:tab w:leader="none" w:pos="168"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Voting and Other Rights</w:t>
      </w:r>
      <w:r>
        <w:rPr>
          <w:rFonts w:ascii="Arial" w:cs="Arial" w:eastAsia="Arial" w:hAnsi="Arial"/>
          <w:sz w:val="18"/>
          <w:szCs w:val="18"/>
          <w:color w:val="auto"/>
        </w:rPr>
        <w:t>. Grantee shall have all the rights of a shareholder with respect to the Common Stock issued pursuant to the Stock Award, including the right to vote such Shares; provided, however, that dividends or distributions paid with respect to any such Shares which have not vested shall be deposited with the Company and shall</w:t>
      </w:r>
    </w:p>
    <w:p>
      <w:pPr>
        <w:sectPr>
          <w:pgSz w:w="11900" w:h="16838" w:orient="portrait"/>
          <w:cols w:equalWidth="0" w:num="1">
            <w:col w:w="11372"/>
          </w:cols>
          <w:pgMar w:left="248" w:top="280" w:right="279" w:bottom="1440" w:gutter="0" w:footer="0" w:header="0"/>
        </w:sectPr>
      </w:pPr>
    </w:p>
    <w:bookmarkStart w:id="50" w:name="page51"/>
    <w:bookmarkEnd w:id="50"/>
    <w:p>
      <w:pPr>
        <w:ind w:right="4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be subject to forfeiture until the underlying Shares have vested unless otherwise determined by the Administrator in its sole discretion. Grantee shall not be entitled to interest with respect to the dividends or distributions so deposited.</w:t>
      </w:r>
    </w:p>
    <w:p>
      <w:pPr>
        <w:spacing w:after="0" w:line="132" w:lineRule="exact"/>
        <w:rPr>
          <w:sz w:val="20"/>
          <w:szCs w:val="20"/>
          <w:color w:val="auto"/>
        </w:rPr>
      </w:pPr>
    </w:p>
    <w:p>
      <w:pPr>
        <w:ind w:right="300" w:firstLine="8"/>
        <w:spacing w:after="0" w:line="332" w:lineRule="auto"/>
        <w:tabs>
          <w:tab w:leader="none" w:pos="176" w:val="left"/>
        </w:tabs>
        <w:numPr>
          <w:ilvl w:val="0"/>
          <w:numId w:val="32"/>
        </w:numPr>
        <w:rPr>
          <w:rFonts w:ascii="Arial" w:cs="Arial" w:eastAsia="Arial" w:hAnsi="Arial"/>
          <w:sz w:val="16"/>
          <w:szCs w:val="16"/>
          <w:color w:val="auto"/>
        </w:rPr>
      </w:pPr>
      <w:r>
        <w:rPr>
          <w:rFonts w:ascii="Arial" w:cs="Arial" w:eastAsia="Arial" w:hAnsi="Arial"/>
          <w:sz w:val="16"/>
          <w:szCs w:val="16"/>
          <w:u w:val="single" w:color="auto"/>
          <w:color w:val="auto"/>
        </w:rPr>
        <w:t>Retention of Share Certificates by Company</w:t>
      </w:r>
      <w:r>
        <w:rPr>
          <w:rFonts w:ascii="Arial" w:cs="Arial" w:eastAsia="Arial" w:hAnsi="Arial"/>
          <w:sz w:val="16"/>
          <w:szCs w:val="16"/>
          <w:color w:val="auto"/>
        </w:rPr>
        <w:t>. The certificate(s) representing Shares of the Stock Award shall be held by the Company in an escrow until the earlier of: (i) the termination of this Stock Award pursuant to Section 3 above, or (ii) the expiration of the Company’s Right of First Refusal.</w:t>
      </w:r>
    </w:p>
    <w:p>
      <w:pPr>
        <w:spacing w:after="0" w:line="85" w:lineRule="exact"/>
        <w:rPr>
          <w:rFonts w:ascii="Arial" w:cs="Arial" w:eastAsia="Arial" w:hAnsi="Arial"/>
          <w:sz w:val="16"/>
          <w:szCs w:val="16"/>
          <w:color w:val="auto"/>
        </w:rPr>
      </w:pPr>
    </w:p>
    <w:p>
      <w:pPr>
        <w:ind w:right="40" w:firstLine="8"/>
        <w:spacing w:after="0" w:line="290" w:lineRule="auto"/>
        <w:tabs>
          <w:tab w:leader="none" w:pos="176" w:val="left"/>
        </w:tabs>
        <w:numPr>
          <w:ilvl w:val="0"/>
          <w:numId w:val="32"/>
        </w:numPr>
        <w:rPr>
          <w:rFonts w:ascii="Arial" w:cs="Arial" w:eastAsia="Arial" w:hAnsi="Arial"/>
          <w:sz w:val="16"/>
          <w:szCs w:val="16"/>
          <w:color w:val="auto"/>
        </w:rPr>
      </w:pPr>
      <w:r>
        <w:rPr>
          <w:rFonts w:ascii="Arial" w:cs="Arial" w:eastAsia="Arial" w:hAnsi="Arial"/>
          <w:sz w:val="16"/>
          <w:szCs w:val="16"/>
          <w:u w:val="single" w:color="auto"/>
          <w:color w:val="auto"/>
        </w:rPr>
        <w:t>Taxes and Withholding</w:t>
      </w:r>
      <w:r>
        <w:rPr>
          <w:rFonts w:ascii="Arial" w:cs="Arial" w:eastAsia="Arial" w:hAnsi="Arial"/>
          <w:sz w:val="16"/>
          <w:szCs w:val="16"/>
          <w:color w:val="auto"/>
        </w:rPr>
        <w:t>. Upon the vesting of the Shares of the Stock Award as provided in Section 3 hereof, the Company is required to withhold for taxes, and unless the Administrator permits or requires the Grantee to pay the tax obligations in such other form(s) of consideration as the Administrator in its discretion shall specify pursuant to the Plan, the tax withholding obligation shall be funded by the Company withholding from the Shares vesting on the applicable Vesting Date the whole number of Shares (rounded up) having a Fair Market Value on the Vesting Date sufficient to satisfy the tax obligation. If the withheld Shares are not sufficient to pay the tax withholding obligation, the Grantee shall pay to the Company on the Vesting Date any amount of the tax withholding obligation that is not satisfied by the withholding of Shares described above, and if the withheld Shares are more than sufficient to satisfy the exercise price the Company shall make such arrangement as it determines appropriate to credit such amount for the Grantee’s benefit.</w:t>
      </w:r>
    </w:p>
    <w:p>
      <w:pPr>
        <w:spacing w:after="0" w:line="118" w:lineRule="exact"/>
        <w:rPr>
          <w:rFonts w:ascii="Arial" w:cs="Arial" w:eastAsia="Arial" w:hAnsi="Arial"/>
          <w:sz w:val="16"/>
          <w:szCs w:val="16"/>
          <w:color w:val="auto"/>
        </w:rPr>
      </w:pPr>
    </w:p>
    <w:p>
      <w:pPr>
        <w:ind w:right="200" w:firstLine="8"/>
        <w:spacing w:after="0" w:line="259" w:lineRule="auto"/>
        <w:tabs>
          <w:tab w:leader="none" w:pos="176"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Agreement Subject to Plan</w:t>
      </w:r>
      <w:r>
        <w:rPr>
          <w:rFonts w:ascii="Arial" w:cs="Arial" w:eastAsia="Arial" w:hAnsi="Arial"/>
          <w:sz w:val="18"/>
          <w:szCs w:val="18"/>
          <w:color w:val="auto"/>
        </w:rPr>
        <w:t>. This Agreement is made pursuant to all of the provisions of the Plan, which is incorporated herein by this reference, and is intended, and shall be interpreted in a manner, to comply therewith. In the event of any conflict between the provisions of this Agreement and the provisions of the Plan, the provisions of the Plan shall govern.</w:t>
      </w:r>
    </w:p>
    <w:p>
      <w:pPr>
        <w:spacing w:after="0" w:line="140" w:lineRule="exact"/>
        <w:rPr>
          <w:rFonts w:ascii="Arial" w:cs="Arial" w:eastAsia="Arial" w:hAnsi="Arial"/>
          <w:sz w:val="18"/>
          <w:szCs w:val="18"/>
          <w:color w:val="auto"/>
        </w:rPr>
      </w:pPr>
    </w:p>
    <w:p>
      <w:pPr>
        <w:ind w:firstLine="8"/>
        <w:spacing w:after="0" w:line="306" w:lineRule="auto"/>
        <w:tabs>
          <w:tab w:leader="none" w:pos="176" w:val="left"/>
        </w:tabs>
        <w:numPr>
          <w:ilvl w:val="0"/>
          <w:numId w:val="32"/>
        </w:numPr>
        <w:rPr>
          <w:rFonts w:ascii="Arial" w:cs="Arial" w:eastAsia="Arial" w:hAnsi="Arial"/>
          <w:sz w:val="16"/>
          <w:szCs w:val="16"/>
          <w:color w:val="auto"/>
        </w:rPr>
      </w:pPr>
      <w:r>
        <w:rPr>
          <w:rFonts w:ascii="Arial" w:cs="Arial" w:eastAsia="Arial" w:hAnsi="Arial"/>
          <w:sz w:val="16"/>
          <w:szCs w:val="16"/>
          <w:u w:val="single" w:color="auto"/>
          <w:color w:val="auto"/>
        </w:rPr>
        <w:t>No Rights to Continuation of Employment</w:t>
      </w:r>
      <w:r>
        <w:rPr>
          <w:rFonts w:ascii="Arial" w:cs="Arial" w:eastAsia="Arial" w:hAnsi="Arial"/>
          <w:sz w:val="16"/>
          <w:szCs w:val="16"/>
          <w:color w:val="auto"/>
        </w:rPr>
        <w:t>. Nothing in the Plan or this Agreement shall confer upon Grantee any right to continue in the employ of the Company or any subsidiary thereof or shall interfere with or restrict the right of the Company or its stockholders (or of a subsidiary or its stockholders, as the case may be) to terminate Grantee’s employment any time for any reason whatsoever, with or without cause.</w:t>
      </w:r>
    </w:p>
    <w:p>
      <w:pPr>
        <w:spacing w:after="0" w:line="106" w:lineRule="exact"/>
        <w:rPr>
          <w:rFonts w:ascii="Arial" w:cs="Arial" w:eastAsia="Arial" w:hAnsi="Arial"/>
          <w:sz w:val="16"/>
          <w:szCs w:val="16"/>
          <w:color w:val="auto"/>
        </w:rPr>
      </w:pPr>
    </w:p>
    <w:p>
      <w:pPr>
        <w:jc w:val="both"/>
        <w:ind w:firstLine="8"/>
        <w:spacing w:after="0" w:line="256" w:lineRule="auto"/>
        <w:tabs>
          <w:tab w:leader="none" w:pos="263"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Equitable Relief</w:t>
      </w:r>
      <w:r>
        <w:rPr>
          <w:rFonts w:ascii="Arial" w:cs="Arial" w:eastAsia="Arial" w:hAnsi="Arial"/>
          <w:sz w:val="18"/>
          <w:szCs w:val="18"/>
          <w:color w:val="auto"/>
        </w:rPr>
        <w:t>. The Grantee acknowledges that, in the event of a threatened or actual breach of any of the provisions of this Agreement, damages alone will be an inadequate remedy, and such breach will cause the Company great, immediate and irreparable injury and damage. Accordingly, the Grantee agrees that the Company shall be entitled to injunctive and other equitable relief, and that such relief shall be in addition to, and not in lieu of, any remedies it may have at law or under this Agreement.</w:t>
      </w:r>
    </w:p>
    <w:p>
      <w:pPr>
        <w:spacing w:after="0" w:line="143" w:lineRule="exact"/>
        <w:rPr>
          <w:rFonts w:ascii="Arial" w:cs="Arial" w:eastAsia="Arial" w:hAnsi="Arial"/>
          <w:sz w:val="18"/>
          <w:szCs w:val="18"/>
          <w:color w:val="auto"/>
        </w:rPr>
      </w:pPr>
    </w:p>
    <w:p>
      <w:pPr>
        <w:ind w:left="260" w:hanging="252"/>
        <w:spacing w:after="0"/>
        <w:tabs>
          <w:tab w:leader="none" w:pos="260"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Arbitration</w:t>
      </w:r>
      <w:r>
        <w:rPr>
          <w:rFonts w:ascii="Arial" w:cs="Arial" w:eastAsia="Arial" w:hAnsi="Arial"/>
          <w:sz w:val="18"/>
          <w:szCs w:val="18"/>
          <w:color w:val="auto"/>
        </w:rPr>
        <w:t>.</w:t>
      </w:r>
    </w:p>
    <w:p>
      <w:pPr>
        <w:spacing w:after="0" w:line="90" w:lineRule="exact"/>
        <w:rPr>
          <w:sz w:val="20"/>
          <w:szCs w:val="20"/>
          <w:color w:val="auto"/>
        </w:rPr>
      </w:pPr>
    </w:p>
    <w:p>
      <w:pPr>
        <w:ind w:right="340" w:firstLine="8"/>
        <w:spacing w:after="0" w:line="268" w:lineRule="auto"/>
        <w:tabs>
          <w:tab w:leader="none" w:pos="239"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 Except as provided in Section 10, any controversy, dispute, or claim between the parties to this Agreement, including any claim arising out of, in connection</w:t>
      </w:r>
    </w:p>
    <w:p>
      <w:pPr>
        <w:sectPr>
          <w:pgSz w:w="11900" w:h="16838" w:orient="portrait"/>
          <w:cols w:equalWidth="0" w:num="1">
            <w:col w:w="11400"/>
          </w:cols>
          <w:pgMar w:left="240" w:top="280" w:right="259" w:bottom="1440" w:gutter="0" w:footer="0" w:header="0"/>
        </w:sectPr>
      </w:pPr>
    </w:p>
    <w:bookmarkStart w:id="51" w:name="page52"/>
    <w:bookmarkEnd w:id="51"/>
    <w:p>
      <w:pPr>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with, or in relation to the formation, interpretation, performance or breach of this Agreement shall be settled exclusively by arbitration, before a single arbitrator, in accordance with this Section 11 and the then most applicable rules of the American Arbitration Association. Judgment upon any award rendered by the arbitrator may be entered by any state or federal court having jurisdiction thereof. Such arbitration shall be administered by the American Arbitration Association. Arbitration shall be the exclusive remedy for determining any such dispute, regardless of its nature. Notwithstanding the foregoing, either party may in an appropriate matter apply to a court for provisional relief, including a temporary restraining order or a preliminary injunction, on the ground that the award to which the applicant may be entitled in arbitration may be rendered ineffectual without provisional relief. Unless mutually agreed by the parties otherwise, any arbitration shall take place in Las Vegas, Nevada.</w:t>
      </w:r>
    </w:p>
    <w:p>
      <w:pPr>
        <w:spacing w:after="0" w:line="147" w:lineRule="exact"/>
        <w:rPr>
          <w:sz w:val="20"/>
          <w:szCs w:val="20"/>
          <w:color w:val="auto"/>
        </w:rPr>
      </w:pPr>
    </w:p>
    <w:p>
      <w:pPr>
        <w:ind w:right="100" w:firstLine="8"/>
        <w:spacing w:after="0" w:line="291" w:lineRule="auto"/>
        <w:tabs>
          <w:tab w:leader="none" w:pos="249" w:val="left"/>
        </w:tabs>
        <w:numPr>
          <w:ilvl w:val="0"/>
          <w:numId w:val="34"/>
        </w:numPr>
        <w:rPr>
          <w:rFonts w:ascii="Arial" w:cs="Arial" w:eastAsia="Arial" w:hAnsi="Arial"/>
          <w:sz w:val="16"/>
          <w:szCs w:val="16"/>
          <w:color w:val="auto"/>
        </w:rPr>
      </w:pPr>
      <w:r>
        <w:rPr>
          <w:rFonts w:ascii="Arial" w:cs="Arial" w:eastAsia="Arial" w:hAnsi="Arial"/>
          <w:sz w:val="16"/>
          <w:szCs w:val="16"/>
          <w:u w:val="single" w:color="auto"/>
          <w:color w:val="auto"/>
        </w:rPr>
        <w:t>Selection of Arbitrator</w:t>
      </w:r>
      <w:r>
        <w:rPr>
          <w:rFonts w:ascii="Arial" w:cs="Arial" w:eastAsia="Arial" w:hAnsi="Arial"/>
          <w:sz w:val="16"/>
          <w:szCs w:val="16"/>
          <w:color w:val="auto"/>
        </w:rPr>
        <w:t>. In the event the parties are unable to agree upon an arbitrator, the parties shall select a single arbitrator from a list of nine arbitrators drawn by the parties at random from the “Independent” (or “Gold Card”) list of retired judges or, at the option of the Grantee, from a list of nine persons (which shall be retired judges or corporate or litigation attorneys experienced in stock options and buy-sell agreements) provided by the office of the American Arbitration Association having jurisdiction over Las Vegas, Nevada. If the parties are unable to agree upon an arbitrator from the list so drawn, then the parties shall each strike names alternately from the list, with the first to strike being determined by lot. After each party has used four strikes, the remaining name on the list shall be the arbitrator. If such person is unable to serve for any reason, the parties shall repeat this process until an arbitrator is selected.</w:t>
      </w:r>
    </w:p>
    <w:p>
      <w:pPr>
        <w:spacing w:after="0" w:line="120" w:lineRule="exact"/>
        <w:rPr>
          <w:rFonts w:ascii="Arial" w:cs="Arial" w:eastAsia="Arial" w:hAnsi="Arial"/>
          <w:sz w:val="16"/>
          <w:szCs w:val="16"/>
          <w:color w:val="auto"/>
        </w:rPr>
      </w:pPr>
    </w:p>
    <w:p>
      <w:pPr>
        <w:ind w:firstLine="8"/>
        <w:spacing w:after="0" w:line="289" w:lineRule="auto"/>
        <w:tabs>
          <w:tab w:leader="none" w:pos="239" w:val="left"/>
        </w:tabs>
        <w:numPr>
          <w:ilvl w:val="0"/>
          <w:numId w:val="34"/>
        </w:numPr>
        <w:rPr>
          <w:rFonts w:ascii="Arial" w:cs="Arial" w:eastAsia="Arial" w:hAnsi="Arial"/>
          <w:sz w:val="16"/>
          <w:szCs w:val="16"/>
          <w:color w:val="auto"/>
        </w:rPr>
      </w:pPr>
      <w:r>
        <w:rPr>
          <w:rFonts w:ascii="Arial" w:cs="Arial" w:eastAsia="Arial" w:hAnsi="Arial"/>
          <w:sz w:val="16"/>
          <w:szCs w:val="16"/>
          <w:u w:val="single" w:color="auto"/>
          <w:color w:val="auto"/>
        </w:rPr>
        <w:t>Applicability of Arbitration; Remedial Authority</w:t>
      </w:r>
      <w:r>
        <w:rPr>
          <w:rFonts w:ascii="Arial" w:cs="Arial" w:eastAsia="Arial" w:hAnsi="Arial"/>
          <w:sz w:val="16"/>
          <w:szCs w:val="16"/>
          <w:color w:val="auto"/>
        </w:rPr>
        <w:t>. This agreement to resolve any disputes by binding arbitration shall extend to claims against any parent, subsidiary or affiliate of each party, and, when acting within such capacity, any officer, director, shareholder, employee or agent of each party, or of any of the above, and shall apply as well to claims arising out of state and federal statutes and local ordinances as well as to claims arising under the common law. In the event of a dispute subject to this paragraph the parties shall be entitled to reasonable discovery subject to the discretion of the arbitrator. The remedial authority of the arbitrator (which shall include the right to grant injunctive or other equitable relief) shall be the same as, but no greater than, would be the remedial power of a court having jurisdiction over the parties and their dispute. The arbitrator shall, upon an appropriate motion, dismiss any claim without an evidentiary hearing if the party bringing the motion establishes that he or it would be entitled to summary judgment if the matter had been pursued in court litigation. In the event of a conflict between the applicable rules of the American Arbitration Association and these procedures, the provisions of these procedures shall govern.</w:t>
      </w:r>
    </w:p>
    <w:p>
      <w:pPr>
        <w:spacing w:after="0" w:line="118" w:lineRule="exact"/>
        <w:rPr>
          <w:rFonts w:ascii="Arial" w:cs="Arial" w:eastAsia="Arial" w:hAnsi="Arial"/>
          <w:sz w:val="16"/>
          <w:szCs w:val="16"/>
          <w:color w:val="auto"/>
        </w:rPr>
      </w:pPr>
    </w:p>
    <w:p>
      <w:pPr>
        <w:ind w:right="240" w:firstLine="8"/>
        <w:spacing w:after="0" w:line="306" w:lineRule="auto"/>
        <w:tabs>
          <w:tab w:leader="none" w:pos="249" w:val="left"/>
        </w:tabs>
        <w:numPr>
          <w:ilvl w:val="0"/>
          <w:numId w:val="34"/>
        </w:numPr>
        <w:rPr>
          <w:rFonts w:ascii="Arial" w:cs="Arial" w:eastAsia="Arial" w:hAnsi="Arial"/>
          <w:sz w:val="16"/>
          <w:szCs w:val="16"/>
          <w:color w:val="auto"/>
        </w:rPr>
      </w:pPr>
      <w:r>
        <w:rPr>
          <w:rFonts w:ascii="Arial" w:cs="Arial" w:eastAsia="Arial" w:hAnsi="Arial"/>
          <w:sz w:val="16"/>
          <w:szCs w:val="16"/>
          <w:u w:val="single" w:color="auto"/>
          <w:color w:val="auto"/>
        </w:rPr>
        <w:t>Fees and Costs</w:t>
      </w:r>
      <w:r>
        <w:rPr>
          <w:rFonts w:ascii="Arial" w:cs="Arial" w:eastAsia="Arial" w:hAnsi="Arial"/>
          <w:sz w:val="16"/>
          <w:szCs w:val="16"/>
          <w:color w:val="auto"/>
        </w:rPr>
        <w:t>. Any filing or administrative fees shall be borne initially by the party requesting arbitration. The Company shall be responsible for the costs and fees of the arbitration, unless the Grantee wishes to contribute (up to 50%) of the costs and fees of the arbitration. Notwithstanding the foregoing, the prevailing party in such arbitration, as determined by the arbitrator, and in any enforcement or other court</w:t>
      </w:r>
    </w:p>
    <w:p>
      <w:pPr>
        <w:sectPr>
          <w:pgSz w:w="11900" w:h="16838" w:orient="portrait"/>
          <w:cols w:equalWidth="0" w:num="1">
            <w:col w:w="11400"/>
          </w:cols>
          <w:pgMar w:left="240" w:top="280" w:right="259" w:bottom="1440" w:gutter="0" w:footer="0" w:header="0"/>
        </w:sectPr>
      </w:pPr>
    </w:p>
    <w:bookmarkStart w:id="52" w:name="page53"/>
    <w:bookmarkEnd w:id="52"/>
    <w:p>
      <w:pPr>
        <w:ind w:right="4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proceedings, shall be entitled, to the extent permitted by law, to reimbursement from the other party for all of the prevailing party’s costs (including but not limited to the arbitrator’s compensation), expenses, and attorneys’ fees.</w:t>
      </w:r>
    </w:p>
    <w:p>
      <w:pPr>
        <w:spacing w:after="0" w:line="132" w:lineRule="exact"/>
        <w:rPr>
          <w:sz w:val="20"/>
          <w:szCs w:val="20"/>
          <w:color w:val="auto"/>
        </w:rPr>
      </w:pPr>
    </w:p>
    <w:p>
      <w:pPr>
        <w:ind w:right="160" w:firstLine="8"/>
        <w:spacing w:after="0" w:line="290" w:lineRule="auto"/>
        <w:tabs>
          <w:tab w:leader="none" w:pos="239" w:val="left"/>
        </w:tabs>
        <w:numPr>
          <w:ilvl w:val="0"/>
          <w:numId w:val="35"/>
        </w:numPr>
        <w:rPr>
          <w:rFonts w:ascii="Arial" w:cs="Arial" w:eastAsia="Arial" w:hAnsi="Arial"/>
          <w:sz w:val="16"/>
          <w:szCs w:val="16"/>
          <w:color w:val="auto"/>
        </w:rPr>
      </w:pPr>
      <w:r>
        <w:rPr>
          <w:rFonts w:ascii="Arial" w:cs="Arial" w:eastAsia="Arial" w:hAnsi="Arial"/>
          <w:sz w:val="16"/>
          <w:szCs w:val="16"/>
          <w:u w:val="single" w:color="auto"/>
          <w:color w:val="auto"/>
        </w:rPr>
        <w:t>Award Final and Binding</w:t>
      </w:r>
      <w:r>
        <w:rPr>
          <w:rFonts w:ascii="Arial" w:cs="Arial" w:eastAsia="Arial" w:hAnsi="Arial"/>
          <w:sz w:val="16"/>
          <w:szCs w:val="16"/>
          <w:color w:val="auto"/>
        </w:rPr>
        <w:t>. The arbitrator shall render an award and written opinion, and the award shall be final and binding upon the parties. If any of the provisions of this paragraph, or of this Agreement, are determined to be unlawful or otherwise unenforceable, in whole or in part, such determination shall not affect the validity of the remainder of this Agreement, and this Agreement shall be reformed to the extent necessary to carry out its provisions to the greatest extent possible and to insure that the resolution of all conflicts between the parties, including those arising out of statutory claims, shall be resolved by neutral, binding arbitration. If a court should find that the arbitration provisions of this Agreement are not absolutely binding, then the parties intend any arbitration decision and award to be fully admissible in evidence in any subsequent action, given great weight by any finder of fact, and treated as determinative to the maximum extent permitted by law.</w:t>
      </w:r>
    </w:p>
    <w:p>
      <w:pPr>
        <w:spacing w:after="0" w:line="118" w:lineRule="exact"/>
        <w:rPr>
          <w:sz w:val="20"/>
          <w:szCs w:val="20"/>
          <w:color w:val="auto"/>
        </w:rPr>
      </w:pPr>
    </w:p>
    <w:p>
      <w:pPr>
        <w:ind w:right="100" w:firstLine="8"/>
        <w:spacing w:after="0" w:line="332" w:lineRule="auto"/>
        <w:tabs>
          <w:tab w:leader="none" w:pos="263" w:val="left"/>
        </w:tabs>
        <w:numPr>
          <w:ilvl w:val="0"/>
          <w:numId w:val="36"/>
        </w:numPr>
        <w:rPr>
          <w:rFonts w:ascii="Arial" w:cs="Arial" w:eastAsia="Arial" w:hAnsi="Arial"/>
          <w:sz w:val="16"/>
          <w:szCs w:val="16"/>
          <w:color w:val="auto"/>
        </w:rPr>
      </w:pPr>
      <w:r>
        <w:rPr>
          <w:rFonts w:ascii="Arial" w:cs="Arial" w:eastAsia="Arial" w:hAnsi="Arial"/>
          <w:sz w:val="16"/>
          <w:szCs w:val="16"/>
          <w:u w:val="single" w:color="auto"/>
          <w:color w:val="auto"/>
        </w:rPr>
        <w:t>Governing Law</w:t>
      </w:r>
      <w:r>
        <w:rPr>
          <w:rFonts w:ascii="Arial" w:cs="Arial" w:eastAsia="Arial" w:hAnsi="Arial"/>
          <w:sz w:val="16"/>
          <w:szCs w:val="16"/>
          <w:color w:val="auto"/>
        </w:rPr>
        <w:t>. This Agreement shall be governed by, interpreted under, and construed and enforced in accordance with the internal laws, and not the laws pertaining to conflicts or choices of laws, of the State of Nevada applicable to agreements made and to be performed wholly within the State of Nevada.</w:t>
      </w:r>
    </w:p>
    <w:p>
      <w:pPr>
        <w:spacing w:after="0" w:line="85" w:lineRule="exact"/>
        <w:rPr>
          <w:rFonts w:ascii="Arial" w:cs="Arial" w:eastAsia="Arial" w:hAnsi="Arial"/>
          <w:sz w:val="16"/>
          <w:szCs w:val="16"/>
          <w:color w:val="auto"/>
        </w:rPr>
      </w:pPr>
    </w:p>
    <w:p>
      <w:pPr>
        <w:ind w:firstLine="8"/>
        <w:spacing w:after="0" w:line="370" w:lineRule="auto"/>
        <w:tabs>
          <w:tab w:leader="none" w:pos="263" w:val="left"/>
        </w:tabs>
        <w:numPr>
          <w:ilvl w:val="0"/>
          <w:numId w:val="36"/>
        </w:numPr>
        <w:rPr>
          <w:rFonts w:ascii="Arial" w:cs="Arial" w:eastAsia="Arial" w:hAnsi="Arial"/>
          <w:sz w:val="15"/>
          <w:szCs w:val="15"/>
          <w:color w:val="auto"/>
        </w:rPr>
      </w:pPr>
      <w:r>
        <w:rPr>
          <w:rFonts w:ascii="Arial" w:cs="Arial" w:eastAsia="Arial" w:hAnsi="Arial"/>
          <w:sz w:val="15"/>
          <w:szCs w:val="15"/>
          <w:u w:val="single" w:color="auto"/>
          <w:color w:val="auto"/>
        </w:rPr>
        <w:t>Agreement Binding on Successors</w:t>
      </w:r>
      <w:r>
        <w:rPr>
          <w:rFonts w:ascii="Arial" w:cs="Arial" w:eastAsia="Arial" w:hAnsi="Arial"/>
          <w:sz w:val="15"/>
          <w:szCs w:val="15"/>
          <w:color w:val="auto"/>
        </w:rPr>
        <w:t>. The terms of this Agreement shall be binding upon Grantee and upon Grantee’s heirs, executors, administrators, personal representatives, transferees, assignees and successors in interest, and upon the Company and its successors and assignees, subject to the terms of the Plan.</w:t>
      </w:r>
    </w:p>
    <w:p>
      <w:pPr>
        <w:spacing w:after="0" w:line="62" w:lineRule="exact"/>
        <w:rPr>
          <w:rFonts w:ascii="Arial" w:cs="Arial" w:eastAsia="Arial" w:hAnsi="Arial"/>
          <w:sz w:val="15"/>
          <w:szCs w:val="15"/>
          <w:color w:val="auto"/>
        </w:rPr>
      </w:pPr>
    </w:p>
    <w:p>
      <w:pPr>
        <w:ind w:right="300" w:firstLine="8"/>
        <w:spacing w:after="0" w:line="268" w:lineRule="auto"/>
        <w:tabs>
          <w:tab w:leader="none" w:pos="263"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No Assignment</w:t>
      </w:r>
      <w:r>
        <w:rPr>
          <w:rFonts w:ascii="Arial" w:cs="Arial" w:eastAsia="Arial" w:hAnsi="Arial"/>
          <w:sz w:val="18"/>
          <w:szCs w:val="18"/>
          <w:color w:val="auto"/>
        </w:rPr>
        <w:t>. Notwithstanding anything to the contrary in this Agreement, neither this Agreement nor any rights granted herein shall be assignable by Grantee.</w:t>
      </w:r>
    </w:p>
    <w:p>
      <w:pPr>
        <w:spacing w:after="0" w:line="131" w:lineRule="exact"/>
        <w:rPr>
          <w:rFonts w:ascii="Arial" w:cs="Arial" w:eastAsia="Arial" w:hAnsi="Arial"/>
          <w:sz w:val="18"/>
          <w:szCs w:val="18"/>
          <w:color w:val="auto"/>
        </w:rPr>
      </w:pPr>
    </w:p>
    <w:p>
      <w:pPr>
        <w:jc w:val="both"/>
        <w:ind w:right="420" w:firstLine="8"/>
        <w:spacing w:after="0" w:line="370" w:lineRule="auto"/>
        <w:tabs>
          <w:tab w:leader="none" w:pos="263" w:val="left"/>
        </w:tabs>
        <w:numPr>
          <w:ilvl w:val="0"/>
          <w:numId w:val="36"/>
        </w:numPr>
        <w:rPr>
          <w:rFonts w:ascii="Arial" w:cs="Arial" w:eastAsia="Arial" w:hAnsi="Arial"/>
          <w:sz w:val="15"/>
          <w:szCs w:val="15"/>
          <w:color w:val="auto"/>
        </w:rPr>
      </w:pPr>
      <w:r>
        <w:rPr>
          <w:rFonts w:ascii="Arial" w:cs="Arial" w:eastAsia="Arial" w:hAnsi="Arial"/>
          <w:sz w:val="15"/>
          <w:szCs w:val="15"/>
          <w:u w:val="single" w:color="auto"/>
          <w:color w:val="auto"/>
        </w:rPr>
        <w:t>Necessary Acts</w:t>
      </w:r>
      <w:r>
        <w:rPr>
          <w:rFonts w:ascii="Arial" w:cs="Arial" w:eastAsia="Arial" w:hAnsi="Arial"/>
          <w:sz w:val="15"/>
          <w:szCs w:val="15"/>
          <w:color w:val="auto"/>
        </w:rPr>
        <w:t>. Grantee hereby agrees to perform all acts, and to execute and deliver any documents that may be reasonably necessary to carry out the provisions of this Agreement, including but not limited to all acts and documents related to compliance with federal and/or state securities and/or tax laws.</w:t>
      </w:r>
    </w:p>
    <w:p>
      <w:pPr>
        <w:spacing w:after="0" w:line="62" w:lineRule="exact"/>
        <w:rPr>
          <w:rFonts w:ascii="Arial" w:cs="Arial" w:eastAsia="Arial" w:hAnsi="Arial"/>
          <w:sz w:val="15"/>
          <w:szCs w:val="15"/>
          <w:color w:val="auto"/>
        </w:rPr>
      </w:pPr>
    </w:p>
    <w:p>
      <w:pPr>
        <w:ind w:right="80" w:firstLine="8"/>
        <w:spacing w:after="0" w:line="306" w:lineRule="auto"/>
        <w:tabs>
          <w:tab w:leader="none" w:pos="263" w:val="left"/>
        </w:tabs>
        <w:numPr>
          <w:ilvl w:val="0"/>
          <w:numId w:val="36"/>
        </w:numPr>
        <w:rPr>
          <w:rFonts w:ascii="Arial" w:cs="Arial" w:eastAsia="Arial" w:hAnsi="Arial"/>
          <w:sz w:val="16"/>
          <w:szCs w:val="16"/>
          <w:color w:val="auto"/>
        </w:rPr>
      </w:pPr>
      <w:r>
        <w:rPr>
          <w:rFonts w:ascii="Arial" w:cs="Arial" w:eastAsia="Arial" w:hAnsi="Arial"/>
          <w:sz w:val="16"/>
          <w:szCs w:val="16"/>
          <w:u w:val="single" w:color="auto"/>
          <w:color w:val="auto"/>
        </w:rPr>
        <w:t>Invalid Provisions</w:t>
      </w:r>
      <w:r>
        <w:rPr>
          <w:rFonts w:ascii="Arial" w:cs="Arial" w:eastAsia="Arial" w:hAnsi="Arial"/>
          <w:sz w:val="16"/>
          <w:szCs w:val="16"/>
          <w:color w:val="auto"/>
        </w:rPr>
        <w:t>. If any provision of this Agreement is found to be invalid or otherwise unenforceable under any applicable laws such invalidity or unenforceability shall not be construed as rendering any other provisions contained herein invalid or unenforceable, and all such other provisions shall be given full force and effect to the same extent as though the invalid and unenforceable provision was not contained herein.</w:t>
      </w:r>
    </w:p>
    <w:p>
      <w:pPr>
        <w:spacing w:after="0" w:line="106" w:lineRule="exact"/>
        <w:rPr>
          <w:rFonts w:ascii="Arial" w:cs="Arial" w:eastAsia="Arial" w:hAnsi="Arial"/>
          <w:sz w:val="16"/>
          <w:szCs w:val="16"/>
          <w:color w:val="auto"/>
        </w:rPr>
      </w:pPr>
    </w:p>
    <w:p>
      <w:pPr>
        <w:ind w:right="220" w:firstLine="8"/>
        <w:spacing w:after="0" w:line="268" w:lineRule="auto"/>
        <w:tabs>
          <w:tab w:leader="none" w:pos="263"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All notices or other communications required or permitted hereunder shall be in writing, and shall be sufficient in all respects only if delivered in person or sent via certified mail, postage prepaid, or by expedited mail service, or facsimile, addressed as follows:</w:t>
      </w:r>
    </w:p>
    <w:p>
      <w:pPr>
        <w:sectPr>
          <w:pgSz w:w="11900" w:h="16838" w:orient="portrait"/>
          <w:cols w:equalWidth="0" w:num="1">
            <w:col w:w="11300"/>
          </w:cols>
          <w:pgMar w:left="240" w:top="280" w:right="359" w:bottom="1440" w:gutter="0" w:footer="0" w:header="0"/>
        </w:sectPr>
      </w:pPr>
    </w:p>
    <w:bookmarkStart w:id="53" w:name="page54"/>
    <w:bookmarkEnd w:id="53"/>
    <w:p>
      <w:pPr>
        <w:ind w:left="452"/>
        <w:spacing w:after="0"/>
        <w:rPr>
          <w:sz w:val="20"/>
          <w:szCs w:val="20"/>
          <w:color w:val="auto"/>
        </w:rPr>
      </w:pPr>
      <w:r>
        <w:rPr>
          <w:rFonts w:ascii="Arial" w:cs="Arial" w:eastAsia="Arial" w:hAnsi="Arial"/>
          <w:sz w:val="16"/>
          <w:szCs w:val="16"/>
          <w:color w:val="auto"/>
        </w:rPr>
        <w:t>If to Grantee: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-1442085</wp:posOffset>
            </wp:positionH>
            <wp:positionV relativeFrom="paragraph">
              <wp:posOffset>-198120</wp:posOffset>
            </wp:positionV>
            <wp:extent cx="72891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5"/>
          <w:szCs w:val="15"/>
          <w:color w:val="auto"/>
        </w:rPr>
        <w:t>_______________________</w:t>
      </w:r>
    </w:p>
    <w:p>
      <w:pPr>
        <w:spacing w:after="0" w:line="200" w:lineRule="exact"/>
        <w:rPr>
          <w:sz w:val="20"/>
          <w:szCs w:val="20"/>
          <w:color w:val="auto"/>
        </w:rPr>
      </w:pPr>
    </w:p>
    <w:p>
      <w:pPr>
        <w:sectPr>
          <w:pgSz w:w="11900" w:h="16838" w:orient="portrait"/>
          <w:cols w:equalWidth="0" w:num="2">
            <w:col w:w="1532" w:space="720"/>
            <w:col w:w="9080"/>
          </w:cols>
          <w:pgMar w:left="248" w:top="280" w:right="319" w:bottom="1440" w:gutter="0" w:footer="0" w:header="0"/>
        </w:sectPr>
      </w:pPr>
    </w:p>
    <w:p>
      <w:pPr>
        <w:spacing w:after="0" w:line="53" w:lineRule="exact"/>
        <w:rPr>
          <w:sz w:val="20"/>
          <w:szCs w:val="20"/>
          <w:color w:val="auto"/>
        </w:rPr>
      </w:pPr>
    </w:p>
    <w:p>
      <w:pPr>
        <w:jc w:val="center"/>
        <w:ind w:left="452"/>
        <w:spacing w:after="0"/>
        <w:rPr>
          <w:sz w:val="20"/>
          <w:szCs w:val="20"/>
          <w:color w:val="auto"/>
        </w:rPr>
      </w:pPr>
      <w:r>
        <w:rPr>
          <w:rFonts w:ascii="Arial" w:cs="Arial" w:eastAsia="Arial" w:hAnsi="Arial"/>
          <w:sz w:val="16"/>
          <w:szCs w:val="16"/>
          <w:color w:val="auto"/>
        </w:rPr>
        <w:t>If to the Company:</w:t>
      </w:r>
    </w:p>
    <w:p>
      <w:pPr>
        <w:spacing w:after="0" w:line="20" w:lineRule="exact"/>
        <w:rPr>
          <w:sz w:val="20"/>
          <w:szCs w:val="20"/>
          <w:color w:val="auto"/>
        </w:rPr>
      </w:pPr>
      <w:r>
        <w:rPr>
          <w:sz w:val="20"/>
          <w:szCs w:val="20"/>
          <w:color w:val="auto"/>
        </w:rPr>
        <w:br w:type="column"/>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Wynn Resorts, Limited</w:t>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color w:val="auto"/>
        </w:rPr>
        <w:t>3131 Las Vegas Boulevard South</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Las Vegas, NV 89109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Legal Department</w:t>
      </w:r>
    </w:p>
    <w:p>
      <w:pPr>
        <w:spacing w:after="0" w:line="84" w:lineRule="exact"/>
        <w:rPr>
          <w:sz w:val="20"/>
          <w:szCs w:val="20"/>
          <w:color w:val="auto"/>
        </w:rPr>
      </w:pPr>
    </w:p>
    <w:p>
      <w:pPr>
        <w:sectPr>
          <w:pgSz w:w="11900" w:h="16838" w:orient="portrait"/>
          <w:cols w:equalWidth="0" w:num="2">
            <w:col w:w="1792" w:space="460"/>
            <w:col w:w="9080"/>
          </w:cols>
          <w:pgMar w:left="248" w:top="280" w:right="319" w:bottom="1440" w:gutter="0" w:footer="0" w:header="0"/>
          <w:type w:val="continuous"/>
        </w:sectPr>
      </w:pPr>
    </w:p>
    <w:p>
      <w:pPr>
        <w:ind w:left="2252"/>
        <w:spacing w:after="0"/>
        <w:rPr>
          <w:sz w:val="20"/>
          <w:szCs w:val="20"/>
          <w:color w:val="auto"/>
        </w:rPr>
      </w:pPr>
      <w:r>
        <w:rPr>
          <w:rFonts w:ascii="Arial" w:cs="Arial" w:eastAsia="Arial" w:hAnsi="Arial"/>
          <w:sz w:val="15"/>
          <w:szCs w:val="15"/>
          <w:color w:val="auto"/>
        </w:rPr>
        <w:t>Fax: 702 770-1518</w:t>
      </w:r>
    </w:p>
    <w:p>
      <w:pPr>
        <w:sectPr>
          <w:pgSz w:w="11900" w:h="16838" w:orient="portrait"/>
          <w:cols w:equalWidth="0" w:num="1">
            <w:col w:w="11332"/>
          </w:cols>
          <w:pgMar w:left="248" w:top="280" w:right="319" w:bottom="1440" w:gutter="0" w:footer="0" w:header="0"/>
          <w:type w:val="continuous"/>
        </w:sectPr>
      </w:pPr>
    </w:p>
    <w:p>
      <w:pPr>
        <w:spacing w:after="0" w:line="219" w:lineRule="exact"/>
        <w:rPr>
          <w:sz w:val="20"/>
          <w:szCs w:val="20"/>
          <w:color w:val="auto"/>
        </w:rPr>
      </w:pPr>
    </w:p>
    <w:p>
      <w:pPr>
        <w:ind w:left="-8" w:right="460" w:firstLine="8"/>
        <w:spacing w:after="0" w:line="268" w:lineRule="auto"/>
        <w:tabs>
          <w:tab w:leader="none" w:pos="255"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Legend</w:t>
      </w:r>
      <w:r>
        <w:rPr>
          <w:rFonts w:ascii="Arial" w:cs="Arial" w:eastAsia="Arial" w:hAnsi="Arial"/>
          <w:sz w:val="18"/>
          <w:szCs w:val="18"/>
          <w:color w:val="auto"/>
        </w:rPr>
        <w:t>. In addition to any other legend which may be required by agreement or Applicable Laws, each share certificate representing Shares shall have endorsed upon its face a legend in substantially the form set forth below:</w:t>
      </w:r>
    </w:p>
    <w:p>
      <w:pPr>
        <w:spacing w:after="0" w:line="126" w:lineRule="exact"/>
        <w:rPr>
          <w:sz w:val="20"/>
          <w:szCs w:val="20"/>
          <w:color w:val="auto"/>
        </w:rPr>
      </w:pPr>
    </w:p>
    <w:p>
      <w:pPr>
        <w:ind w:left="912" w:right="360"/>
        <w:spacing w:after="0" w:line="289" w:lineRule="auto"/>
        <w:rPr>
          <w:sz w:val="20"/>
          <w:szCs w:val="20"/>
          <w:color w:val="auto"/>
        </w:rPr>
      </w:pPr>
      <w:r>
        <w:rPr>
          <w:rFonts w:ascii="Arial" w:cs="Arial" w:eastAsia="Arial" w:hAnsi="Arial"/>
          <w:sz w:val="16"/>
          <w:szCs w:val="16"/>
          <w:b w:val="1"/>
          <w:bCs w:val="1"/>
          <w:color w:val="auto"/>
        </w:rPr>
        <w:t>THE SHARES REPRESENTED BY THIS CERTIFICATE ARE SUBJECT TO VESTING AND TO CERTAIN RESTRICTIONS ON TRANSFER, SALE AND HYPOTHECATION. A COMPLETE STATEMENT OF THE TERMS AND CONDITIONS GOVERNING</w:t>
      </w:r>
    </w:p>
    <w:p>
      <w:pPr>
        <w:spacing w:after="0" w:line="1" w:lineRule="exact"/>
        <w:rPr>
          <w:sz w:val="20"/>
          <w:szCs w:val="20"/>
          <w:color w:val="auto"/>
        </w:rPr>
      </w:pPr>
    </w:p>
    <w:p>
      <w:pPr>
        <w:ind w:left="912" w:right="20"/>
        <w:spacing w:after="0" w:line="261" w:lineRule="auto"/>
        <w:rPr>
          <w:sz w:val="20"/>
          <w:szCs w:val="20"/>
          <w:color w:val="auto"/>
        </w:rPr>
      </w:pPr>
      <w:r>
        <w:rPr>
          <w:rFonts w:ascii="Arial" w:cs="Arial" w:eastAsia="Arial" w:hAnsi="Arial"/>
          <w:sz w:val="18"/>
          <w:szCs w:val="18"/>
          <w:b w:val="1"/>
          <w:bCs w:val="1"/>
          <w:color w:val="auto"/>
        </w:rPr>
        <w:t>SUCH RESTRICTIONS IS SET FORTH IN AN AGREEMENT, DATED AS OF , 2008, A COPY OF WHICH IS ON FILE AT THE CORPORATION’S PRINCIPAL OFFICE.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4462145</wp:posOffset>
            </wp:positionH>
            <wp:positionV relativeFrom="paragraph">
              <wp:posOffset>-172720</wp:posOffset>
            </wp:positionV>
            <wp:extent cx="55753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118" w:lineRule="exact"/>
        <w:rPr>
          <w:sz w:val="20"/>
          <w:szCs w:val="20"/>
          <w:color w:val="auto"/>
        </w:rPr>
      </w:pPr>
    </w:p>
    <w:p>
      <w:pPr>
        <w:ind w:left="-8" w:firstLine="8"/>
        <w:spacing w:after="0" w:line="256" w:lineRule="auto"/>
        <w:tabs>
          <w:tab w:leader="none" w:pos="255"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Tax Representation</w:t>
      </w:r>
      <w:r>
        <w:rPr>
          <w:rFonts w:ascii="Arial" w:cs="Arial" w:eastAsia="Arial" w:hAnsi="Arial"/>
          <w:sz w:val="18"/>
          <w:szCs w:val="18"/>
          <w:color w:val="auto"/>
        </w:rPr>
        <w:t>. The Grantee has reviewed with his or her own tax advisors the federal, state, local and foreign tax consequences of the transactions contemplated by this Agreement. The Grantee is relying solely on such advisors and not on any statement or representations of the Company or any of its agents. The Grantee understands that he or she (and not the Company) shall be responsible for any tax liability that may arise as a result of the transactions contemplated by the Agreement.</w:t>
      </w:r>
    </w:p>
    <w:p>
      <w:pPr>
        <w:spacing w:after="0" w:line="143" w:lineRule="exact"/>
        <w:rPr>
          <w:rFonts w:ascii="Arial" w:cs="Arial" w:eastAsia="Arial" w:hAnsi="Arial"/>
          <w:sz w:val="18"/>
          <w:szCs w:val="18"/>
          <w:color w:val="auto"/>
        </w:rPr>
      </w:pPr>
    </w:p>
    <w:p>
      <w:pPr>
        <w:ind w:left="272" w:hanging="272"/>
        <w:spacing w:after="0"/>
        <w:tabs>
          <w:tab w:leader="none" w:pos="272" w:val="left"/>
        </w:tabs>
        <w:numPr>
          <w:ilvl w:val="0"/>
          <w:numId w:val="38"/>
        </w:numPr>
        <w:rPr>
          <w:rFonts w:ascii="Arial" w:cs="Arial" w:eastAsia="Arial" w:hAnsi="Arial"/>
          <w:sz w:val="16"/>
          <w:szCs w:val="16"/>
          <w:color w:val="auto"/>
        </w:rPr>
      </w:pPr>
      <w:r>
        <w:rPr>
          <w:rFonts w:ascii="Arial" w:cs="Arial" w:eastAsia="Arial" w:hAnsi="Arial"/>
          <w:sz w:val="16"/>
          <w:szCs w:val="16"/>
          <w:u w:val="single" w:color="auto"/>
          <w:color w:val="auto"/>
        </w:rPr>
        <w:t>Entire Agreement</w:t>
      </w:r>
      <w:r>
        <w:rPr>
          <w:rFonts w:ascii="Arial" w:cs="Arial" w:eastAsia="Arial" w:hAnsi="Arial"/>
          <w:sz w:val="16"/>
          <w:szCs w:val="16"/>
          <w:color w:val="auto"/>
        </w:rPr>
        <w:t>. This Agreement and the Plan contain the entire agreement and understanding among the parties as to the subject matter hereof.</w:t>
      </w:r>
    </w:p>
    <w:p>
      <w:pPr>
        <w:spacing w:after="0" w:line="194" w:lineRule="exact"/>
        <w:rPr>
          <w:rFonts w:ascii="Arial" w:cs="Arial" w:eastAsia="Arial" w:hAnsi="Arial"/>
          <w:sz w:val="16"/>
          <w:szCs w:val="16"/>
          <w:color w:val="auto"/>
        </w:rPr>
      </w:pPr>
    </w:p>
    <w:p>
      <w:pPr>
        <w:ind w:left="-8" w:right="240" w:firstLine="8"/>
        <w:spacing w:after="0" w:line="268" w:lineRule="auto"/>
        <w:tabs>
          <w:tab w:leader="none" w:pos="255"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Headings are used solely for the convenience of the parties and shall not be deemed to be a limitation upon or descriptive of the contents of any such Section.</w:t>
      </w:r>
    </w:p>
    <w:p>
      <w:pPr>
        <w:spacing w:after="0" w:line="131" w:lineRule="exact"/>
        <w:rPr>
          <w:rFonts w:ascii="Arial" w:cs="Arial" w:eastAsia="Arial" w:hAnsi="Arial"/>
          <w:sz w:val="18"/>
          <w:szCs w:val="18"/>
          <w:color w:val="auto"/>
        </w:rPr>
      </w:pPr>
    </w:p>
    <w:p>
      <w:pPr>
        <w:ind w:left="-8" w:right="100" w:firstLine="8"/>
        <w:spacing w:after="0" w:line="268" w:lineRule="auto"/>
        <w:tabs>
          <w:tab w:leader="none" w:pos="255"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counterparts, each of which shall be deemed to be an original, and taken together shall constitute one and the same document.</w:t>
      </w:r>
    </w:p>
    <w:p>
      <w:pPr>
        <w:spacing w:after="0" w:line="131" w:lineRule="exact"/>
        <w:rPr>
          <w:rFonts w:ascii="Arial" w:cs="Arial" w:eastAsia="Arial" w:hAnsi="Arial"/>
          <w:sz w:val="18"/>
          <w:szCs w:val="18"/>
          <w:color w:val="auto"/>
        </w:rPr>
      </w:pPr>
    </w:p>
    <w:p>
      <w:pPr>
        <w:ind w:left="272" w:hanging="272"/>
        <w:spacing w:after="0"/>
        <w:tabs>
          <w:tab w:leader="none" w:pos="272"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Amendment</w:t>
      </w:r>
      <w:r>
        <w:rPr>
          <w:rFonts w:ascii="Arial" w:cs="Arial" w:eastAsia="Arial" w:hAnsi="Arial"/>
          <w:sz w:val="18"/>
          <w:szCs w:val="18"/>
          <w:color w:val="auto"/>
        </w:rPr>
        <w:t>. No amendment or modification hereof shall be valid unless it shall be in writing and signed by all parties hereto.</w:t>
      </w:r>
    </w:p>
    <w:p>
      <w:pPr>
        <w:spacing w:after="0" w:line="148" w:lineRule="exact"/>
        <w:rPr>
          <w:sz w:val="20"/>
          <w:szCs w:val="20"/>
          <w:color w:val="auto"/>
        </w:rPr>
      </w:pPr>
    </w:p>
    <w:tbl>
      <w:tblPr>
        <w:tblLayout w:type="fixed"/>
        <w:tblInd w:w="452" w:type="dxa"/>
        <w:tblCellMar>
          <w:top w:w="0" w:type="dxa"/>
          <w:left w:w="0" w:type="dxa"/>
          <w:bottom w:w="0" w:type="dxa"/>
          <w:right w:w="0" w:type="dxa"/>
        </w:tblCellMar>
      </w:tblPr>
      <w:tr>
        <w:trPr>
          <w:trHeight w:val="207"/>
        </w:trPr>
        <w:tc>
          <w:tcPr>
            <w:tcW w:w="5600" w:type="dxa"/>
            <w:vAlign w:val="bottom"/>
          </w:tcPr>
          <w:p>
            <w:pPr>
              <w:spacing w:after="0"/>
              <w:rPr>
                <w:sz w:val="20"/>
                <w:szCs w:val="20"/>
                <w:color w:val="auto"/>
              </w:rPr>
            </w:pPr>
            <w:r>
              <w:rPr>
                <w:rFonts w:ascii="Arial" w:cs="Arial" w:eastAsia="Arial" w:hAnsi="Arial"/>
                <w:sz w:val="18"/>
                <w:szCs w:val="18"/>
                <w:color w:val="auto"/>
                <w:w w:val="89"/>
              </w:rPr>
              <w:t>IN WITNESS WHEREOF, the parties hereto have executed this Agreement on</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 2008.</w:t>
            </w:r>
          </w:p>
        </w:tc>
      </w:tr>
      <w:tr>
        <w:trPr>
          <w:trHeight w:val="20"/>
        </w:trPr>
        <w:tc>
          <w:tcPr>
            <w:tcW w:w="56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bl>
    <w:p>
      <w:pPr>
        <w:sectPr>
          <w:pgSz w:w="11900" w:h="16838" w:orient="portrait"/>
          <w:cols w:equalWidth="0" w:num="1">
            <w:col w:w="11332"/>
          </w:cols>
          <w:pgMar w:left="248" w:top="280" w:right="319" w:bottom="1440" w:gutter="0" w:footer="0" w:header="0"/>
          <w:type w:val="continuous"/>
        </w:sectPr>
      </w:pPr>
    </w:p>
    <w:bookmarkStart w:id="54" w:name="page55"/>
    <w:bookmarkEnd w:id="5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WYNN RESORTS, LIMITED</w:t>
      </w: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-13970</wp:posOffset>
            </wp:positionV>
            <wp:extent cx="192341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923415" cy="889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574675</wp:posOffset>
            </wp:positionH>
            <wp:positionV relativeFrom="paragraph">
              <wp:posOffset>-13970</wp:posOffset>
            </wp:positionV>
            <wp:extent cx="153289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532890" cy="889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wp:posOffset>
            </wp:positionH>
            <wp:positionV relativeFrom="paragraph">
              <wp:posOffset>-13970</wp:posOffset>
            </wp:positionV>
            <wp:extent cx="183959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839595" cy="8890"/>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Arial" w:cs="Arial" w:eastAsia="Arial" w:hAnsi="Arial"/>
          <w:sz w:val="15"/>
          <w:szCs w:val="15"/>
          <w:color w:val="auto"/>
        </w:rPr>
        <w:t>The undersigned hereby accepts and agrees to all the terms and provisions of the foregoing Agreement.</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GRANTEE</w:t>
      </w: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wp:posOffset>
            </wp:positionH>
            <wp:positionV relativeFrom="paragraph">
              <wp:posOffset>-13970</wp:posOffset>
            </wp:positionV>
            <wp:extent cx="156083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560830" cy="889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574675</wp:posOffset>
            </wp:positionH>
            <wp:positionV relativeFrom="paragraph">
              <wp:posOffset>-13970</wp:posOffset>
            </wp:positionV>
            <wp:extent cx="150495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504950" cy="8890"/>
                    </a:xfrm>
                    <a:prstGeom prst="rect">
                      <a:avLst/>
                    </a:prstGeom>
                    <a:noFill/>
                  </pic:spPr>
                </pic:pic>
              </a:graphicData>
            </a:graphic>
          </wp:anchor>
        </w:drawing>
      </w:r>
    </w:p>
    <w:p>
      <w:pPr>
        <w:sectPr>
          <w:pgSz w:w="11900" w:h="16838" w:orient="portrait"/>
          <w:cols w:equalWidth="0" w:num="1">
            <w:col w:w="10219"/>
          </w:cols>
          <w:pgMar w:left="240" w:top="274" w:right="1440"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Stephen A. Wynn, certify that:</w:t>
      </w:r>
    </w:p>
    <w:p>
      <w:pPr>
        <w:spacing w:after="0" w:line="90" w:lineRule="exact"/>
        <w:rPr>
          <w:sz w:val="20"/>
          <w:szCs w:val="20"/>
          <w:color w:val="auto"/>
        </w:rPr>
      </w:pPr>
    </w:p>
    <w:p>
      <w:pPr>
        <w:ind w:left="460" w:hanging="452"/>
        <w:spacing w:after="0"/>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Wynn Resorts, Limited;</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39"/>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0" w:hanging="452"/>
        <w:spacing w:after="0" w:line="259" w:lineRule="auto"/>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3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3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640" w:hanging="452"/>
        <w:spacing w:after="0" w:line="332" w:lineRule="auto"/>
        <w:tabs>
          <w:tab w:leader="none" w:pos="4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3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3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tabs>
          <w:tab w:leader="none" w:pos="7700" w:val="left"/>
          <w:tab w:leader="none" w:pos="8040" w:val="left"/>
        </w:tabs>
        <w:rPr>
          <w:sz w:val="20"/>
          <w:szCs w:val="20"/>
          <w:color w:val="auto"/>
        </w:rPr>
      </w:pPr>
      <w:r>
        <w:rPr>
          <w:rFonts w:ascii="Arial" w:cs="Arial" w:eastAsia="Arial" w:hAnsi="Arial"/>
          <w:sz w:val="18"/>
          <w:szCs w:val="18"/>
          <w:color w:val="auto"/>
        </w:rPr>
        <w:t>Date: May 7, 2010</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S</w:t>
      </w:r>
      <w:r>
        <w:rPr>
          <w:rFonts w:ascii="Arial" w:cs="Arial" w:eastAsia="Arial" w:hAnsi="Arial"/>
          <w:sz w:val="13"/>
          <w:szCs w:val="13"/>
          <w:color w:val="auto"/>
        </w:rPr>
        <w:t>TEPHEN</w:t>
      </w:r>
      <w:r>
        <w:rPr>
          <w:rFonts w:ascii="Arial" w:cs="Arial" w:eastAsia="Arial" w:hAnsi="Arial"/>
          <w:sz w:val="16"/>
          <w:szCs w:val="16"/>
          <w:color w:val="auto"/>
        </w:rPr>
        <w:t xml:space="preserve"> A. W</w:t>
      </w:r>
      <w:r>
        <w:rPr>
          <w:rFonts w:ascii="Arial" w:cs="Arial" w:eastAsia="Arial" w:hAnsi="Arial"/>
          <w:sz w:val="13"/>
          <w:szCs w:val="13"/>
          <w:color w:val="auto"/>
        </w:rPr>
        <w:t>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10795</wp:posOffset>
            </wp:positionV>
            <wp:extent cx="347345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jc w:val="center"/>
        <w:ind w:left="6060"/>
        <w:spacing w:after="0"/>
        <w:rPr>
          <w:sz w:val="20"/>
          <w:szCs w:val="20"/>
          <w:color w:val="auto"/>
        </w:rPr>
      </w:pPr>
      <w:r>
        <w:rPr>
          <w:rFonts w:ascii="Arial" w:cs="Arial" w:eastAsia="Arial" w:hAnsi="Arial"/>
          <w:sz w:val="14"/>
          <w:szCs w:val="14"/>
          <w:b w:val="1"/>
          <w:bCs w:val="1"/>
          <w:color w:val="auto"/>
        </w:rPr>
        <w:t>Stephen A. Wynn</w:t>
      </w:r>
    </w:p>
    <w:p>
      <w:pPr>
        <w:jc w:val="center"/>
        <w:ind w:left="6060"/>
        <w:spacing w:after="0" w:line="223" w:lineRule="auto"/>
        <w:rPr>
          <w:sz w:val="20"/>
          <w:szCs w:val="20"/>
          <w:color w:val="auto"/>
        </w:rPr>
      </w:pPr>
      <w:r>
        <w:rPr>
          <w:rFonts w:ascii="Arial" w:cs="Arial" w:eastAsia="Arial" w:hAnsi="Arial"/>
          <w:sz w:val="14"/>
          <w:szCs w:val="14"/>
          <w:b w:val="1"/>
          <w:bCs w:val="1"/>
          <w:color w:val="auto"/>
        </w:rPr>
        <w:t>Chairman of the Board and Chief Executive Officer</w:t>
      </w:r>
    </w:p>
    <w:p>
      <w:pPr>
        <w:jc w:val="center"/>
        <w:ind w:left="6060"/>
        <w:spacing w:after="0"/>
        <w:rPr>
          <w:sz w:val="20"/>
          <w:szCs w:val="20"/>
          <w:color w:val="auto"/>
        </w:rPr>
      </w:pPr>
      <w:r>
        <w:rPr>
          <w:rFonts w:ascii="Arial" w:cs="Arial" w:eastAsia="Arial" w:hAnsi="Arial"/>
          <w:sz w:val="14"/>
          <w:szCs w:val="14"/>
          <w:b w:val="1"/>
          <w:bCs w:val="1"/>
          <w:color w:val="auto"/>
        </w:rPr>
        <w:t>(Principal Executive Officer)</w:t>
      </w:r>
    </w:p>
    <w:p>
      <w:pPr>
        <w:sectPr>
          <w:pgSz w:w="11900" w:h="16838" w:orient="portrait"/>
          <w:cols w:equalWidth="0" w:num="1">
            <w:col w:w="11420"/>
          </w:cols>
          <w:pgMar w:left="240" w:top="125" w:right="23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Financial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Matt Maddox, certify that:</w:t>
      </w:r>
    </w:p>
    <w:p>
      <w:pPr>
        <w:spacing w:after="0" w:line="90" w:lineRule="exact"/>
        <w:rPr>
          <w:sz w:val="20"/>
          <w:szCs w:val="20"/>
          <w:color w:val="auto"/>
        </w:rPr>
      </w:pPr>
    </w:p>
    <w:p>
      <w:pPr>
        <w:ind w:left="460" w:hanging="452"/>
        <w:spacing w:after="0"/>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Wynn Resorts, Limited;</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40"/>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0" w:hanging="452"/>
        <w:spacing w:after="0" w:line="259" w:lineRule="auto"/>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4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640" w:hanging="452"/>
        <w:spacing w:after="0" w:line="332" w:lineRule="auto"/>
        <w:tabs>
          <w:tab w:leader="none" w:pos="4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tabs>
          <w:tab w:leader="none" w:pos="7820" w:val="left"/>
          <w:tab w:leader="none" w:pos="8160" w:val="left"/>
        </w:tabs>
        <w:rPr>
          <w:sz w:val="20"/>
          <w:szCs w:val="20"/>
          <w:color w:val="auto"/>
        </w:rPr>
      </w:pPr>
      <w:r>
        <w:rPr>
          <w:rFonts w:ascii="Arial" w:cs="Arial" w:eastAsia="Arial" w:hAnsi="Arial"/>
          <w:sz w:val="18"/>
          <w:szCs w:val="18"/>
          <w:color w:val="auto"/>
        </w:rPr>
        <w:t>Date: May 7, 2010</w:t>
      </w:r>
      <w:r>
        <w:rPr>
          <w:sz w:val="20"/>
          <w:szCs w:val="20"/>
          <w:color w:val="auto"/>
        </w:rPr>
        <w:tab/>
      </w:r>
      <w:r>
        <w:rPr>
          <w:rFonts w:ascii="Arial" w:cs="Arial" w:eastAsia="Arial" w:hAnsi="Arial"/>
          <w:sz w:val="18"/>
          <w:szCs w:val="18"/>
          <w:color w:val="auto"/>
        </w:rPr>
        <w:t>/s/</w:t>
        <w:tab/>
        <w:t>M</w:t>
      </w:r>
      <w:r>
        <w:rPr>
          <w:rFonts w:ascii="Arial" w:cs="Arial" w:eastAsia="Arial" w:hAnsi="Arial"/>
          <w:sz w:val="14"/>
          <w:szCs w:val="14"/>
          <w:color w:val="auto"/>
        </w:rPr>
        <w:t>ATT</w:t>
      </w:r>
      <w:r>
        <w:rPr>
          <w:rFonts w:ascii="Arial" w:cs="Arial" w:eastAsia="Arial" w:hAnsi="Arial"/>
          <w:sz w:val="18"/>
          <w:szCs w:val="18"/>
          <w:color w:val="auto"/>
        </w:rPr>
        <w:t xml:space="preserve"> M</w:t>
      </w:r>
      <w:r>
        <w:rPr>
          <w:rFonts w:ascii="Arial" w:cs="Arial" w:eastAsia="Arial" w:hAnsi="Arial"/>
          <w:sz w:val="14"/>
          <w:szCs w:val="14"/>
          <w:color w:val="auto"/>
        </w:rPr>
        <w:t>ADDOX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10795</wp:posOffset>
            </wp:positionV>
            <wp:extent cx="347345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jc w:val="center"/>
        <w:ind w:left="6060"/>
        <w:spacing w:after="0"/>
        <w:rPr>
          <w:sz w:val="20"/>
          <w:szCs w:val="20"/>
          <w:color w:val="auto"/>
        </w:rPr>
      </w:pPr>
      <w:r>
        <w:rPr>
          <w:rFonts w:ascii="Arial" w:cs="Arial" w:eastAsia="Arial" w:hAnsi="Arial"/>
          <w:sz w:val="14"/>
          <w:szCs w:val="14"/>
          <w:b w:val="1"/>
          <w:bCs w:val="1"/>
          <w:color w:val="auto"/>
        </w:rPr>
        <w:t>Matt Maddox</w:t>
      </w:r>
    </w:p>
    <w:p>
      <w:pPr>
        <w:jc w:val="center"/>
        <w:ind w:left="6060"/>
        <w:spacing w:after="0" w:line="223" w:lineRule="auto"/>
        <w:rPr>
          <w:sz w:val="20"/>
          <w:szCs w:val="20"/>
          <w:color w:val="auto"/>
        </w:rPr>
      </w:pPr>
      <w:r>
        <w:rPr>
          <w:rFonts w:ascii="Arial" w:cs="Arial" w:eastAsia="Arial" w:hAnsi="Arial"/>
          <w:sz w:val="14"/>
          <w:szCs w:val="14"/>
          <w:b w:val="1"/>
          <w:bCs w:val="1"/>
          <w:color w:val="auto"/>
        </w:rPr>
        <w:t>Chief Financial Officer and Treasurer</w:t>
      </w:r>
    </w:p>
    <w:p>
      <w:pPr>
        <w:jc w:val="center"/>
        <w:ind w:left="6060"/>
        <w:spacing w:after="0"/>
        <w:rPr>
          <w:sz w:val="20"/>
          <w:szCs w:val="20"/>
          <w:color w:val="auto"/>
        </w:rPr>
      </w:pPr>
      <w:r>
        <w:rPr>
          <w:rFonts w:ascii="Arial" w:cs="Arial" w:eastAsia="Arial" w:hAnsi="Arial"/>
          <w:sz w:val="14"/>
          <w:szCs w:val="14"/>
          <w:b w:val="1"/>
          <w:bCs w:val="1"/>
          <w:color w:val="auto"/>
        </w:rPr>
        <w:t>(Principal Financial Officer)</w:t>
      </w:r>
    </w:p>
    <w:p>
      <w:pPr>
        <w:sectPr>
          <w:pgSz w:w="11900" w:h="16838" w:orient="portrait"/>
          <w:cols w:equalWidth="0" w:num="1">
            <w:col w:w="11420"/>
          </w:cols>
          <w:pgMar w:left="240" w:top="125" w:right="23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21"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In connection with the Quarterly Report on Form 10-Q of Wynn Resorts, Limited (the “Company”) for the quarter ended March 31, 2010 as filed with the Securities and Exchange Commission on the date hereof (the “Report”), Stephen A. Wynn, as Chief Executive Officer of the Company and Matt Maddox, as Chief Financial Officer of the Company, each hereby certifies, pursuant to 18 U.S.C. Section 1350, as adopted pursuant to Section 906 of the Sarbanes-Oxley Act of 2002, that, to the best of his knowledge:</w:t>
      </w:r>
    </w:p>
    <w:p>
      <w:pPr>
        <w:spacing w:after="0" w:line="62" w:lineRule="exact"/>
        <w:rPr>
          <w:sz w:val="20"/>
          <w:szCs w:val="20"/>
          <w:color w:val="auto"/>
        </w:rPr>
      </w:pPr>
    </w:p>
    <w:p>
      <w:pPr>
        <w:ind w:left="460" w:hanging="452"/>
        <w:spacing w:after="0"/>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/s/</w:t>
            </w:r>
          </w:p>
        </w:tc>
        <w:tc>
          <w:tcPr>
            <w:tcW w:w="2680" w:type="dxa"/>
            <w:vAlign w:val="bottom"/>
            <w:tcBorders>
              <w:bottom w:val="single" w:sz="8" w:color="auto"/>
            </w:tcBorders>
          </w:tcPr>
          <w:p>
            <w:pPr>
              <w:jc w:val="center"/>
              <w:ind w:right="1222"/>
              <w:spacing w:after="0"/>
              <w:rPr>
                <w:sz w:val="20"/>
                <w:szCs w:val="20"/>
                <w:color w:val="auto"/>
              </w:rPr>
            </w:pPr>
            <w:r>
              <w:rPr>
                <w:rFonts w:ascii="Arial" w:cs="Arial" w:eastAsia="Arial" w:hAnsi="Arial"/>
                <w:sz w:val="18"/>
                <w:szCs w:val="18"/>
                <w:color w:val="auto"/>
                <w:w w:val="96"/>
              </w:rPr>
              <w:t>S</w:t>
            </w:r>
            <w:r>
              <w:rPr>
                <w:rFonts w:ascii="Arial" w:cs="Arial" w:eastAsia="Arial" w:hAnsi="Arial"/>
                <w:sz w:val="14"/>
                <w:szCs w:val="14"/>
                <w:color w:val="auto"/>
                <w:w w:val="96"/>
              </w:rPr>
              <w:t>TEPHEN</w:t>
            </w:r>
            <w:r>
              <w:rPr>
                <w:rFonts w:ascii="Arial" w:cs="Arial" w:eastAsia="Arial" w:hAnsi="Arial"/>
                <w:sz w:val="18"/>
                <w:szCs w:val="18"/>
                <w:color w:val="auto"/>
                <w:w w:val="96"/>
              </w:rPr>
              <w:t xml:space="preserve"> A. W</w:t>
            </w:r>
            <w:r>
              <w:rPr>
                <w:rFonts w:ascii="Arial" w:cs="Arial" w:eastAsia="Arial" w:hAnsi="Arial"/>
                <w:sz w:val="14"/>
                <w:szCs w:val="14"/>
                <w:color w:val="auto"/>
                <w:w w:val="96"/>
              </w:rPr>
              <w:t>YNN</w:t>
            </w:r>
          </w:p>
        </w:tc>
      </w:tr>
      <w:tr>
        <w:trPr>
          <w:trHeight w:val="144"/>
        </w:trPr>
        <w:tc>
          <w:tcPr>
            <w:tcW w:w="1380" w:type="dxa"/>
            <w:vAlign w:val="bottom"/>
            <w:gridSpan w:val="3"/>
          </w:tcPr>
          <w:p>
            <w:pPr>
              <w:spacing w:after="0" w:line="144" w:lineRule="exact"/>
              <w:rPr>
                <w:sz w:val="20"/>
                <w:szCs w:val="20"/>
                <w:color w:val="auto"/>
              </w:rPr>
            </w:pPr>
            <w:r>
              <w:rPr>
                <w:rFonts w:ascii="Arial" w:cs="Arial" w:eastAsia="Arial" w:hAnsi="Arial"/>
                <w:sz w:val="14"/>
                <w:szCs w:val="14"/>
                <w:b w:val="1"/>
                <w:bCs w:val="1"/>
                <w:color w:val="auto"/>
              </w:rPr>
              <w:t>Name:</w:t>
            </w:r>
          </w:p>
        </w:tc>
        <w:tc>
          <w:tcPr>
            <w:tcW w:w="520" w:type="dxa"/>
            <w:vAlign w:val="bottom"/>
          </w:tcPr>
          <w:p>
            <w:pPr>
              <w:spacing w:after="0"/>
              <w:rPr>
                <w:sz w:val="12"/>
                <w:szCs w:val="12"/>
                <w:color w:val="auto"/>
              </w:rPr>
            </w:pPr>
          </w:p>
        </w:tc>
        <w:tc>
          <w:tcPr>
            <w:tcW w:w="2680" w:type="dxa"/>
            <w:vAlign w:val="bottom"/>
          </w:tcPr>
          <w:p>
            <w:pPr>
              <w:jc w:val="center"/>
              <w:ind w:right="1262"/>
              <w:spacing w:after="0" w:line="144" w:lineRule="exact"/>
              <w:rPr>
                <w:sz w:val="20"/>
                <w:szCs w:val="20"/>
                <w:color w:val="auto"/>
              </w:rPr>
            </w:pPr>
            <w:r>
              <w:rPr>
                <w:rFonts w:ascii="Arial" w:cs="Arial" w:eastAsia="Arial" w:hAnsi="Arial"/>
                <w:sz w:val="14"/>
                <w:szCs w:val="14"/>
                <w:b w:val="1"/>
                <w:bCs w:val="1"/>
                <w:color w:val="auto"/>
                <w:w w:val="88"/>
              </w:rPr>
              <w:t>Stephen A. Wynn</w:t>
            </w:r>
          </w:p>
        </w:tc>
      </w:tr>
      <w:tr>
        <w:trPr>
          <w:trHeight w:val="149"/>
        </w:trPr>
        <w:tc>
          <w:tcPr>
            <w:tcW w:w="13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Title:</w:t>
            </w:r>
          </w:p>
        </w:tc>
        <w:tc>
          <w:tcPr>
            <w:tcW w:w="3200" w:type="dxa"/>
            <w:vAlign w:val="bottom"/>
            <w:gridSpan w:val="2"/>
          </w:tcPr>
          <w:p>
            <w:pPr>
              <w:jc w:val="center"/>
              <w:ind w:right="762"/>
              <w:spacing w:after="0" w:line="149" w:lineRule="exact"/>
              <w:rPr>
                <w:sz w:val="20"/>
                <w:szCs w:val="20"/>
                <w:color w:val="auto"/>
              </w:rPr>
            </w:pPr>
            <w:r>
              <w:rPr>
                <w:rFonts w:ascii="Arial" w:cs="Arial" w:eastAsia="Arial" w:hAnsi="Arial"/>
                <w:sz w:val="14"/>
                <w:szCs w:val="14"/>
                <w:b w:val="1"/>
                <w:bCs w:val="1"/>
                <w:color w:val="auto"/>
                <w:w w:val="89"/>
              </w:rPr>
              <w:t>Chairman and Chief Executive Officer</w:t>
            </w:r>
          </w:p>
        </w:tc>
      </w:tr>
      <w:tr>
        <w:trPr>
          <w:trHeight w:val="174"/>
        </w:trPr>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200" w:type="dxa"/>
            <w:vAlign w:val="bottom"/>
            <w:gridSpan w:val="2"/>
          </w:tcPr>
          <w:p>
            <w:pPr>
              <w:jc w:val="center"/>
              <w:ind w:right="742"/>
              <w:spacing w:after="0"/>
              <w:rPr>
                <w:sz w:val="20"/>
                <w:szCs w:val="20"/>
                <w:color w:val="auto"/>
              </w:rPr>
            </w:pPr>
            <w:r>
              <w:rPr>
                <w:rFonts w:ascii="Arial" w:cs="Arial" w:eastAsia="Arial" w:hAnsi="Arial"/>
                <w:sz w:val="14"/>
                <w:szCs w:val="14"/>
                <w:b w:val="1"/>
                <w:bCs w:val="1"/>
                <w:color w:val="auto"/>
                <w:w w:val="88"/>
              </w:rPr>
              <w:t>(Principal Executive Officer)</w:t>
            </w:r>
          </w:p>
        </w:tc>
      </w:tr>
      <w:tr>
        <w:trPr>
          <w:trHeight w:val="377"/>
        </w:trPr>
        <w:tc>
          <w:tcPr>
            <w:tcW w:w="1380" w:type="dxa"/>
            <w:vAlign w:val="bottom"/>
            <w:gridSpan w:val="3"/>
          </w:tcPr>
          <w:p>
            <w:pPr>
              <w:spacing w:after="0"/>
              <w:rPr>
                <w:sz w:val="20"/>
                <w:szCs w:val="20"/>
                <w:color w:val="auto"/>
              </w:rPr>
            </w:pPr>
            <w:r>
              <w:rPr>
                <w:rFonts w:ascii="Arial" w:cs="Arial" w:eastAsia="Arial" w:hAnsi="Arial"/>
                <w:sz w:val="18"/>
                <w:szCs w:val="18"/>
                <w:color w:val="auto"/>
                <w:w w:val="92"/>
              </w:rPr>
              <w:t>Date: May 7, 2010</w:t>
            </w:r>
          </w:p>
        </w:tc>
        <w:tc>
          <w:tcPr>
            <w:tcW w:w="520" w:type="dxa"/>
            <w:vAlign w:val="bottom"/>
          </w:tcPr>
          <w:p>
            <w:pPr>
              <w:spacing w:after="0"/>
              <w:rPr>
                <w:sz w:val="24"/>
                <w:szCs w:val="24"/>
                <w:color w:val="auto"/>
              </w:rPr>
            </w:pPr>
          </w:p>
        </w:tc>
        <w:tc>
          <w:tcPr>
            <w:tcW w:w="2680" w:type="dxa"/>
            <w:vAlign w:val="bottom"/>
          </w:tcPr>
          <w:p>
            <w:pPr>
              <w:spacing w:after="0"/>
              <w:rPr>
                <w:sz w:val="24"/>
                <w:szCs w:val="24"/>
                <w:color w:val="auto"/>
              </w:rPr>
            </w:pPr>
          </w:p>
        </w:tc>
      </w:tr>
      <w:tr>
        <w:trPr>
          <w:trHeight w:val="420"/>
        </w:trPr>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w w:val="83"/>
              </w:rPr>
              <w:t>/s/</w:t>
            </w:r>
          </w:p>
        </w:tc>
        <w:tc>
          <w:tcPr>
            <w:tcW w:w="268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ATT</w:t>
            </w:r>
            <w:r>
              <w:rPr>
                <w:rFonts w:ascii="Arial" w:cs="Arial" w:eastAsia="Arial" w:hAnsi="Arial"/>
                <w:sz w:val="18"/>
                <w:szCs w:val="18"/>
                <w:color w:val="auto"/>
              </w:rPr>
              <w:t xml:space="preserve"> M</w:t>
            </w:r>
            <w:r>
              <w:rPr>
                <w:rFonts w:ascii="Arial" w:cs="Arial" w:eastAsia="Arial" w:hAnsi="Arial"/>
                <w:sz w:val="14"/>
                <w:szCs w:val="14"/>
                <w:color w:val="auto"/>
              </w:rPr>
              <w:t>ADDOX</w:t>
            </w:r>
          </w:p>
        </w:tc>
      </w:tr>
      <w:tr>
        <w:trPr>
          <w:trHeight w:val="211"/>
        </w:trPr>
        <w:tc>
          <w:tcPr>
            <w:tcW w:w="1380" w:type="dxa"/>
            <w:vAlign w:val="bottom"/>
            <w:gridSpan w:val="3"/>
          </w:tcPr>
          <w:p>
            <w:pPr>
              <w:spacing w:after="0"/>
              <w:rPr>
                <w:sz w:val="20"/>
                <w:szCs w:val="20"/>
                <w:color w:val="auto"/>
              </w:rPr>
            </w:pPr>
            <w:r>
              <w:rPr>
                <w:rFonts w:ascii="Arial" w:cs="Arial" w:eastAsia="Arial" w:hAnsi="Arial"/>
                <w:sz w:val="18"/>
                <w:szCs w:val="18"/>
                <w:color w:val="auto"/>
              </w:rPr>
              <w:t>Name:</w:t>
            </w:r>
          </w:p>
        </w:tc>
        <w:tc>
          <w:tcPr>
            <w:tcW w:w="520" w:type="dxa"/>
            <w:vAlign w:val="bottom"/>
          </w:tcPr>
          <w:p>
            <w:pPr>
              <w:spacing w:after="0"/>
              <w:rPr>
                <w:sz w:val="18"/>
                <w:szCs w:val="18"/>
                <w:color w:val="auto"/>
              </w:rPr>
            </w:pPr>
          </w:p>
        </w:tc>
        <w:tc>
          <w:tcPr>
            <w:tcW w:w="2680" w:type="dxa"/>
            <w:vAlign w:val="bottom"/>
          </w:tcPr>
          <w:p>
            <w:pPr>
              <w:jc w:val="center"/>
              <w:ind w:right="1162"/>
              <w:spacing w:after="0"/>
              <w:rPr>
                <w:sz w:val="20"/>
                <w:szCs w:val="20"/>
                <w:color w:val="auto"/>
              </w:rPr>
            </w:pPr>
            <w:r>
              <w:rPr>
                <w:rFonts w:ascii="Arial" w:cs="Arial" w:eastAsia="Arial" w:hAnsi="Arial"/>
                <w:sz w:val="14"/>
                <w:szCs w:val="14"/>
                <w:b w:val="1"/>
                <w:bCs w:val="1"/>
                <w:color w:val="auto"/>
                <w:w w:val="93"/>
              </w:rPr>
              <w:t>Matt Maddox</w:t>
            </w:r>
          </w:p>
        </w:tc>
      </w:tr>
      <w:tr>
        <w:trPr>
          <w:trHeight w:val="163"/>
        </w:trPr>
        <w:tc>
          <w:tcPr>
            <w:tcW w:w="1380" w:type="dxa"/>
            <w:vAlign w:val="bottom"/>
            <w:gridSpan w:val="3"/>
          </w:tcPr>
          <w:p>
            <w:pPr>
              <w:spacing w:after="0" w:line="163" w:lineRule="exact"/>
              <w:rPr>
                <w:sz w:val="20"/>
                <w:szCs w:val="20"/>
                <w:color w:val="auto"/>
              </w:rPr>
            </w:pPr>
            <w:r>
              <w:rPr>
                <w:rFonts w:ascii="Arial" w:cs="Arial" w:eastAsia="Arial" w:hAnsi="Arial"/>
                <w:sz w:val="18"/>
                <w:szCs w:val="18"/>
                <w:color w:val="auto"/>
              </w:rPr>
              <w:t>Title:</w:t>
            </w:r>
          </w:p>
        </w:tc>
        <w:tc>
          <w:tcPr>
            <w:tcW w:w="3200" w:type="dxa"/>
            <w:vAlign w:val="bottom"/>
            <w:gridSpan w:val="2"/>
          </w:tcPr>
          <w:p>
            <w:pPr>
              <w:jc w:val="center"/>
              <w:ind w:right="642"/>
              <w:spacing w:after="0"/>
              <w:rPr>
                <w:sz w:val="20"/>
                <w:szCs w:val="20"/>
                <w:color w:val="auto"/>
              </w:rPr>
            </w:pPr>
            <w:r>
              <w:rPr>
                <w:rFonts w:ascii="Arial" w:cs="Arial" w:eastAsia="Arial" w:hAnsi="Arial"/>
                <w:sz w:val="14"/>
                <w:szCs w:val="14"/>
                <w:b w:val="1"/>
                <w:bCs w:val="1"/>
                <w:color w:val="auto"/>
                <w:w w:val="89"/>
              </w:rPr>
              <w:t>Chief Financial Officer and Treasurer</w:t>
            </w:r>
          </w:p>
        </w:tc>
      </w:tr>
      <w:tr>
        <w:trPr>
          <w:trHeight w:val="174"/>
        </w:trPr>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200" w:type="dxa"/>
            <w:vAlign w:val="bottom"/>
            <w:gridSpan w:val="2"/>
          </w:tcPr>
          <w:p>
            <w:pPr>
              <w:jc w:val="center"/>
              <w:ind w:right="642"/>
              <w:spacing w:after="0"/>
              <w:rPr>
                <w:sz w:val="20"/>
                <w:szCs w:val="20"/>
                <w:color w:val="auto"/>
              </w:rPr>
            </w:pPr>
            <w:r>
              <w:rPr>
                <w:rFonts w:ascii="Arial" w:cs="Arial" w:eastAsia="Arial" w:hAnsi="Arial"/>
                <w:sz w:val="14"/>
                <w:szCs w:val="14"/>
                <w:b w:val="1"/>
                <w:bCs w:val="1"/>
                <w:color w:val="auto"/>
                <w:w w:val="90"/>
              </w:rPr>
              <w:t>(Principal Financial Officer)</w:t>
            </w:r>
          </w:p>
        </w:tc>
      </w:tr>
    </w:tbl>
    <w:p>
      <w:pPr>
        <w:spacing w:after="0" w:line="140"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May 7, 2010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ind w:right="280"/>
        <w:spacing w:after="0" w:line="306" w:lineRule="auto"/>
        <w:rPr>
          <w:sz w:val="20"/>
          <w:szCs w:val="20"/>
          <w:color w:val="auto"/>
        </w:rPr>
      </w:pPr>
      <w:r>
        <w:rPr>
          <w:rFonts w:ascii="Arial" w:cs="Arial" w:eastAsia="Arial" w:hAnsi="Arial"/>
          <w:sz w:val="16"/>
          <w:szCs w:val="16"/>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Wynn Resorts, Limited and will be retained by Wynn Resorts, Limited and furnished to the Securities and Exchange Commission or its staff upon request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8C895D"/>
    <w:multiLevelType w:val="hybridMultilevel"/>
    <w:lvl w:ilvl="0">
      <w:lvlJc w:val="left"/>
      <w:lvlText w:val="☒"/>
      <w:numFmt w:val="bullet"/>
      <w:start w:val="1"/>
    </w:lvl>
  </w:abstractNum>
  <w:abstractNum w:abstractNumId="1">
    <w:nsid w:val="333AB105"/>
    <w:multiLevelType w:val="hybridMultilevel"/>
    <w:lvl w:ilvl="0">
      <w:lvlJc w:val="left"/>
      <w:lvlText w:val="☐"/>
      <w:numFmt w:val="bullet"/>
      <w:start w:val="1"/>
    </w:lvl>
  </w:abstractNum>
  <w:abstractNum w:abstractNumId="2">
    <w:nsid w:val="721DA317"/>
    <w:multiLevelType w:val="hybridMultilevel"/>
    <w:lvl w:ilvl="0">
      <w:lvlJc w:val="left"/>
      <w:lvlText w:val="%1."/>
      <w:numFmt w:val="decimal"/>
      <w:start w:val="2"/>
    </w:lvl>
  </w:abstractNum>
  <w:abstractNum w:abstractNumId="3">
    <w:nsid w:val="2443A858"/>
    <w:multiLevelType w:val="hybridMultilevel"/>
    <w:lvl w:ilvl="0">
      <w:lvlJc w:val="left"/>
      <w:lvlText w:val="%1."/>
      <w:numFmt w:val="decimal"/>
      <w:start w:val="14"/>
    </w:lvl>
  </w:abstractNum>
  <w:abstractNum w:abstractNumId="4">
    <w:nsid w:val="2D1D5AE9"/>
    <w:multiLevelType w:val="hybridMultilevel"/>
    <w:lvl w:ilvl="0">
      <w:lvlJc w:val="left"/>
      <w:lvlText w:val="(%1)"/>
      <w:numFmt w:val="decimal"/>
      <w:start w:val="1"/>
    </w:lvl>
  </w:abstractNum>
  <w:abstractNum w:abstractNumId="5">
    <w:nsid w:val="6763845E"/>
    <w:multiLevelType w:val="hybridMultilevel"/>
    <w:lvl w:ilvl="0">
      <w:lvlJc w:val="left"/>
      <w:lvlText w:val="•"/>
      <w:numFmt w:val="bullet"/>
      <w:start w:val="1"/>
    </w:lvl>
  </w:abstractNum>
  <w:abstractNum w:abstractNumId="6">
    <w:nsid w:val="75A2A8D4"/>
    <w:multiLevelType w:val="hybridMultilevel"/>
    <w:lvl w:ilvl="0">
      <w:lvlJc w:val="left"/>
      <w:lvlText w:val="•"/>
      <w:numFmt w:val="bullet"/>
      <w:start w:val="1"/>
    </w:lvl>
  </w:abstractNum>
  <w:abstractNum w:abstractNumId="7">
    <w:nsid w:val="8EDBDAB"/>
    <w:multiLevelType w:val="hybridMultilevel"/>
    <w:lvl w:ilvl="0">
      <w:lvlJc w:val="left"/>
      <w:lvlText w:val="•"/>
      <w:numFmt w:val="bullet"/>
      <w:start w:val="1"/>
    </w:lvl>
  </w:abstractNum>
  <w:abstractNum w:abstractNumId="8">
    <w:nsid w:val="79838CB2"/>
    <w:multiLevelType w:val="hybridMultilevel"/>
    <w:lvl w:ilvl="0">
      <w:lvlJc w:val="left"/>
      <w:lvlText w:val="•"/>
      <w:numFmt w:val="bullet"/>
      <w:start w:val="1"/>
    </w:lvl>
  </w:abstractNum>
  <w:abstractNum w:abstractNumId="9">
    <w:nsid w:val="4353D0CD"/>
    <w:multiLevelType w:val="hybridMultilevel"/>
    <w:lvl w:ilvl="0">
      <w:lvlJc w:val="left"/>
      <w:lvlText w:val="•"/>
      <w:numFmt w:val="bullet"/>
      <w:start w:val="1"/>
    </w:lvl>
  </w:abstractNum>
  <w:abstractNum w:abstractNumId="10">
    <w:nsid w:val="B03E0C6"/>
    <w:multiLevelType w:val="hybridMultilevel"/>
    <w:lvl w:ilvl="0">
      <w:lvlJc w:val="left"/>
      <w:lvlText w:val="•"/>
      <w:numFmt w:val="bullet"/>
      <w:start w:val="1"/>
    </w:lvl>
  </w:abstractNum>
  <w:abstractNum w:abstractNumId="11">
    <w:nsid w:val="189A769B"/>
    <w:multiLevelType w:val="hybridMultilevel"/>
    <w:lvl w:ilvl="0">
      <w:lvlJc w:val="left"/>
      <w:lvlText w:val="•"/>
      <w:numFmt w:val="bullet"/>
      <w:start w:val="1"/>
    </w:lvl>
  </w:abstractNum>
  <w:abstractNum w:abstractNumId="12">
    <w:nsid w:val="54E49EB4"/>
    <w:multiLevelType w:val="hybridMultilevel"/>
    <w:lvl w:ilvl="0">
      <w:lvlJc w:val="left"/>
      <w:lvlText w:val="•"/>
      <w:numFmt w:val="bullet"/>
      <w:start w:val="1"/>
    </w:lvl>
  </w:abstractNum>
  <w:abstractNum w:abstractNumId="13">
    <w:nsid w:val="71F32454"/>
    <w:multiLevelType w:val="hybridMultilevel"/>
    <w:lvl w:ilvl="0">
      <w:lvlJc w:val="left"/>
      <w:lvlText w:val="•"/>
      <w:numFmt w:val="bullet"/>
      <w:start w:val="1"/>
    </w:lvl>
  </w:abstractNum>
  <w:abstractNum w:abstractNumId="14">
    <w:nsid w:val="2CA88611"/>
    <w:multiLevelType w:val="hybridMultilevel"/>
    <w:lvl w:ilvl="0">
      <w:lvlJc w:val="left"/>
      <w:lvlText w:val="(%1)"/>
      <w:numFmt w:val="lowerLetter"/>
      <w:start w:val="1"/>
    </w:lvl>
  </w:abstractNum>
  <w:abstractNum w:abstractNumId="15">
    <w:nsid w:val="836C40E"/>
    <w:multiLevelType w:val="hybridMultilevel"/>
    <w:lvl w:ilvl="0">
      <w:lvlJc w:val="left"/>
      <w:lvlText w:val="(%1)"/>
      <w:numFmt w:val="lowerLetter"/>
      <w:start w:val="2"/>
    </w:lvl>
  </w:abstractNum>
  <w:abstractNum w:abstractNumId="16">
    <w:nsid w:val="2901D82"/>
    <w:multiLevelType w:val="hybridMultilevel"/>
    <w:lvl w:ilvl="0">
      <w:lvlJc w:val="left"/>
      <w:lvlText w:val="*"/>
      <w:numFmt w:val="bullet"/>
      <w:start w:val="1"/>
    </w:lvl>
  </w:abstractNum>
  <w:abstractNum w:abstractNumId="17">
    <w:nsid w:val="3A95F874"/>
    <w:multiLevelType w:val="hybridMultilevel"/>
    <w:lvl w:ilvl="0">
      <w:lvlJc w:val="left"/>
      <w:lvlText w:val="(%1)"/>
      <w:numFmt w:val="decimal"/>
      <w:start w:val="1"/>
    </w:lvl>
  </w:abstractNum>
  <w:abstractNum w:abstractNumId="18">
    <w:nsid w:val="8138641"/>
    <w:multiLevelType w:val="hybridMultilevel"/>
    <w:lvl w:ilvl="0">
      <w:lvlJc w:val="left"/>
      <w:lvlText w:val="%1."/>
      <w:numFmt w:val="decimal"/>
      <w:start w:val="1"/>
    </w:lvl>
  </w:abstractNum>
  <w:abstractNum w:abstractNumId="19">
    <w:nsid w:val="1E7FF521"/>
    <w:multiLevelType w:val="hybridMultilevel"/>
    <w:lvl w:ilvl="0">
      <w:lvlJc w:val="left"/>
      <w:lvlText w:val="(%1)"/>
      <w:numFmt w:val="lowerRoman"/>
      <w:start w:val="1"/>
    </w:lvl>
  </w:abstractNum>
  <w:abstractNum w:abstractNumId="20">
    <w:nsid w:val="7C3DBD3D"/>
    <w:multiLevelType w:val="hybridMultilevel"/>
    <w:lvl w:ilvl="0">
      <w:lvlJc w:val="left"/>
      <w:lvlText w:val="(%1)"/>
      <w:numFmt w:val="lowerRoman"/>
      <w:start w:val="1"/>
    </w:lvl>
  </w:abstractNum>
  <w:abstractNum w:abstractNumId="21">
    <w:nsid w:val="737B8DDC"/>
    <w:multiLevelType w:val="hybridMultilevel"/>
    <w:lvl w:ilvl="0">
      <w:lvlJc w:val="left"/>
      <w:lvlText w:val="%1."/>
      <w:numFmt w:val="decimal"/>
      <w:start w:val="2"/>
    </w:lvl>
  </w:abstractNum>
  <w:abstractNum w:abstractNumId="22">
    <w:nsid w:val="6CEAF087"/>
    <w:multiLevelType w:val="hybridMultilevel"/>
    <w:lvl w:ilvl="0">
      <w:lvlJc w:val="left"/>
      <w:lvlText w:val="%1."/>
      <w:numFmt w:val="decimal"/>
      <w:start w:val="3"/>
    </w:lvl>
  </w:abstractNum>
  <w:abstractNum w:abstractNumId="23">
    <w:nsid w:val="22221A70"/>
    <w:multiLevelType w:val="hybridMultilevel"/>
    <w:lvl w:ilvl="0">
      <w:lvlJc w:val="left"/>
      <w:lvlText w:val="%1."/>
      <w:numFmt w:val="decimal"/>
      <w:start w:val="4"/>
    </w:lvl>
  </w:abstractNum>
  <w:abstractNum w:abstractNumId="24">
    <w:nsid w:val="4516DDE9"/>
    <w:multiLevelType w:val="hybridMultilevel"/>
    <w:lvl w:ilvl="0">
      <w:lvlJc w:val="left"/>
      <w:lvlText w:val="%1."/>
      <w:numFmt w:val="decimal"/>
      <w:start w:val="1"/>
    </w:lvl>
  </w:abstractNum>
  <w:abstractNum w:abstractNumId="25">
    <w:nsid w:val="3006C83E"/>
    <w:multiLevelType w:val="hybridMultilevel"/>
    <w:lvl w:ilvl="0">
      <w:lvlJc w:val="left"/>
      <w:lvlText w:val="(%1)"/>
      <w:numFmt w:val="lowerLetter"/>
      <w:start w:val="1"/>
    </w:lvl>
  </w:abstractNum>
  <w:abstractNum w:abstractNumId="26">
    <w:nsid w:val="614FD4A1"/>
    <w:multiLevelType w:val="hybridMultilevel"/>
    <w:lvl w:ilvl="0">
      <w:lvlJc w:val="left"/>
      <w:lvlText w:val="(%1)"/>
      <w:numFmt w:val="lowerLetter"/>
      <w:start w:val="3"/>
    </w:lvl>
    <w:lvl w:ilvl="1">
      <w:lvlJc w:val="left"/>
      <w:lvlText w:val=","/>
      <w:numFmt w:val="bullet"/>
      <w:start w:val="1"/>
    </w:lvl>
  </w:abstractNum>
  <w:abstractNum w:abstractNumId="27">
    <w:nsid w:val="419AC241"/>
    <w:multiLevelType w:val="hybridMultilevel"/>
    <w:lvl w:ilvl="0">
      <w:lvlJc w:val="left"/>
      <w:lvlText w:val="(%1)"/>
      <w:numFmt w:val="lowerRoman"/>
      <w:start w:val="1"/>
    </w:lvl>
  </w:abstractNum>
  <w:abstractNum w:abstractNumId="28">
    <w:nsid w:val="5577F8E1"/>
    <w:multiLevelType w:val="hybridMultilevel"/>
    <w:lvl w:ilvl="0">
      <w:lvlJc w:val="left"/>
      <w:lvlText w:val="%1."/>
      <w:numFmt w:val="decimal"/>
      <w:start w:val="4"/>
    </w:lvl>
  </w:abstractNum>
  <w:abstractNum w:abstractNumId="29">
    <w:nsid w:val="440BADFC"/>
    <w:multiLevelType w:val="hybridMultilevel"/>
    <w:lvl w:ilvl="0">
      <w:lvlJc w:val="left"/>
      <w:lvlText w:val="(%1)"/>
      <w:numFmt w:val="lowerLetter"/>
      <w:start w:val="1"/>
    </w:lvl>
  </w:abstractNum>
  <w:abstractNum w:abstractNumId="30">
    <w:nsid w:val="5072367"/>
    <w:multiLevelType w:val="hybridMultilevel"/>
    <w:lvl w:ilvl="0">
      <w:lvlJc w:val="left"/>
      <w:lvlText w:val="%1."/>
      <w:numFmt w:val="decimal"/>
      <w:start w:val="5"/>
    </w:lvl>
  </w:abstractNum>
  <w:abstractNum w:abstractNumId="31">
    <w:nsid w:val="3804823E"/>
    <w:multiLevelType w:val="hybridMultilevel"/>
    <w:lvl w:ilvl="0">
      <w:lvlJc w:val="left"/>
      <w:lvlText w:val="%1."/>
      <w:numFmt w:val="decimal"/>
      <w:start w:val="6"/>
    </w:lvl>
  </w:abstractNum>
  <w:abstractNum w:abstractNumId="32">
    <w:nsid w:val="77465F01"/>
    <w:multiLevelType w:val="hybridMultilevel"/>
    <w:lvl w:ilvl="0">
      <w:lvlJc w:val="left"/>
      <w:lvlText w:val="(%1)"/>
      <w:numFmt w:val="lowerLetter"/>
      <w:start w:val="1"/>
    </w:lvl>
  </w:abstractNum>
  <w:abstractNum w:abstractNumId="33">
    <w:nsid w:val="7724C67E"/>
    <w:multiLevelType w:val="hybridMultilevel"/>
    <w:lvl w:ilvl="0">
      <w:lvlJc w:val="left"/>
      <w:lvlText w:val="(%1)"/>
      <w:numFmt w:val="lowerLetter"/>
      <w:start w:val="2"/>
    </w:lvl>
  </w:abstractNum>
  <w:abstractNum w:abstractNumId="34">
    <w:nsid w:val="5C482A97"/>
    <w:multiLevelType w:val="hybridMultilevel"/>
    <w:lvl w:ilvl="0">
      <w:lvlJc w:val="left"/>
      <w:lvlText w:val="(%1)"/>
      <w:numFmt w:val="lowerLetter"/>
      <w:start w:val="5"/>
    </w:lvl>
  </w:abstractNum>
  <w:abstractNum w:abstractNumId="35">
    <w:nsid w:val="2463B9EA"/>
    <w:multiLevelType w:val="hybridMultilevel"/>
    <w:lvl w:ilvl="0">
      <w:lvlJc w:val="left"/>
      <w:lvlText w:val="%1."/>
      <w:numFmt w:val="decimal"/>
      <w:start w:val="12"/>
    </w:lvl>
  </w:abstractNum>
  <w:abstractNum w:abstractNumId="36">
    <w:nsid w:val="5E884ADC"/>
    <w:multiLevelType w:val="hybridMultilevel"/>
    <w:lvl w:ilvl="0">
      <w:lvlJc w:val="left"/>
      <w:lvlText w:val="%1."/>
      <w:numFmt w:val="decimal"/>
      <w:start w:val="18"/>
    </w:lvl>
  </w:abstractNum>
  <w:abstractNum w:abstractNumId="37">
    <w:nsid w:val="51EAD36B"/>
    <w:multiLevelType w:val="hybridMultilevel"/>
    <w:lvl w:ilvl="0">
      <w:lvlJc w:val="left"/>
      <w:lvlText w:val="%1."/>
      <w:numFmt w:val="decimal"/>
      <w:start w:val="19"/>
    </w:lvl>
  </w:abstractNum>
  <w:abstractNum w:abstractNumId="38">
    <w:nsid w:val="2D517796"/>
    <w:multiLevelType w:val="hybridMultilevel"/>
    <w:lvl w:ilvl="0">
      <w:lvlJc w:val="left"/>
      <w:lvlText w:val="%1."/>
      <w:numFmt w:val="decimal"/>
      <w:start w:val="1"/>
    </w:lvl>
    <w:lvl w:ilvl="1">
      <w:lvlJc w:val="left"/>
      <w:lvlText w:val="%2)"/>
      <w:numFmt w:val="lowerLetter"/>
      <w:start w:val="1"/>
    </w:lvl>
  </w:abstractNum>
  <w:abstractNum w:abstractNumId="39">
    <w:nsid w:val="580BD78F"/>
    <w:multiLevelType w:val="hybridMultilevel"/>
    <w:lvl w:ilvl="0">
      <w:lvlJc w:val="left"/>
      <w:lvlText w:val="%1."/>
      <w:numFmt w:val="decimal"/>
      <w:start w:val="1"/>
    </w:lvl>
    <w:lvl w:ilvl="1">
      <w:lvlJc w:val="left"/>
      <w:lvlText w:val="%2)"/>
      <w:numFmt w:val="lowerLetter"/>
      <w:start w:val="1"/>
    </w:lvl>
  </w:abstractNum>
  <w:abstractNum w:abstractNumId="40">
    <w:nsid w:val="153EA43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2019-12-10T22:17:36Z</dcterms:created>
  <dcterms:modified xsi:type="dcterms:W3CDTF">2019-12-10T22:17:36Z</dcterms:modified>
</cp:coreProperties>
</file>