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30" w:right="27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2640" w:space="720"/>
            <w:col w:w="8020"/>
          </w:cols>
          <w:pgMar w:left="240" w:top="230"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Commission File No. 333-100768</w:t>
      </w:r>
    </w:p>
    <w:p>
      <w:pPr>
        <w:sectPr>
          <w:pgSz w:w="11900" w:h="16838" w:orient="portrait"/>
          <w:cols w:equalWidth="0" w:num="1">
            <w:col w:w="11380"/>
          </w:cols>
          <w:pgMar w:left="240" w:top="230" w:right="279" w:bottom="1440" w:gutter="0" w:footer="0" w:header="0"/>
          <w:type w:val="continuous"/>
        </w:sectPr>
      </w:pP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230" w:right="279" w:bottom="1440" w:gutter="0" w:footer="0" w:header="0"/>
          <w:type w:val="continuous"/>
        </w:sectPr>
      </w:pPr>
    </w:p>
    <w:p>
      <w:pPr>
        <w:spacing w:after="0" w:line="135"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46" w:lineRule="exact"/>
        <w:rPr>
          <w:sz w:val="24"/>
          <w:szCs w:val="24"/>
          <w:color w:val="auto"/>
        </w:rPr>
      </w:pPr>
    </w:p>
    <w:p>
      <w:pPr>
        <w:sectPr>
          <w:pgSz w:w="11900" w:h="16838" w:orient="portrait"/>
          <w:cols w:equalWidth="0" w:num="2">
            <w:col w:w="7600" w:space="720"/>
            <w:col w:w="3060"/>
          </w:cols>
          <w:pgMar w:left="240" w:top="230" w:right="279" w:bottom="1440" w:gutter="0" w:footer="0" w:header="0"/>
          <w:type w:val="continuous"/>
        </w:sectPr>
      </w:pPr>
    </w:p>
    <w:p>
      <w:pPr>
        <w:spacing w:after="0" w:line="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 I.R.S. Employer</w:t>
      </w:r>
    </w:p>
    <w:p>
      <w:pPr>
        <w:jc w:val="center"/>
        <w:ind w:right="1980"/>
        <w:spacing w:after="0"/>
        <w:rPr>
          <w:sz w:val="20"/>
          <w:szCs w:val="20"/>
          <w:color w:val="auto"/>
        </w:rPr>
      </w:pPr>
      <w:r>
        <w:rPr>
          <w:rFonts w:ascii="Arial" w:cs="Arial" w:eastAsia="Arial" w:hAnsi="Arial"/>
          <w:sz w:val="12"/>
          <w:szCs w:val="12"/>
          <w:b w:val="1"/>
          <w:bCs w:val="1"/>
          <w:color w:val="auto"/>
        </w:rPr>
        <w:t>Identification Number)</w:t>
      </w:r>
    </w:p>
    <w:p>
      <w:pPr>
        <w:spacing w:after="0" w:line="76" w:lineRule="exact"/>
        <w:rPr>
          <w:sz w:val="24"/>
          <w:szCs w:val="24"/>
          <w:color w:val="auto"/>
        </w:rPr>
      </w:pPr>
    </w:p>
    <w:p>
      <w:pPr>
        <w:sectPr>
          <w:pgSz w:w="11900" w:h="16838" w:orient="portrait"/>
          <w:cols w:equalWidth="0" w:num="2">
            <w:col w:w="7340" w:space="720"/>
            <w:col w:w="3320"/>
          </w:cols>
          <w:pgMar w:left="240" w:top="230"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3131 Las Vegas Boulevard South—Las Vegas, Nevada 89109</w:t>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380"/>
          </w:cols>
          <w:pgMar w:left="240" w:top="230" w:right="279" w:bottom="1440" w:gutter="0" w:footer="0" w:header="0"/>
          <w:type w:val="continuous"/>
        </w:sectPr>
      </w:pPr>
    </w:p>
    <w:p>
      <w:pPr>
        <w:spacing w:after="0" w:line="49"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8580" w:space="180"/>
            <w:col w:w="240" w:space="100"/>
            <w:col w:w="160" w:space="180"/>
            <w:col w:w="200" w:space="100"/>
            <w:col w:w="1640"/>
          </w:cols>
          <w:pgMar w:left="240" w:top="230" w:right="27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5">
            <w:col w:w="8760" w:space="160"/>
            <w:col w:w="260" w:space="80"/>
            <w:col w:w="160" w:space="180"/>
            <w:col w:w="220" w:space="120"/>
            <w:col w:w="1440"/>
          </w:cols>
          <w:pgMar w:left="240" w:top="230" w:right="279" w:bottom="1440" w:gutter="0" w:footer="0" w:header="0"/>
          <w:type w:val="continuous"/>
        </w:sectPr>
      </w:pPr>
    </w:p>
    <w:p>
      <w:pPr>
        <w:ind w:right="3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32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2160" w:val="left"/>
          <w:tab w:leader="none" w:pos="3940" w:val="left"/>
          <w:tab w:leader="none" w:pos="6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7" w:lineRule="exact"/>
        <w:rPr>
          <w:sz w:val="24"/>
          <w:szCs w:val="24"/>
          <w:color w:val="auto"/>
        </w:rPr>
      </w:pPr>
    </w:p>
    <w:p>
      <w:pPr>
        <w:ind w:left="360"/>
        <w:spacing w:after="0" w:line="207" w:lineRule="exact"/>
        <w:tabs>
          <w:tab w:leader="none" w:pos="8460" w:val="left"/>
          <w:tab w:leader="none" w:pos="9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0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2011 was $0. Wynn Resorts Holdings, LLC owns all of the membership interests of the registrant.</w:t>
      </w:r>
    </w:p>
    <w:p>
      <w:pPr>
        <w:spacing w:after="0" w:line="31" w:lineRule="exact"/>
        <w:rPr>
          <w:sz w:val="24"/>
          <w:szCs w:val="24"/>
          <w:color w:val="auto"/>
        </w:rPr>
      </w:pPr>
    </w:p>
    <w:p>
      <w:pPr>
        <w:ind w:right="100" w:firstLine="342"/>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60" w:type="dxa"/>
            <w:vAlign w:val="bottom"/>
            <w:gridSpan w:val="15"/>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19"/>
                <w:szCs w:val="19"/>
                <w:color w:val="auto"/>
              </w:rPr>
            </w:pPr>
          </w:p>
        </w:tc>
      </w:tr>
      <w:tr>
        <w:trPr>
          <w:trHeight w:val="42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0"/>
          </w:tcPr>
          <w:p>
            <w:pPr>
              <w:jc w:val="center"/>
              <w:ind w:right="37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20" w:type="dxa"/>
            <w:vAlign w:val="bottom"/>
            <w:gridSpan w:val="16"/>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80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120" w:type="dxa"/>
            <w:vAlign w:val="bottom"/>
            <w:gridSpan w:val="2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02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020" w:type="dxa"/>
            <w:vAlign w:val="bottom"/>
            <w:gridSpan w:val="1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2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0"/>
          </w:tcPr>
          <w:p>
            <w:pPr>
              <w:jc w:val="center"/>
              <w:ind w:right="376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13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2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0"/>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02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9"/>
          </w:tcPr>
          <w:p>
            <w:pPr>
              <w:spacing w:after="0"/>
              <w:rPr>
                <w:sz w:val="17"/>
                <w:szCs w:val="17"/>
                <w:color w:val="auto"/>
              </w:rPr>
            </w:pPr>
          </w:p>
        </w:tc>
        <w:tc>
          <w:tcPr>
            <w:tcW w:w="272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Financial Statements and Supplementary Data</w:t>
              </w:r>
            </w:hyperlink>
          </w:p>
        </w:tc>
        <w:tc>
          <w:tcPr>
            <w:tcW w:w="5760" w:type="dxa"/>
            <w:vAlign w:val="bottom"/>
            <w:gridSpan w:val="1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Changes in and Disagreements With Accountants on Accounting and Financial Disclosure</w:t>
              </w:r>
            </w:hyperlink>
          </w:p>
        </w:tc>
        <w:tc>
          <w:tcPr>
            <w:tcW w:w="26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Controls and Procedures</w:t>
              </w:r>
            </w:hyperlink>
          </w:p>
        </w:tc>
        <w:tc>
          <w:tcPr>
            <w:tcW w:w="7280" w:type="dxa"/>
            <w:vAlign w:val="bottom"/>
            <w:gridSpan w:val="2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020" w:type="dxa"/>
            <w:vAlign w:val="bottom"/>
            <w:gridSpan w:val="2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3700" w:type="dxa"/>
            <w:vAlign w:val="bottom"/>
            <w:gridSpan w:val="5"/>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02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5020" w:type="dxa"/>
            <w:vAlign w:val="bottom"/>
            <w:gridSpan w:val="1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02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370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70">
              <w:r>
                <w:rPr>
                  <w:rFonts w:ascii="Arial" w:cs="Arial" w:eastAsia="Arial" w:hAnsi="Arial"/>
                  <w:sz w:val="18"/>
                  <w:szCs w:val="18"/>
                  <w:b w:val="1"/>
                  <w:bCs w:val="1"/>
                  <w:color w:val="0000EE"/>
                  <w:w w:val="98"/>
                </w:rPr>
                <w:t>PART IV</w:t>
              </w:r>
            </w:hyperlink>
          </w:p>
        </w:tc>
        <w:tc>
          <w:tcPr>
            <w:tcW w:w="3720" w:type="dxa"/>
            <w:vAlign w:val="bottom"/>
            <w:gridSpan w:val="6"/>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 and Financial Statement Schedules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18"/>
          </w:tcPr>
          <w:p>
            <w:pPr>
              <w:ind w:left="46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Wynn Las Vegas was expanded with the opening of “Encore at Wynn Las Vegas,” or “Encore” in April 2008.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2011, the Company owned the one share that was issued and outstanding. Wynn Capital has neither any significant net assets nor any operating activity. Its sole function is to serve as the co-issuer of the mortgage notes described below.</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97,000 square feet of retail space promenade featuring boutiques from Alexander McQueen, Brioni, Cartier, Chanel, Dior, Graff, Hermes, Loro Piana, Louis Vuitton, Manolo Blahnik, Oscar de la Renta and Vertu and others. Our Las Vegas Operations also offers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presenting Garth Brooks and other headliner entertainment acts. We believe that the unique experience of our resort drives the significant visitation experienced since opening.</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completed a refurbishment and upgrade to the resort rooms at Wynn Las Vegas. A remodel of the suites was completed in early May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These remodels were completed at a cost of $61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 complex.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3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2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is located on the Las Vegas Strip and competes with other high-quality resorts and hotel casinos on the Strip, those in downtown Las Vegas, as well as a large number of hotels in and near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Wynn Las Vegas from other major Las Vegas resorts by concentrating on our fundamental elements of design, atmosphere, personal service and luxury.</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Wynn Las Vegas also competes, to some extent, with other hotel/casino facilities in Nevada and throughout the Unites States, casino resorts throughout Asia and elsewhere in the world.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75"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During 2011, the economic environment in the gaming and hotel markets in Las Vegas began to improve with increased levels of gaming revenue, visitation and hotel room demand. While these gaming and hotel statistics have increased from prior year levels, uncertainty still exists in the Las Vegas market. During 2011, the average daily room rate increased 10.7%, visitation increased 4.3% to 38.9 million visitors, and Las Vegas Strip gaming revenues increased</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5.1%, all as compared to the year ended December 31, 2010. During 2010, the average daily room rate increased 2%, visitation increased 2.7% to 37.3 million visitors, and Las Vegas Strip gaming revenues increased 4.5%, all as compared to the year ended December 31, 2009.</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60" w:hanging="326"/>
        <w:spacing w:after="0" w:line="32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2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makes any payment to the unsuitable person by way of principal, redemption, conversion, exchange, liquidation or similar transaction.</w:t>
      </w:r>
    </w:p>
    <w:p>
      <w:pPr>
        <w:spacing w:after="0" w:line="1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3"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4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780" w:right="360" w:hanging="326"/>
        <w:spacing w:after="0" w:line="347"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had a total of approximately 8,800 full-time equivalent employees.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ten year collective bargaining agreement with the Culinary and Bartenders Union local covering approximately 5,600 of our employees. We also entered into a ten year collective bargaining agreement with the Transportation Workers Union in November 2010, which covers the table games dealers at Wynn Las Vegas. Certain other unions may seek to organize the workers at Wynn Las Vegas. Unionization, pressure to unionize, or other forms of collective bargaining could increase our labor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Holdings has registered with the U.S. Patent and Trademark Office (“PTO”) and various foreign patent and trademark registries, a variety of the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LAS VEGAS” and “ENCORE.” Some of the applications are based upon ongoing use and others are based upon a bona fide intent to use the marks.</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acknowledged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12"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December 31, 2011, we had total outstanding debt of approximately $2.6 billion. In addition, our credit agreement and indenture permit us to incur additional indebtedness in the future if certain conditions are met. Our substantial indebtedness could have important consequences. For example:</w:t>
      </w:r>
    </w:p>
    <w:p>
      <w:pPr>
        <w:spacing w:after="0" w:line="46" w:lineRule="exact"/>
        <w:rPr>
          <w:sz w:val="20"/>
          <w:szCs w:val="20"/>
          <w:color w:val="auto"/>
        </w:rPr>
      </w:pPr>
    </w:p>
    <w:p>
      <w:pPr>
        <w:ind w:left="780" w:right="140" w:hanging="326"/>
        <w:spacing w:after="0" w:line="347"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103" w:lineRule="exact"/>
        <w:rPr>
          <w:rFonts w:ascii="Arial" w:cs="Arial" w:eastAsia="Arial" w:hAnsi="Arial"/>
          <w:sz w:val="18"/>
          <w:szCs w:val="18"/>
          <w:color w:val="auto"/>
        </w:rPr>
      </w:pPr>
    </w:p>
    <w:p>
      <w:pPr>
        <w:ind w:left="780" w:right="240" w:hanging="326"/>
        <w:spacing w:after="0" w:line="306"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12" w:lineRule="exact"/>
        <w:rPr>
          <w:rFonts w:ascii="Arial" w:cs="Arial" w:eastAsia="Arial" w:hAnsi="Arial"/>
          <w:sz w:val="16"/>
          <w:szCs w:val="16"/>
          <w:color w:val="auto"/>
        </w:rPr>
      </w:pPr>
    </w:p>
    <w:p>
      <w:pPr>
        <w:ind w:left="780" w:right="160" w:hanging="326"/>
        <w:spacing w:after="0" w:line="25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and high unemployment due to the current adverse economic and industry conditions, and could fail to generate sufficient cash to fund our liquidity needs and/or fail to satisfy the financial and other restrictive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48"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the interest we pay will fluctuate with market rates and, accordingly, our interest expense will increase if market interest rates increase; and</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and first mortgage notes.</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Following Wynn Resorts’ press release on February 19, 2012 relating to the redemption of Aruze USA, Inc.’s shares of Wynn Resorts’ common stock and the issuance of a promissory note with a principal amount of approximately $1.9 billion in redemption of the shares (the “Redemption Price Promissory Note”), Standard &amp; Poor’s Ratings Services and Fitch Ratings revised their ratings outlooks on Wynn Resorts to stable from positive, although they did not change their ratings of Wynn Resorts. (Moody’s did not revise the ratings or outlook for Wynn Resorts as a result of the announcement.) Such ratings agency actions could make it more difficult for us to obtain additional financing on acceptable terms.</w:t>
      </w:r>
    </w:p>
    <w:p>
      <w:pPr>
        <w:spacing w:after="0" w:line="102" w:lineRule="exact"/>
        <w:rPr>
          <w:sz w:val="20"/>
          <w:szCs w:val="20"/>
          <w:color w:val="auto"/>
        </w:rPr>
      </w:pPr>
    </w:p>
    <w:p>
      <w:pPr>
        <w:ind w:left="240" w:right="660"/>
        <w:spacing w:after="0" w:line="325"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9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w:t>
      </w:r>
    </w:p>
    <w:p>
      <w:pPr>
        <w:spacing w:after="0" w:line="99"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4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2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Wynn Las Vegas also competes, to some extent, with other hotel/casino facilities in Nevada, throughout the United States and elsewhere in the world.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93"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spending as a result of downturns in the economy.</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current housing foreclosure crisis, the current credit crisis, bank failures and the potential for additional bank failures, perceived or actual changes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07"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operations of Wynn Las Vegas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2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37" w:lineRule="exact"/>
        <w:rPr>
          <w:sz w:val="20"/>
          <w:szCs w:val="20"/>
          <w:color w:val="auto"/>
        </w:rPr>
      </w:pPr>
    </w:p>
    <w:p>
      <w:pPr>
        <w:ind w:right="400" w:firstLine="456"/>
        <w:spacing w:after="0" w:line="290"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resort offers. Changes in consumer preferences or discretionary consumer spending could harm our business. Terrorist activities in the United States and elsewhere, military conflicts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premium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currently have insurance coverage for terrorist acts included in our commercial property insurance policy with respect to Wynn Las Vegas, not to exceed $1.75 billion. However, these types of acts could expose us to losses that exceed our coverage and could have a significant negative impact on our operations.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Trademarks and/or service marks, our business or results of operations could be harmed.</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sublicensed certain Wynn-related trademarks and service marks from Holdings. Holdings has filed applications with the United States Patent and Trademark Office (“PTO”), to register a variety of WYNN-related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trademarks and service marks in connection with a variety of goods and services. These marks include “WYNN LAS VEGAS” and “ENCORE.” Some of the applications are based upon ongoing use and others are based upon a bona fide intent to use the marks.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ultimate parent company is Wynn Resorts. Mr. Wynn and Elaine P. Wynn together own approximately 19.7%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Company’s common stock. On February 18, 2012, Wynn Resorts redeemed all of the shares of Wynn Resorts’ common stock held by Aruze USA, Inc. For additional information on the redemption, see Item 8 —“Notes to Consolidated Financial Statements”, Note 16 “Subsequent Events.”</w:t>
      </w:r>
    </w:p>
    <w:p>
      <w:pPr>
        <w:spacing w:after="0" w:line="10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Under the amended and restated stockholders’ agreement, Mr. Wynn and Elaine P. Wynn have agreed to vote their shares of Wynn Resorts’ common stock for a slate of directors supported by Mr. Wynn. As a result of this voting arrangement, Mr. Wynn, as a practical matter, exercises significant influence over the slate of directors to be elected to Wynn Resorts’ board of directors. In addition, with stated exceptions, the agreement requires the written consent of the other party prior to any party selling any shares of Wynn Resorts that it owns. Currently, Mr. Wynn owns 10,026,708 shares and Elaine P. Wynn owns 9,742,150 shares.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09" w:lineRule="exact"/>
        <w:rPr>
          <w:sz w:val="20"/>
          <w:szCs w:val="20"/>
          <w:color w:val="auto"/>
        </w:rPr>
      </w:pPr>
    </w:p>
    <w:p>
      <w:pPr>
        <w:ind w:left="240" w:right="82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0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employees, contractors or agents from violating or circumventing our policies and the law. If our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Kazuo Okada, a director of Wynn Resorts, has failed to comply with internal training in these matters and has failed to return to Wynn Resorts an executed Acknowledgment that he agrees to comply with the Wynn Resorts’ Code of Business Conduct and Ethics. For additional information on the Freeh Report, which detailed numerous instances of conduct constituting prima facie violations of the FCPA by Mr. Okada and certain of his affiliates, and the redemption of Aruze USA, Inc.’s shares, see Item 8—“Notes to Consolidated Financial Statements”, Note 16 “Subsequent Events.” Any determination that we have violated the FCPA could have a material adverse effect on our financial condition.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previously disclosed, 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Wynn Resorts and Wynn Macau and approved by 15 of the 16 directors who serve on those boards. The sole dissenting vote was Mr. Kazuo Okada whose stated objection was to the length of time over which the donation would occur, not its propriety.</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Also as previously disclosed, Mr. Okada commenced litigation on January 11, 2012, in Nevada seeking to compel Wynn Resorts to produce information relating to the donation to the University of Macau, among other things.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U.S. Securities and Exchange Commission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has informed the Salt Lake Regional Office that it intends to fully comply with the SEC’s request.</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February 19, 2012, Wynn Resorts filed a complaint in Nevada state court against Mr. Okada and other entities alleging, among other things, breach of fiduciary duty in connection with alleged violations of the FCPA.</w:t>
      </w:r>
    </w:p>
    <w:p>
      <w:pPr>
        <w:spacing w:after="0" w:line="118"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(formerly the largest beneficial owner of Wynn Resorts’ shares) and his affiliates could have adverse consequences to the Company.</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described in this Annual Report on Form 10-K, on February 18, 2012, the board of directors of Wynn Resorts received a report from Freeh, Sporkin &amp; Sullivan, LLP (the “Freeh Report”) detailing numerous instances of conduct constituting prima facie violations of the FCPA by Kazuo Okada (formerly the largest beneficial owner of Wynn Resorts’ shares) and certain of his affiliates. See Item 8—“Notes to Consolidated Financial Statements”, Note 16 “Subsequent Events.” 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Wynn Resorts’ board of directors’ unsuitability finding, the redemption of shares and related litigation. The actions, litigation, and publicity could reduce demand for shares of Wynn Resorts and thereby have a negative impact on the trading prices of its shares. The disputes may also lead to additional scrutiny from gaming regulators, which could lead to investigations relating to, and possibly a negative impact on, the Company’s gaming licenses, and possibly have a negative impact on the Company’s ability to bid successfully for new gaming market opportunities.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currently own approximately 240 acres of land on or near the Las Vegas Strip. This consists of approximately 75 acres at the northeast corner of the intersection of Las Vegas Boulevard and Sands Avenue on which Wynn Las Vegas is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bank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right="232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distributions on our membership interests. We currently intend to retain all available funds and any future consolidated earnings to fund our operations and the development and growth of our business and therefore do not anticipate paying any cash distributions.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indentures governing the first mortgage notes from making certain “restricted payments” as defined in the indentures.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300" w:type="dxa"/>
            <w:vAlign w:val="bottom"/>
          </w:tcPr>
          <w:p>
            <w:pPr>
              <w:spacing w:after="0"/>
              <w:rPr>
                <w:sz w:val="22"/>
                <w:szCs w:val="22"/>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2"/>
                <w:szCs w:val="22"/>
                <w:color w:val="auto"/>
              </w:rPr>
            </w:pPr>
          </w:p>
        </w:tc>
      </w:tr>
      <w:tr>
        <w:trPr>
          <w:trHeight w:val="95"/>
        </w:trPr>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revenues [1]</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$1,481,895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2"/>
              </w:rPr>
              <w:t>$ 1,296,556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1"/>
              </w:rPr>
              <w:t>$ 1,230,120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1"/>
              </w:rPr>
              <w:t>$ 1,099,891</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$ 1,295,851</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101,319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(81,314)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(144,279)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(58,616)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(95,632)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(348,329)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(309,870)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(129,794)</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r>
      <w:tr>
        <w:trPr>
          <w:trHeight w:val="459"/>
        </w:trPr>
        <w:tc>
          <w:tcPr>
            <w:tcW w:w="4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300" w:type="dxa"/>
            <w:vAlign w:val="bottom"/>
          </w:tcPr>
          <w:p>
            <w:pPr>
              <w:spacing w:after="0"/>
              <w:rPr>
                <w:sz w:val="22"/>
                <w:szCs w:val="22"/>
                <w:color w:val="auto"/>
              </w:rPr>
            </w:pPr>
          </w:p>
        </w:tc>
        <w:tc>
          <w:tcPr>
            <w:tcW w:w="17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2"/>
                <w:szCs w:val="22"/>
                <w:color w:val="auto"/>
              </w:rPr>
            </w:pPr>
          </w:p>
        </w:tc>
      </w:tr>
      <w:tr>
        <w:trPr>
          <w:trHeight w:val="95"/>
        </w:trPr>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4"/>
          </w:tcPr>
          <w:p>
            <w:pPr>
              <w:jc w:val="right"/>
              <w:ind w:right="200"/>
              <w:spacing w:after="0"/>
              <w:rPr>
                <w:sz w:val="20"/>
                <w:szCs w:val="20"/>
                <w:color w:val="auto"/>
              </w:rPr>
            </w:pPr>
            <w:r>
              <w:rPr>
                <w:rFonts w:ascii="Arial" w:cs="Arial" w:eastAsia="Arial" w:hAnsi="Arial"/>
                <w:sz w:val="18"/>
                <w:szCs w:val="18"/>
                <w:color w:val="auto"/>
              </w:rPr>
              <w:t>$   201,399</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52,540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123,315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146,521</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6,368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4"/>
          </w:tcPr>
          <w:p>
            <w:pPr>
              <w:jc w:val="right"/>
              <w:ind w:right="200"/>
              <w:spacing w:after="0"/>
              <w:rPr>
                <w:sz w:val="20"/>
                <w:szCs w:val="20"/>
                <w:color w:val="auto"/>
              </w:rPr>
            </w:pPr>
            <w:r>
              <w:rPr>
                <w:rFonts w:ascii="Arial" w:cs="Arial" w:eastAsia="Arial" w:hAnsi="Arial"/>
                <w:sz w:val="18"/>
                <w:szCs w:val="18"/>
                <w:color w:val="auto"/>
              </w:rPr>
              <w:t>4,035,398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4,108,516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4,254,324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4,584,271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3,647,256</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 [2]</w:t>
            </w:r>
          </w:p>
        </w:tc>
        <w:tc>
          <w:tcPr>
            <w:tcW w:w="1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2,632,164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2,730,738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2,638,083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2,897,328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2,034,603</w:t>
            </w:r>
          </w:p>
        </w:tc>
        <w:tc>
          <w:tcPr>
            <w:tcW w:w="100" w:type="dxa"/>
            <w:vAlign w:val="bottom"/>
            <w:shd w:val="clear" w:color="auto" w:fill="CCEEFF"/>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Member’s equity</w:t>
            </w:r>
          </w:p>
        </w:tc>
        <w:tc>
          <w:tcPr>
            <w:tcW w:w="1980" w:type="dxa"/>
            <w:vAlign w:val="bottom"/>
            <w:gridSpan w:val="4"/>
          </w:tcPr>
          <w:p>
            <w:pPr>
              <w:jc w:val="right"/>
              <w:ind w:right="200"/>
              <w:spacing w:after="0"/>
              <w:rPr>
                <w:sz w:val="20"/>
                <w:szCs w:val="20"/>
                <w:color w:val="auto"/>
              </w:rPr>
            </w:pPr>
            <w:r>
              <w:rPr>
                <w:rFonts w:ascii="Arial" w:cs="Arial" w:eastAsia="Arial" w:hAnsi="Arial"/>
                <w:sz w:val="18"/>
                <w:szCs w:val="18"/>
                <w:color w:val="auto"/>
              </w:rPr>
              <w:t>1,010,307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1,098,502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1,385,553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1,257,563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1,375,020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Encore opened on December 22,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long-term debt, interest rate swap and long-term amounts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217 acres of land fronting the Las Vegas Strip, utilizes approximately 18 additional acres across Sands Avenue, a portion of which is improved with an employee parking garage and approximately 5 acres adjacent to the golf course on which an office building is located.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77" w:lineRule="exact"/>
        <w:rPr>
          <w:sz w:val="20"/>
          <w:szCs w:val="20"/>
          <w:color w:val="auto"/>
        </w:rPr>
      </w:pPr>
    </w:p>
    <w:p>
      <w:pPr>
        <w:ind w:left="780" w:right="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26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Approximately 97,000 square feet of high-end, brand-name retail shopping, including stores and boutiques by Alexander McQueen, Brioni, Cartier, Chanel, Dior, Graff, Hermes, Loro Piana, Louis Vuitton, Manolo Blahnik, Oscar de la Renta, Vertu and others;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 In January 2011, we completed a refurbishment and upgrade to the resort rooms at Wynn Las Vegas. A remodel of the suites was completed in early May 2011. These remodels were completed at a cost of $61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77"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During 2011, the economic environment in the gaming, tourism and convention markets in Las Vegas began to improve with increased levels of gaming revenue, visitation and hotel room demand. For the year ended December 31, 2011, the average daily room rate increased 10.7%, visitation increased 4.3% to</w:t>
      </w:r>
    </w:p>
    <w:p>
      <w:pPr>
        <w:ind w:right="100"/>
        <w:spacing w:after="0" w:line="255" w:lineRule="auto"/>
        <w:rPr>
          <w:sz w:val="20"/>
          <w:szCs w:val="20"/>
          <w:color w:val="auto"/>
        </w:rPr>
      </w:pPr>
      <w:r>
        <w:rPr>
          <w:rFonts w:ascii="Arial" w:cs="Arial" w:eastAsia="Arial" w:hAnsi="Arial"/>
          <w:sz w:val="18"/>
          <w:szCs w:val="18"/>
          <w:color w:val="auto"/>
        </w:rPr>
        <w:t>38.9 million visitors, and Las Vegas Strip gaming revenues increased 5.1%, all as compared to the year ended December 31, 2010. While these gaming and hotel statistics have increased from prior year levels, uncertainty still exists in the Las Vegas market. For the year ended December 31, 2011, we benefited from a higher than normal table games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to Wynn Las Vegas, many of our customers are premium gaming customers who wager on credit, thus exposing us to increased credit risk. High-end gaming also increases the potential for variability in our results.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year ended December 31, 2011 of $95.6 million, which represents an improvement of $252.7 million from the net loss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$348.3 million recorded for the year ended December 31, 2010. This improvement is primarily due to an increase in departmental profits, especially in the casino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department and the hotel department. See below for a more detailed discussion regarding our results.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7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2011 compared to the year ended December 31, 2010.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2011 are comprised of $625.2 million in casino revenues (42.2% of total net revenues) and $856.7 million of net non-casino revenues (57.8% of total net revenues). Net revenues for the year ended December 31, 2010 were comprised of $534.3 million in casino revenues (41.2% of total net revenues) and $762.3 million of net non-casino revenues (58.8% of total net revenues).</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$90.9 million (17%) to $625.2 million for the year ended December 31, 2011, compared to $534.3 million for the year ended December 31, 2010. For the year ended December 31, 2011, we experienced a 9.9% increase in drop and an increase in the average table games win percentage compared to the prior year. Our average table games win percentage (before discounts) of 24.9% was above the expected range of 21% to 24% for the year ended December 31, 2011. For the year ended December 31, 2010, our average table games win percentage (before discounts) was 22.2%. Slot machine handle increased slightly compared to the prior year; however, slot machine win increased 7.0% as more play shifted to higher hold slot machines.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December 31, 2011, room revenues were $354 million, which represents a $45.6 million (14.8%) increase over the $308.4 million generated in the year ended December 31, 2010. We experienced an increase in room rates during the year ended December 31, 2011, compared to the prior year, with a 1.9 percentage point decrease in occupancy rate. We were able to achieve an increase in ADR as we adjusted rates to attract a high quality customer who would take advantage of all aspects of our resort. See the table below for key operating measures related to our room revenue.</w:t>
      </w:r>
    </w:p>
    <w:p>
      <w:pPr>
        <w:spacing w:after="0" w:line="189"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960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$ 242</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Occupancy</w:t>
            </w:r>
          </w:p>
        </w:tc>
        <w:tc>
          <w:tcPr>
            <w:tcW w:w="3860" w:type="dxa"/>
            <w:vAlign w:val="bottom"/>
            <w:gridSpan w:val="3"/>
          </w:tcPr>
          <w:p>
            <w:pPr>
              <w:jc w:val="right"/>
              <w:ind w:right="280"/>
              <w:spacing w:after="0"/>
              <w:rPr>
                <w:sz w:val="20"/>
                <w:szCs w:val="20"/>
                <w:color w:val="auto"/>
              </w:rPr>
            </w:pPr>
            <w:r>
              <w:rPr>
                <w:rFonts w:ascii="Arial" w:cs="Arial" w:eastAsia="Arial" w:hAnsi="Arial"/>
                <w:sz w:val="18"/>
                <w:szCs w:val="18"/>
                <w:color w:val="auto"/>
              </w:rPr>
              <w:t>86.1%</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$ 208</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$454.7 million, retail revenues of $87.3 million, entertainment revenues of $82.2 million, and other revenues from outlets such as the spa and salon of $60.1 million. Other non-gaming revenues for the year ended December 31, 2010, included food and beverage revenues of $417.2 million, retail revenues of $83.1 million, entertainment revenues of $72 million, and other revenues from outlets, including the spa and salon, of $58.9 million. The increase in food and beverage revenue is due primarily to business in our nightclubs including the full year of operations of the Encore Beach Club and Surrender Nightclub which opened in May 2010, and increases in our catering and restaurant business that we experienced with the improving tourism and convention markets during 2011. Entertainment revenues increased over the prior year primarily due to revenue from Garth Brooks who performs in the Encore Theater, and the Sinatra “Dance with Me” show which ended its run on April 23, 2011.</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departmental expenses included casino expenses of $298.2 million, room expenses of $122.2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$264.9 million, and entertainment, retail and other expenses of $147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$225.5 million and $20.3 million charged as a provision for doubtful accounts receivable. For the year ended December 31, 2010,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casino expenses of $288.3 million, room expenses of $119.4 million, food and beverage expenses of $256.2 million, and entertainment, retail and other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$145.3 million. Also included are general and administrative expenses of $237.7 million and $15.7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51"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Casino expense increased as a result of increased gaming revenue. Although our room revenues increased 14.8%, room expenses increased only 2.3% as the revenue increase was driven primarily by increased ADR. Food and beverage expenses increased commensurate with the increase in revenues. General and administrative expenses decreased primarily as a result of lower property tax expense and reduced utility costs. The provision for doubtful accounts receivable increased for the year ended December 31, 2011, primarily due to a higher casino revenue base, compared to the prior year.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$22.2 million for the year ended December 31, 2011, compared to $19.5 million for the year ended December 31, 2010, as revenues increased.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 ended December 31, 2011, we incurred no pre-opening costs. Pre-opening costs incurred for the year ended December 31, 2010 of $2.5 million were related to the Encore Beach Club and Surrender Nightclub which opened in May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2011 was $263.6 million compared to $274.3 million for the year ended December 31, 2010. This decrease is primarily due to assets with a 5-year life being fully depreciated as of April 2010 at Wynn Las Vegas, offset by depreciation of the assets of the Encore Beach Club which were placed into service in May 2010.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year ended December 31, 2011, were $16.6 million compared to $19 million for the year ended December 31, 2010. Property charges and other for the year ended December 31, 2011, include miscellaneous renovations and abandonments at our resort, including modifications of the Encore retail esplanade, the closure of the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9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and miscellaneous renovations and abandonments.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Interest expense was $201.3 million, net of capitalized interest of $0, for the year ended December 31, 2011, compared to $193.4 million, net of capitalized interest of $0.6 million for the year ended December 31, 2010. Our interest expense increased compared to the prior year primarily due to higher interest rates on the first mortgage notes and the Wynn Las Vegas Term Loan Facilities. This increase was partially offset by reduced outstanding balances on the Wynn Las Vegas Revolver.</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year. We recorded a gain of $3.8 million for the year ended December 31, 2011, resulting from the increase in the fair value of our interest rate swap from December 31, 2010 to December 31, 2011. We recorded an expense of $4.2 million for the year ended December 31, 2010, resulting from the decrease in the fair value of our interest rate swap from December 31, 2009 to December 31, 2010. This swap will mature in November 2012.</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April 2010 we completed an exchange offer for a portion of our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2010 compared to the year ended December 31, 2009.</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2010 are comprised of $534.3 million in casino revenues (41.2% of total net revenues) and $762.3 million of net non-casino revenues (58.8% of total net revenues). Net revenues for the year ended December 31, 2009 were comprised of $505.8 million in casino revenues (41.1% of total net revenues) and $724.3 million of net non-casino revenues (58.9% of total net revenues).</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$28.5 million (5.6%) to $534.3 million for the year ended December 31, 2010, compared to $505.8 million for the year ended December 31, 2009. For the year ended December 31, 2010, we experienced a 3.4% increase in drop and an increase in the average table games win percentage compared to the prior year. Our average table games win percentage (before discounts) of 22.2% was within the expected range of 21% to 24% for the year ended December 31, 2010. For the year ended December 31, 2009, our average table games win percentage (before discounts) was 20.2%. Slot handle decreased 18.3% for the year ended December 31, 2010 as compared to 2009; however slot win, net of free play and progressive accruals only decreased 6.9% compared to the prior year as more play shifted to higher hold machines.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year ended December 31, 2010, room revenues were approximately $308.4 million, which represents a $12.7 million (4%) decrease compared to the $321.2 million generated in the year ended December 31, 2009. We continued to experience a decrease in room rates during the year ended December 31, 2010, compared to the year ended December 31, 2009. We believe this is due to the current economic conditions in which we operate in the U.S. and the increased capacity in the Las Vegas market including the opening of a new large scale casino hotel in Las Vegas in December 2009. Also, due to our remodel of the rooms and suites at Wynn Las Vegas beginning in July 2010, we had 3.8% fewer room nights available during the year ended December 31, 2010 which contributed to a decrease in room revenues compared to the prior year. The room remodel was completed in January 2011 and the suite remodel was completed in May 2011. See the table below for key operating measures related to our room revenue.</w:t>
      </w:r>
    </w:p>
    <w:p>
      <w:pPr>
        <w:spacing w:after="0" w:line="195"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960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$ 210</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Occupancy</w:t>
            </w:r>
          </w:p>
        </w:tc>
        <w:tc>
          <w:tcPr>
            <w:tcW w:w="3860" w:type="dxa"/>
            <w:vAlign w:val="bottom"/>
            <w:gridSpan w:val="3"/>
          </w:tcPr>
          <w:p>
            <w:pPr>
              <w:jc w:val="right"/>
              <w:ind w:right="280"/>
              <w:spacing w:after="0"/>
              <w:rPr>
                <w:sz w:val="20"/>
                <w:szCs w:val="20"/>
                <w:color w:val="auto"/>
              </w:rPr>
            </w:pPr>
            <w:r>
              <w:rPr>
                <w:rFonts w:ascii="Arial" w:cs="Arial" w:eastAsia="Arial" w:hAnsi="Arial"/>
                <w:sz w:val="18"/>
                <w:szCs w:val="18"/>
                <w:color w:val="auto"/>
              </w:rPr>
              <w:t>88.0%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$ 185</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2010 included food and beverage revenues of approximately $417.2 million, retail revenues of approximately $83.1 million, entertainment revenues of approximately $72 million, and other revenues from outlets such as the spa and salon, of approximately $58.9 million. Other non-gaming revenues for the year ended December 31, 2009 included food and beverage revenues of approximately $385.8 million, retail revenues of approximately $85.8 million, entertainment revenues of approximately $57.1 million, and other revenues from outlets, including the spa and salon, of approximately $60.5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During the year ended December 31, 2010, departmental expenses included casino expenses of $288.3 million, room expenses of $119.4 million, food and beverage expenses of $256.2 million, and entertainment, retail and other expenses of $145.3 million. Also included are general and administrative expenses 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approximately $237.7 million and approximately $15.7 million charged as a provision for doubtful accounts receivable. During the year ended December 31, 2009, departmental expenses included casino expenses of $275.3 million, room expenses of $109.2 million, food and beverage expenses of $239.8 million, and entertainment, retail and other expenses of $133.8 million. Also included are general and administrative expenses of approximately $246.8 million and approximately $12.4 million charged as a provision for doubtful accounts receivable. The increase in casino and room expenses was primarily attributable to additional customer acquisition and marketing costs. Food and beverage expenses increased commensurate with the increase in revenue.</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in the Encore Theater at Wynn Las Vegas as noted above. General and administrative expenses decreased as a result of lower advertising expenses and our cost savings initiatives offset partially by higher repairs and replacement expenses associated with general property maintenance.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$19.5 million for the year ended December 31, 2010, compared to $18.4 million for the year ended December 31, 2009.</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year ended December 31, 2010, we incurred $2.5 million of pre-opening costs. We incurred $0.3 million of preopening costs for the year ended December 31, 2009. Pre-opening costs incurred for the year ended December 31, 2010, were related the Encore Beach Club and Surrender Nightclub which opened in May 2010.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2010 was $274.3 million compared to $313.8 million for the year ended December 31, 2009. This decrease is primarily due to assets with a 5-year life being fully depreciated as of April 2010 at Wynn Las Vegas, off set by depreciation of the assets of the Encore Beach Club which were placed into service in May 2010.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2010, were $19 million compared to $24.5 million for the year ended December 31, 2009. Property charges and other for the year ended December 31, 2010 include a contract termination payment of $14.9 million related to a management contract for certain of the nightclubs at our resorts, as well as miscellaneous renovations and abandonments at Wynn Las Vegas and Encore.</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charge of $16.7 million for the abandonment of the front porte-cochere at Encore to make way for the Encore Beach Club, the write-off of $5.3 million of aircraft purchase deposits and $2.5 million related to miscellaneous renovations and abandonments.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Interest expense was $193.4 million, net of capitalized interest of $0.6 million, for the year ended December 31, 2010, compared to $157.2 million for the year ended December 31, 2009. There was no interest capitalized during the year ended December 31, 2009. Interest expense increased $36.2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issued in October 2009, a higher rate on the 2020 Notes, as discussed below, and offset partially by reductions in amounts outstanding under the Wynn Las Vegas bank credit facilities compared to the prior year.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year. We recorded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 million for the year ended December 31, 2010, resulting from the decrease in the fair value of our interest rate swap from December 31, 2009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recorded an expense of approximately $4.2 million for the year ended December 31, 2009, resulting from the decrease in the fair value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interest rate swap from August 2009 (the date we entered into the agreement) to December 31, 2009.</w:t>
      </w:r>
    </w:p>
    <w:p>
      <w:pPr>
        <w:spacing w:after="0" w:line="1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April 2010 we completed an exchange offer for a portion of our outstanding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who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Net cash provided by operations for the year ended December 31, 2011 was $228 million compared to $104.6 million provided by operations for the year ended December 31, 2010. This increase is primarily due to the increase in operating income as a result of increased casino and rooms department profitability. Cash flow from operations were negatively impacted by a $50.4 million increase in cash paid for interest as our interest payment dates changed with the debt transactions we completed last year and ordinary changes in working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December 31, 2011, we had approximately $201.4 million of cash and cash equivalents available for use without restriction, including for operations, debt service and retirement, new development activities, enhancements to our resort and general corporate purposes. We require a certain amount of cash on hand for operations. As of December 31, 2011, we have $351.1 million of availability under our senior revolving credit facility. We anticipate such funds, together with any additional borrowings and cash generated from operations will satisfy our liquidity needs during 2012. Except for scheduled quarterly payments on one note payable, and the mandatory prepayment of approximately $88 million pursuant to the excess cash flow provision of the credit facilities, we have no debt maturities until July 2013.</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expenditures were approximately $65.2 million for the year ended December 31, 2011, and were primarily related to the room and suite remodel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the new high limit slot salon, the new Tower Suites lobby and lounge and other property remodels. Capital expenditures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$157.1 million for the year ended December 31, 2010, and were related primarily to the Wynn Las Vegas room and suite remodel and the Encore Beach Club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Surrender Nightclub. Capital expenditures were approximately $245 million for the year ended December 31, 2009 and were almost entirely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Encore.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April 2010 we completed an exchange offer for a portion of our outstanding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had the following first mortgage notes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2017</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October 2009, we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November 1, 2017 (the “2017 Notes”) at a price of 97.823% of the principal amount. We pay interest on the 2017 Notes on May 1st and November 1st of each year. Commencing November 1, 2013, the 2017 Notes are redeemable at our option at a price equal to 103.938% of the principal amount redeemed and the premium over the principal amount declines ratably on November 1st of each year thereafter to zero on or after November 1, 2015. The 2017 Notes are senior secured obligations, guaranteed by certain of our subsidiaries and secured by a first priority lien on substantially all of our existing and future assets and that of the guarantors, and a first priority lien on the equity interests of Wynn Las Vegas, LLC, all of which is the same collateral that secures borrowings under our credit facilities. The indenture governing the 2017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2020</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April 2010, we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We pay interest on the 2020 Notes on May 1st and November 1st of each year. Commencing May 1, 2015, the 2020 Notes are redeemable at our option at a price equal to 103.938% of the principal amount redeemed and the premium over the principal amount declines ratably on May 1st of each year thereafter to zero on or after May 1, 2018. The 2020 Notes rank pari passu in right of payment with borrowings under our credit facilities and the 2017 Notes. The 2020 Notes are senior secured obligations, guaranteed by certain of our subsidiaries and secured by a first priority lien on substantially all of our existing and future assets and that of the guarantors, and a first priority lien on the equity interests of Wynn Las Vegas, LLC, all of which is the same collateral that secures borrowings under our credit facilities and the 2017 Notes. The indenture governing the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3"/>
          <w:szCs w:val="13"/>
          <w:i w:val="1"/>
          <w:iCs w:val="1"/>
          <w:color w:val="auto"/>
        </w:rPr>
        <w:t>4</w:t>
      </w:r>
      <w:r>
        <w:rPr>
          <w:rFonts w:ascii="Arial" w:cs="Arial" w:eastAsia="Arial" w:hAnsi="Arial"/>
          <w:sz w:val="18"/>
          <w:szCs w:val="18"/>
          <w:i w:val="1"/>
          <w:iCs w:val="1"/>
          <w:color w:val="auto"/>
        </w:rPr>
        <w:t>% First Mortgage Notes due 2020</w:t>
      </w:r>
    </w:p>
    <w:p>
      <w:pPr>
        <w:spacing w:after="0" w:line="7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 xml:space="preserve">In August 2010, we issued $1.32 billion aggregate principal amount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first mortgage notes due August 15, 2020 (the “New 2020 Notes”). The New 2020 Notes were issued at par. The New 2020 Notes refinanced our previous note issue that was to mature in December 2014. We pay interest on the New 2020 Notes on February 15th and August 15th of each year. Commencing August 15, 2015, the New 2020 Notes are redeemable at our option at a price equal to</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103.875% of the principal amount redeemed and the premium over the principal amount declines ratably on August 15th of each year thereafter to zero on or after August 15, 2018. The New 2020 Notes rank pari passu in right of payment with borrowings under our credit facilities, the 2017 Notes and the 2020 Notes. The New 2020 Notes are senior secured obligations, guaranteed by certain of our subsidiaries and secured on an equal and ratable basis (with certain exceptions) by a first priority lien on substantially all of our existing and future assets that of the guarantors, and a first priority lien on the equity interests of Wynn Las Vegas, LLC, all of which is the same collateral that secures borrowings under our credit facilities, the 2017 Notes and the 2020 Notes. The indenture governing the New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2011, our credit facilities, as amended, consisted of a $108.5 million revolving credit facility, due July 2013 and a $258.4 million revolving credit facility due July 2015 (together the “Revolver”), and a fully drawn $40.3 million term loan facility due August 2013 and a fully drawn $330.6 million term loan facility due August 2015 (together the “Term Loan”). The Revolver and the Term Loan are together referred to as the “Credit Facilities.” During the year ended December 31, 2011, we repaid $20.1 million of borrowings under the Revolver and $4 million under the Term Loan. As of December 31, 2011, the Term Loan was fully drawn and we had no borrowings outstanding under the Revolver. We had $15.8 million of outstanding letters of credit that reduce availability for borrowing under the Revolver. We had availability of $351.1 million under the Revolver as of December 31, 2011.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Facilities bear interest at fluctuating rates, based on LIBOR or an alternative base rate, plus an applicable margin.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the applicable margin for LIBOR loans under the Revolver and the Term Loan due August 17, 2015 was 3.0%, and the applicable margin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LIBOR loans under the Term Loan due August 15, 2013 was 1.875%. Base Rate Loans bear interest at (a) the greatest of (i) the rate most recently announced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Deutsche Bank as its “prime rate,” (ii) the Federal Funds Rate plus 1/2 of 1% per annum, and (iii) in the case of a Revolver loan the one month Eurodollar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(b) a borrowing margin of 2.0% for Revolver loans and 0.875% for Term Loans. Interest on Base Rate Loans will be payable quarterly in arrears. Wynn Las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Vegas, LLC also pays, quarterly in arrears, 1.0% per annum on the daily average of unborrowed amounts under the Revolver.</w:t>
      </w:r>
    </w:p>
    <w:p>
      <w:pPr>
        <w:spacing w:after="0" w:line="1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to scheduled amortization payments, Wynn Las Vegas, LLC is required to make mandatory prepayments of indebtedness under the Credit Facilities from the net proceeds of all debt offerings (other than those constituting certain permitted debt). Wynn Las Vegas, LLC is also required to make mandatory repayments of indebtedness under the Credit Facilities from specified percentages of excess cash flow, which percentages may decrease and/or be eliminated based on Wynn Las Vegas, LLC’s leverage ratio. For 2012, we expect to make a mandatory repayment of approximately $88 million in March pursuant to this provision of the Credit Facilities. Wynn Las Vegas, LLC has the option to prepay all or any portion of the indebtedness under the Credit Facilities at any time without premium or penalty.</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Credit Facilities contain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 the Company was in compliance with all covenants at December 31, 2011. The Consolidated Interest Coverage Ratio remains at 1.00 to 1 through June 2013.</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2017 Notes, the 2020 Notes and the New 2020 Notes and senior in right of payment to all of their existing and future subordinated indebtedness.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Parent Company contributions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years ended December 31, 2010 and 2009, Wynn Resorts made cash capital contributions to us in the amount of $50 million and $413 million, respectively. The proceeds from these contributions were used to fund construction costs of Encore paid during 2009 and to fund paydowns of our outstanding debt.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2011, we had outstanding letters of credit totaling $15.8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2011 (amounts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7"/>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Than 1</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 to 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4 to 5</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After 5</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Years</w:t>
            </w:r>
          </w:p>
        </w:tc>
        <w:tc>
          <w:tcPr>
            <w:tcW w:w="7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$2,230.7</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$2,608.2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171.8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343.6</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343.5</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503.9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1,362.8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338.3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465.3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$2,737.6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$4,153.8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-172720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-172720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-172720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-172720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-172720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-172720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6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2011. Actual rates will vary.</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restricted under the indentures governing the 2017 Notes, the 2020 Notes and the New 2020 Notes from making certain “restricted payments” as defined in the indentures. These restricted payments include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payment of dividends or distributions to any direct or indirect holders of equity interests of Wynn Las Vegas, LLC. The restricted payments may not be made until certain other financial and non-financial criteria have been satisfied. In addition, the Credit Facilities contains similar restrictions.</w:t>
      </w:r>
    </w:p>
    <w:p>
      <w:pPr>
        <w:spacing w:after="0" w:line="7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fund our operations and capital requirements from operating cash flow and availability under the Revolver. We cannot be sure that we will generate sufficient cash flow from operations or that future borrowings, if any, will be sufficient to enable us to service and repay Wynn Las Vegas, LLC’s indebtedness and to fund our other liquidity needs. We cannot be sure that we will be able to refinance any of our indebtedness on acceptable terms or at all.</w:t>
      </w:r>
    </w:p>
    <w:p>
      <w:pPr>
        <w:spacing w:after="0" w:line="9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5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2011 and 2010, approximately 76% and 75%,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780" w:type="dxa"/>
            <w:vAlign w:val="bottom"/>
            <w:gridSpan w:val="4"/>
          </w:tcPr>
          <w:p>
            <w:pPr>
              <w:ind w:left="1480"/>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175,984</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166,701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75,705</w:t>
            </w:r>
          </w:p>
        </w:tc>
        <w:tc>
          <w:tcPr>
            <w:tcW w:w="5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70,208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December 31, 2011, a 100 basis-point change in the allowance for doubtful accounts as a percentage of casino accounts receivable would change the provision for doubtful accounts by approximately $0.8 million.</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December 31, 2011, changes in our interest rate swap fair value is being recorded in our Consolidated Statements of Operations, as the swap does not qualify for hedge accounting.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Expected term represents the estimated average time between the option’s grant date and its exercise date. For the year ended December 31, 2011, no stock options were granted.</w:t>
      </w:r>
    </w:p>
    <w:p>
      <w:pPr>
        <w:spacing w:after="0" w:line="129"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offer a slot club program whereby customers may earn points based on their level of play that may be redeemed for free credits which must be replayed in the slot machine. We accrue a liability based on the points earned times the redemption value, less an estimate for breakage, and record a related reduction in casino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do not accrue a liability for base jackpots because we have the ability to avoid payment of such amounts as our slot machines can legally be removed from the gaming floor without payment of the base amount. When we are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our financial statements.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Credit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2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table provides estimated future cash flow and related weighted average interest rates by expected maturity date, as derived from our best estimates of repayments at December 31, 2011 on our expected long-term indebtedness. However, we cannot predict the LIBOR rate that will be in effect in the future. Actual rates will vary. The one-month LIBOR rate at December 31, 2011 of 0.295% was used for all variable rate calculations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49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22"/>
                <w:szCs w:val="22"/>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2"/>
                <w:szCs w:val="2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4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Fixed rate</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w:t>
            </w:r>
          </w:p>
        </w:tc>
        <w:tc>
          <w:tcPr>
            <w:tcW w:w="26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2,202.0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Variable rate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$89.4</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$32.1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253.2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1.55%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r>
      <w:tr>
        <w:trPr>
          <w:trHeight w:val="363"/>
        </w:trPr>
        <w:tc>
          <w:tcPr>
            <w:tcW w:w="4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December 31, 2011, we have one interest rate swap agreement to hedge a portion of the underlying interest rate risk on borrowings under our Credit Facilities. Under this swap agreement, we pay a fixed interest rate of 2.485% on borrowings of $250 million incurred under the Credit Facilities in exchange for receipts on the same amount at a variable interest rate based on the applicable LIBOR at the time of payment. This interest rate swap fixes the interest rate on $250 million of borrowings under the Credit Facilities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2011 this interest rate swap had a liability fair value of $4.6 million and is recorded as a current liability in the Other accrued liabilities line item on our Consolidated Balance Sheets. As of December 31, 2010, our interest rate swap had a liability fair value of $8.5 million and was in recorded as a long term liability.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2011 and using estimated future LIBOR rates based upon implied forward rates in the yield curve.</w:t>
      </w:r>
    </w:p>
    <w:p>
      <w:pPr>
        <w:spacing w:after="0" w:line="209"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Years Ending December 31,</w:t>
      </w:r>
    </w:p>
    <w:p>
      <w:pPr>
        <w:spacing w:after="0" w:line="1"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60325</wp:posOffset>
            </wp:positionV>
            <wp:extent cx="2975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gridSpan w:val="2"/>
          </w:tcPr>
          <w:p>
            <w:pPr>
              <w:ind w:left="340"/>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gridSpan w:val="2"/>
          </w:tcPr>
          <w:p>
            <w:pPr>
              <w:ind w:left="340"/>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83"/>
              </w:rPr>
              <w:t>2016</w:t>
            </w:r>
          </w:p>
        </w:tc>
        <w:tc>
          <w:tcPr>
            <w:tcW w:w="3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7"/>
              </w:rPr>
              <w:t>Thereafter</w:t>
            </w:r>
          </w:p>
        </w:tc>
        <w:tc>
          <w:tcPr>
            <w:tcW w:w="3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r>
      <w:tr>
        <w:trPr>
          <w:trHeight w:val="95"/>
        </w:trPr>
        <w:tc>
          <w:tcPr>
            <w:tcW w:w="41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4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w w:val="89"/>
              </w:rPr>
              <w:t>(in millions)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$ 250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Average pay rate</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2.49%</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r>
    </w:tbl>
    <w:p>
      <w:pPr>
        <w:spacing w:after="0" w:line="140"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We do not use derivative financial instruments, other financial instruments or derivative commodity instruments for trading or speculative purposes. </w:t>
      </w:r>
      <w:r>
        <w:rPr>
          <w:rFonts w:ascii="Arial" w:cs="Arial" w:eastAsia="Arial" w:hAnsi="Arial"/>
          <w:sz w:val="18"/>
          <w:szCs w:val="18"/>
          <w:i w:val="1"/>
          <w:iCs w:val="1"/>
          <w:color w:val="auto"/>
        </w:rPr>
        <w:t>Interest Rate Sensitivity</w:t>
      </w:r>
    </w:p>
    <w:p>
      <w:pPr>
        <w:spacing w:after="0" w:line="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As of December 31, 2011, approximately 94% of our long-term debt was based on fixed rates, including the notional amount related to our interest rate swap. Based on our borrowings as of December 31, 2011, an assumed 1% change in variable rates would cause our annual interest cost to change by $1.6 million.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277"/>
        </w:trPr>
        <w:tc>
          <w:tcPr>
            <w:tcW w:w="488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Report of Independent Registered Public Accounting Firm</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Balance Sheets</w:t>
              </w:r>
            </w:hyperlink>
          </w:p>
        </w:tc>
        <w:tc>
          <w:tcPr>
            <w:tcW w:w="760" w:type="dxa"/>
            <w:vAlign w:val="bottom"/>
          </w:tcPr>
          <w:p>
            <w:pPr>
              <w:spacing w:after="0"/>
              <w:rPr>
                <w:sz w:val="17"/>
                <w:szCs w:val="17"/>
                <w:color w:val="auto"/>
              </w:rPr>
            </w:pPr>
          </w:p>
        </w:tc>
        <w:tc>
          <w:tcPr>
            <w:tcW w:w="6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Consolidated Statements of Operations</w:t>
              </w:r>
            </w:hyperlink>
          </w:p>
        </w:tc>
        <w:tc>
          <w:tcPr>
            <w:tcW w:w="2120" w:type="dxa"/>
            <w:vAlign w:val="bottom"/>
            <w:gridSpan w:val="5"/>
          </w:tcPr>
          <w:p>
            <w:pPr>
              <w:spacing w:after="0"/>
              <w:rPr>
                <w:sz w:val="17"/>
                <w:szCs w:val="17"/>
                <w:color w:val="auto"/>
              </w:rPr>
            </w:pPr>
          </w:p>
        </w:tc>
        <w:tc>
          <w:tcPr>
            <w:tcW w:w="6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2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Statements of Member’s Equity</w:t>
              </w:r>
            </w:hyperlink>
          </w:p>
        </w:tc>
        <w:tc>
          <w:tcPr>
            <w:tcW w:w="1660" w:type="dxa"/>
            <w:vAlign w:val="bottom"/>
            <w:gridSpan w:val="2"/>
          </w:tcPr>
          <w:p>
            <w:pPr>
              <w:spacing w:after="0"/>
              <w:rPr>
                <w:sz w:val="17"/>
                <w:szCs w:val="17"/>
                <w:color w:val="auto"/>
              </w:rPr>
            </w:pPr>
          </w:p>
        </w:tc>
        <w:tc>
          <w:tcPr>
            <w:tcW w:w="6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88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w:t>
              </w:r>
            </w:hyperlink>
          </w:p>
        </w:tc>
        <w:tc>
          <w:tcPr>
            <w:tcW w:w="6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196"/>
        </w:trPr>
        <w:tc>
          <w:tcPr>
            <w:tcW w:w="4880" w:type="dxa"/>
            <w:vAlign w:val="bottom"/>
            <w:gridSpan w:val="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6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60" w:type="dxa"/>
            <w:vAlign w:val="bottom"/>
          </w:tcPr>
          <w:p>
            <w:pPr>
              <w:jc w:val="right"/>
              <w:ind w:right="5152"/>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2011 and 2010, and the related consolidated statements of operations, member’s equity, and cash flows for each of the three years in the period ended December 31,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2011 and 2010, and the consolidated results of their operations and their cash flows for each of the three years in the period ended December 31, 2011,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23,052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3,529,376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3,731,211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41,256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29,535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41,064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3,010,014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(970,554)</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1,010,307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-4467860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-4467860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-4467860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-4467860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-4467860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-4467860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625,207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534,286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454,712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417,240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1,663,545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1,473,939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(181,650)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(177,383)</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1,481,895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1,296,556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288,263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237,678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274,305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1,380,576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1,377,870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(81,314)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(201,339)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(193,444)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(196,951)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(267,015)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(348,329)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429,490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40" w:type="dxa"/>
            <w:vAlign w:val="bottom"/>
            <w:vMerge w:val="restart"/>
          </w:tcPr>
          <w:p>
            <w:pPr>
              <w:jc w:val="center"/>
              <w:ind w:left="8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60" w:type="dxa"/>
            <w:vAlign w:val="bottom"/>
            <w:gridSpan w:val="2"/>
          </w:tcPr>
          <w:p>
            <w:pPr>
              <w:jc w:val="right"/>
              <w:ind w:right="4572"/>
              <w:spacing w:after="0"/>
              <w:rPr>
                <w:sz w:val="20"/>
                <w:szCs w:val="20"/>
                <w:color w:val="auto"/>
              </w:rPr>
            </w:pPr>
            <w:r>
              <w:rPr>
                <w:rFonts w:ascii="Arial" w:cs="Arial" w:eastAsia="Arial" w:hAnsi="Arial"/>
                <w:sz w:val="18"/>
                <w:szCs w:val="18"/>
                <w:color w:val="auto"/>
              </w:rPr>
              <w:t>41</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 (95,632)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(348,329)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263,639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(3,829)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(35,747)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(29,683)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13,237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24,242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(65,207)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(157,080)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13,728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(53,572)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(158,061)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(25,473)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(1,933,238)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(72,846)</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(25,531)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$197,949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147,542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-781685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-781685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-781685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-781685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-781685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2011 and 2010, approximately 76% and 75%,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Airplane</w:t>
            </w:r>
          </w:p>
        </w:tc>
        <w:tc>
          <w:tcPr>
            <w:tcW w:w="382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No interest was capitalized for the years ended December 31, 2011 and 2009. Interest of $0.6 million was capitalized for the year ended December 31, 2010.</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$6.1 million, $7.7 million and $9.3 million, was amortized to interest expense during the years ended December 31, 2011, 2010 and 2009, respectively. Debt discounts incurred in connection with the issuance of debt have been capitalized and are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w w:val="87"/>
              </w:rPr>
              <w:t>Years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36,160</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40,911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Food and beverage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60,550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108,811</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119,537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660" w:type="dxa"/>
            <w:vAlign w:val="bottom"/>
            <w:vMerge w:val="restart"/>
          </w:tcPr>
          <w:p>
            <w:pPr>
              <w:jc w:val="right"/>
              <w:ind w:right="12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-325755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-325755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respect to base and progressive jackpots, the Company does not accrue a liability when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$43.9 million, $37.7 million and $36.5 million for the years ended December 31, 2011, 2010 and 2009,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$16.3 million, $14.7 million and $17.3 million for the years ended December 31, 2011, 2010 and 2009,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pre-opening costs in connection with the Encore Beach Club and Surrender Nightclub prior to their opening in May 2010.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owner.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60" w:firstLine="228"/>
        <w:spacing w:after="0" w:line="375" w:lineRule="auto"/>
        <w:rPr>
          <w:sz w:val="20"/>
          <w:szCs w:val="20"/>
          <w:color w:val="auto"/>
        </w:rPr>
      </w:pPr>
      <w:r>
        <w:rPr>
          <w:rFonts w:ascii="Arial" w:cs="Arial" w:eastAsia="Arial" w:hAnsi="Arial"/>
          <w:sz w:val="18"/>
          <w:szCs w:val="18"/>
          <w:color w:val="auto"/>
        </w:rPr>
        <w:t xml:space="preserve">Further information on the Company’s stock-based compensation arrangements is included in Note 11 “Benefit Plans—Stock-Based Compensation”. </w:t>
      </w:r>
      <w:r>
        <w:rPr>
          <w:rFonts w:ascii="Arial" w:cs="Arial" w:eastAsia="Arial" w:hAnsi="Arial"/>
          <w:sz w:val="18"/>
          <w:szCs w:val="18"/>
          <w:i w:val="1"/>
          <w:iCs w:val="1"/>
          <w:color w:val="auto"/>
        </w:rPr>
        <w:t>Recently Issued Accounting Standards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60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$175,984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Hotel</w:t>
            </w:r>
          </w:p>
        </w:tc>
        <w:tc>
          <w:tcPr>
            <w:tcW w:w="6080" w:type="dxa"/>
            <w:vAlign w:val="bottom"/>
            <w:gridSpan w:val="3"/>
          </w:tcPr>
          <w:p>
            <w:pPr>
              <w:jc w:val="right"/>
              <w:ind w:right="40"/>
              <w:spacing w:after="0"/>
              <w:rPr>
                <w:sz w:val="20"/>
                <w:szCs w:val="20"/>
                <w:color w:val="auto"/>
              </w:rPr>
            </w:pPr>
            <w:r>
              <w:rPr>
                <w:rFonts w:ascii="Arial" w:cs="Arial" w:eastAsia="Arial" w:hAnsi="Arial"/>
                <w:sz w:val="18"/>
                <w:szCs w:val="18"/>
                <w:color w:val="auto"/>
              </w:rPr>
              <w:t>19,738</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20,799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216,521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6480" w:type="dxa"/>
            <w:vAlign w:val="bottom"/>
            <w:gridSpan w:val="4"/>
          </w:tcPr>
          <w:p>
            <w:pPr>
              <w:jc w:val="right"/>
              <w:ind w:right="400"/>
              <w:spacing w:after="0"/>
              <w:rPr>
                <w:sz w:val="20"/>
                <w:szCs w:val="20"/>
                <w:color w:val="auto"/>
              </w:rPr>
            </w:pPr>
            <w:r>
              <w:rPr>
                <w:rFonts w:ascii="Arial" w:cs="Arial" w:eastAsia="Arial" w:hAnsi="Arial"/>
                <w:sz w:val="18"/>
                <w:szCs w:val="18"/>
                <w:color w:val="auto"/>
              </w:rPr>
              <w:t>(76,292)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$140,229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$124,814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360" w:type="dxa"/>
            <w:vAlign w:val="bottom"/>
            <w:vMerge w:val="restart"/>
          </w:tcPr>
          <w:p>
            <w:pPr>
              <w:jc w:val="right"/>
              <w:ind w:right="3635"/>
              <w:spacing w:after="0"/>
              <w:rPr>
                <w:sz w:val="20"/>
                <w:szCs w:val="20"/>
                <w:color w:val="auto"/>
              </w:rPr>
            </w:pPr>
            <w:r>
              <w:rPr>
                <w:rFonts w:ascii="Arial" w:cs="Arial" w:eastAsia="Arial" w:hAnsi="Arial"/>
                <w:sz w:val="18"/>
                <w:szCs w:val="18"/>
                <w:color w:val="auto"/>
              </w:rPr>
              <w:t>47</w:t>
            </w: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2,617,523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2,591,246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1,350,525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1,347,601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4,735,936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4,722,230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color w:val="auto"/>
                <w:w w:val="86"/>
              </w:rPr>
              <w:t>(1,206,560)</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(991,019)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3,529,376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Depreciation expense for the years ended December 31, 2011, 2010 and 2009 was $257.8 million, $266 million and $300.8 million, respectively. The decrease from 2009 to 2010 is primarily due to assets with a 5-year life at Wynn Las Vegas being fully depreciated as of April 2010.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40" w:type="dxa"/>
            <w:vAlign w:val="bottom"/>
            <w:gridSpan w:val="5"/>
          </w:tcPr>
          <w:p>
            <w:pPr>
              <w:ind w:left="2040"/>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50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 w:type="dxa"/>
            <w:vAlign w:val="bottom"/>
          </w:tcPr>
          <w:p>
            <w:pPr>
              <w:spacing w:after="0"/>
              <w:rPr>
                <w:sz w:val="15"/>
                <w:szCs w:val="15"/>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w w:val="88"/>
              </w:rPr>
              <w:t>Trademarks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2010</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expects that amortization of show production rights will be $2.1 million for 2012, and $0.8 million for 2013.</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7"/>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Base stock</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17,705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November 1, 2017, net of original issue discount of $8,578 at December 31, 2011 and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$9,678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May 1, 2020, net of original issue discount of $2,303 at December 31, 2011 and $2,489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349,707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2,597,346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2,621,534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(89,425)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2017</w:t>
      </w:r>
    </w:p>
    <w:p>
      <w:pPr>
        <w:spacing w:after="0" w:line="7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due November 1, 2017 (the “2017 Notes”) at a price of 97.823% of the principal amount. The Company pays interest on the 2017 Notes on May 1st and November 1st of each year. Commencing November 1, 2013, the 2017 Notes are redeemable at the Company’s option at a price equal to 103.938% of the principal amount redeemed and the premium over the principal amount declines ratably on November 1st of each year thereafter to zero on or after November 1, 2015. The 2017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indenture governing the 2017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2020</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2010, the, the Issuers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The Company pays interest on the 2020 Notes on May 1st and November 1st of each year. Commencing May 1, 2015, the 2020 Notes are redeemable at the Company’s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facilities and 2017 Notes. The 2020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and the 2017 Notes. The indenture governing the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3"/>
          <w:szCs w:val="13"/>
          <w:i w:val="1"/>
          <w:iCs w:val="1"/>
          <w:color w:val="auto"/>
        </w:rPr>
        <w:t>4</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In August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refinanced the Company’s previous note issue that was to mature in December 2014. The Company pays interest on the New 2020 Notes on February 15th and August 15th of each year. Commencing August 15, 2015, the New 2020 Notes are redeemable at the Company’s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2017 Notes and the 2020 Notes. The indenture governing the New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As of December 31, 2011, the Wynn Las Vegas Amended and Restated Credit Agreement consisted of a $108.5 million revolving credit facility due July 2013, a $258.4 million revolving credit facility due July 2015 (together the “Revolver”), a fully drawn $40.3 million term loan facility due August 2013 and a fully drawn $330.6 million term loan facility due August 2015 (together the “Term Loan”). The Revolver and the Term Loan are together referred to as the “Credit Facilities.” During the year ended December 31, 2011, the Company repaid $20.1 million of borrowings under the Revolver and $4 million under the Term Loan. As of December 31, 2011, the Term Loan was fully drawn and we had no borrowings outstanding under the Revolver. The Company also had $15.8 million of outstanding letters of credit that reduce its availability under the Revolver. The Company had availability of $351.1 million under the Revolver as of December 31, 2011.</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Facilities bear interest at fluctuating rates, based on LIBOR or an alternative base rate, plus an applicable margin.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the applicable margin for LIBOR loans under the Revolver and the Term Loan due August 17, 2015 was 3.0%, and the applicable margin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LIBOR loans under the Term Loan due August 15, 2013 was 1.875%. Base Rate Loans bear interest at (a) the greatest of (i) the rate most recently announced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as its “prime rate,” (ii) the Federal Funds Rate plus 1/2 of 1% 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annum, and (iii) in the case of a Revolver loan the one month Eurodollar rate; plus (b) a borrowing margin of 2.0% for Revolver loans and 0.875% for Term Loans. Interest on Base Rate Loans will be payable quarterly in arrears. Wynn Las Vegas, LLC also pays, quarterly in arrears, 1.0% per annum on the daily average of unborrowed amounts under the Revolver.</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2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Wynn Las Vegas, LLC is also required to make mandatory repayments of indebtedness under the Credit Facilities from specified percentages of excess cash flow, which percentages may decrease and/or be eliminated based on Wynn Las Vegas, LLC’s leverage ratio. For 2012, the Company expects to make a mandatory repayment of approximately $88 million in March pursuant to this provision of the Credit Facilities. Wynn Las Vegas, LLC has the option to prepay all or any portion of the indebtedness under the Credit Facilities at any time without premium or penalty.</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Credit Facilities contain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 the Company was in compliance with all covenants at December 31, 2011. The Consolidated Interest Coverage Ratio remains at 1.00 to 1 through June 2013.</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net book value of the first mortgage notes was $2.2 billion at both December 31, 2011 and 2010. The estimated fair value of the first mortgage notes based upon most recent trades at December 31, 2011 and 2010 was approximately $2.4 billion and $2.3 billion, respectively. The net book value of the Company’s other debt instruments was $406.2 million and the fair value of such debt was approximately $400 million as of December 31, 2011.</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$10.9 million are as follows (amounts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2015</w:t>
            </w: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2,230,710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Credit Facilities. Under this swap agreement, the Company pays a fixed interest rate of 2.485% on borrowings of $250 million incurred under the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2011, the fair value of this interest rate swap was a liability of $4.6 million and is recorded in current other accrued liabilities. As of December 31, 2010, the fair value of this interest rate swap was $8.5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860" w:hanging="232"/>
        <w:spacing w:after="0" w:line="398" w:lineRule="auto"/>
        <w:tabs>
          <w:tab w:leader="none" w:pos="187"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2011, the Company’s current Due to Affiliates, net was comprised of construction payables of $8.4 million, construction retention of $1.7 million and other net amounts due to affiliates totaling $31 million (including corporate allocations discussed below). The long-term Due to Affiliates is management fees of $124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2010, the Company’s current Due to Affiliates, net was comprised of construction payables of $10.3 million, construction retention of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2011, 2010 and 2009, $28.6 million, $25.9 million, and $25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terminated December 31, 2010. The lease was on a month-to-month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basis. Pursuant to the terms of the EW Lease, Elaine P. Wynn paid annual rent equal to $350,000 which amount was determined by the Audit Committee with the assistance of a third-party appraisal. Certain services for, and maintenance of, the villa suite were included in the rental. The lease was extended on a month-to-month basis after December 31, 2010 until terminated effective March 31, 2011.</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Effective March 1, 2012, the rental value will be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2011, 2010 and 2009, were $16.6 million, $19 million and $24.5 million, respectively. In response to the Company’s evaluation of its resort and the reactions of its guests, the Company makes enhancements and refinements to the resort. Costs relating to assets retired as a result of these enhancement and remodel efforts have been expensed as property charges.</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2011 include the write off of certain off-site golf memberships by Wynn Las Vegas, miscellaneous renovations and abandonments, including modifications of the Encore retail esplanade, closure of the Blush nightclub and the write off of certain costs related to a show that ended its run in Las Vegas in April 2011.</w:t>
      </w:r>
    </w:p>
    <w:p>
      <w:pPr>
        <w:spacing w:after="0" w:line="127"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$16.7 million charge for the abandonment of the front porte-cochere at Encore to make way for the Encore Beach Club, a $5.3 million charge for the write-off of two aircraft deposits, and $2.5 million related to miscellaneous remodels, abandonments and loss on sale of equipment.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20" w:hanging="232"/>
        <w:spacing w:after="0" w:line="398" w:lineRule="auto"/>
        <w:tabs>
          <w:tab w:leader="none" w:pos="266"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matched the contributions, within prescribed limits, with an amount equal to 100% of the participant’s initial 2% tax deferred contribution and 50% of the tax deferred contribution between 2% and 4% of the participant’s compensation. Effective March 16, 2009, the Company suspended matching contributions to this plan. No amounts were expensed during the years ended December 31, 2011 and 2010. The Company recorded an expense for matching contributions of $1.2 million for the year ended December 31, 2009.</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Multi-employer pension plan</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$7.6 million, $6.8 million and $6.2 million for contributions to the Plan for the years ended December 31, 2011, 2010 and 2009, respectively. For the 2010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2010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2011, 2010 and 2009 is allocated as follows (amounts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$4,347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Rooms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$8,370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520" w:type="dxa"/>
            <w:vAlign w:val="bottom"/>
            <w:vMerge w:val="restart"/>
          </w:tcPr>
          <w:p>
            <w:pPr>
              <w:jc w:val="right"/>
              <w:ind w:right="1675"/>
              <w:spacing w:after="0"/>
              <w:rPr>
                <w:sz w:val="20"/>
                <w:szCs w:val="20"/>
                <w:color w:val="auto"/>
              </w:rPr>
            </w:pPr>
            <w:r>
              <w:rPr>
                <w:rFonts w:ascii="Arial" w:cs="Arial" w:eastAsia="Arial" w:hAnsi="Arial"/>
                <w:sz w:val="18"/>
                <w:szCs w:val="18"/>
                <w:color w:val="auto"/>
              </w:rPr>
              <w:t>55</w:t>
            </w: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-325755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540" w:hanging="232"/>
        <w:spacing w:after="0" w:line="398" w:lineRule="auto"/>
        <w:tabs>
          <w:tab w:leader="none" w:pos="275"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2015</w:t>
            </w: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2011, the Company was obligated under non-cancellable operating leases, to make future minimum lease payments as follows (amounts in thousands):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2015</w:t>
            </w: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right="14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2011, 2010 and 2009 was $16.2 million, $16.1 million and $8.0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 Beginning January 2012, the medical plan covering employees of the Company’s domestic subsidiaries will be fully 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entitled to a separation payment if terminated without “cause” or upon voluntary termination of employment for “good reason” following a “change of control” (as these terms are defined in the employment contracts).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2011.</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$5.4 million.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2012, the Nevada Tax Commission upheld the decision of an Administrative Law Judge (“ALJ”) who ruled that complimentary meals provided to patrons and employees of a Nevada casino operator were retail sales subject to sales tax. The ruling of the ALJ further held that the use tax already paid on such items and sought as refunds should be credited against the sales tax due. Furthermore, the ALJ held that the Nevada Department of Taxation could not assess additional taxes, penalties or interest because its regulations and policies at the time only required the payment of use tax on such complimentary meals. The Company expects that the Nevada Tax Commission ruling will be appealed through the Nevada courts. As of December 31, 2011, the Company has neither recorded a receivable associated with its $5.4 million refund claim nor any sales tax liability for complimentary meals provided to customers and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During the years ended December 31, 2010 and 2009, Wynn Resorts made cash capital contributions to the Company totaling $50 million and $413 million, respectively. The proceeds from these contributions were used to fund construction costs of Encore and to fund paydowns of the Company’s debt.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2011 and 2010, and for each of the three years in the period ended December 31, 2011.</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(iii).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4"/>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20,778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3,537,264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193,947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(19,685)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38,219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17,361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(160,735)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196,444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2,584,784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2,620,484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2,783,121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3,010,014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1,973,424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1,973,424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(874,922)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(40,101)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1,098,502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64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229,882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1,663,841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(181,650)</w:t>
            </w:r>
          </w:p>
        </w:tc>
        <w:tc>
          <w:tcPr>
            <w:tcW w:w="180" w:type="dxa"/>
            <w:vAlign w:val="bottom"/>
          </w:tcPr>
          <w:p>
            <w:pPr>
              <w:spacing w:after="0"/>
              <w:rPr>
                <w:sz w:val="19"/>
                <w:szCs w:val="19"/>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(181,650)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1,482,191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226,715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225,457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259,929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1,378,124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1,380,576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104,067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(200,759)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(199,699)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(196,951)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(95,632)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1,474,206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1,473,939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(177,383)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(177,383)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1,296,823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1,296,556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239,105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2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270,280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1,375,231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1,377,870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(78,408)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(192,806)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309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(269,921)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(267,015)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(348,329)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1,415,600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(185,982)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1,229,618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248,566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309,012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1,366,105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(136,487)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(156,262)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(173,383)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(309,870)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2"/>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income</w:t>
            </w:r>
          </w:p>
        </w:tc>
        <w:tc>
          <w:tcPr>
            <w:tcW w:w="1440" w:type="dxa"/>
            <w:vAlign w:val="bottom"/>
            <w:gridSpan w:val="4"/>
          </w:tcPr>
          <w:p>
            <w:pPr>
              <w:jc w:val="right"/>
              <w:ind w:right="420"/>
              <w:spacing w:after="0"/>
              <w:rPr>
                <w:sz w:val="20"/>
                <w:szCs w:val="20"/>
                <w:color w:val="auto"/>
              </w:rPr>
            </w:pPr>
            <w:r>
              <w:rPr>
                <w:rFonts w:ascii="Arial" w:cs="Arial" w:eastAsia="Arial" w:hAnsi="Arial"/>
                <w:sz w:val="18"/>
                <w:szCs w:val="18"/>
                <w:color w:val="auto"/>
              </w:rPr>
              <w:t>$ (95,632)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 (95,632)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income to net cash provided by (used in)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259,929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2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3,032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(3,032)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(3,829)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(35,747)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13,006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26,550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229,020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1440" w:type="dxa"/>
            <w:vAlign w:val="bottom"/>
            <w:gridSpan w:val="4"/>
          </w:tcPr>
          <w:p>
            <w:pPr>
              <w:jc w:val="right"/>
              <w:ind w:right="420"/>
              <w:spacing w:after="0"/>
              <w:rPr>
                <w:sz w:val="20"/>
                <w:szCs w:val="20"/>
                <w:color w:val="auto"/>
              </w:rPr>
            </w:pPr>
            <w:r>
              <w:rPr>
                <w:rFonts w:ascii="Arial" w:cs="Arial" w:eastAsia="Arial" w:hAnsi="Arial"/>
                <w:sz w:val="18"/>
                <w:szCs w:val="18"/>
                <w:color w:val="auto"/>
              </w:rPr>
              <w:t>(62,584)</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8,647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(56,030)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40" w:type="dxa"/>
            <w:vAlign w:val="bottom"/>
            <w:gridSpan w:val="4"/>
          </w:tcPr>
          <w:p>
            <w:pPr>
              <w:jc w:val="right"/>
              <w:ind w:right="420"/>
              <w:spacing w:after="0"/>
              <w:rPr>
                <w:sz w:val="20"/>
                <w:szCs w:val="20"/>
                <w:color w:val="auto"/>
              </w:rPr>
            </w:pPr>
            <w:r>
              <w:rPr>
                <w:rFonts w:ascii="Arial" w:cs="Arial" w:eastAsia="Arial" w:hAnsi="Arial"/>
                <w:sz w:val="18"/>
                <w:szCs w:val="18"/>
                <w:color w:val="auto"/>
              </w:rPr>
              <w:t>(24,073)</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2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(24,131)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60" w:type="dxa"/>
            <w:vAlign w:val="bottom"/>
            <w:gridSpan w:val="2"/>
          </w:tcPr>
          <w:p>
            <w:pPr>
              <w:jc w:val="right"/>
              <w:ind w:right="577"/>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-325755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(348,329)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270,280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64,673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(29,683)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retention</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(156,987)</w:t>
            </w: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(157,080)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(163,888)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(1,931,838)</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(1,933,238)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1,995,686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(13,463)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9"/>
              </w:rPr>
              <w:t>Issuers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income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(9,164)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income to net cash provided by (used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48,765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(6,886)</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(5,340)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(244,904)</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(928,509)</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649,481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412,951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2011 and 2010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$395,037</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$391,014</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$347,254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$348,590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49,174</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48,609</w:t>
            </w:r>
          </w:p>
        </w:tc>
        <w:tc>
          <w:tcPr>
            <w:tcW w:w="1340" w:type="dxa"/>
            <w:vAlign w:val="bottom"/>
            <w:gridSpan w:val="5"/>
          </w:tcPr>
          <w:p>
            <w:pPr>
              <w:jc w:val="right"/>
              <w:ind w:right="400"/>
              <w:spacing w:after="0"/>
              <w:rPr>
                <w:sz w:val="20"/>
                <w:szCs w:val="20"/>
                <w:color w:val="auto"/>
              </w:rPr>
            </w:pPr>
            <w:r>
              <w:rPr>
                <w:rFonts w:ascii="Arial" w:cs="Arial" w:eastAsia="Arial" w:hAnsi="Arial"/>
                <w:sz w:val="18"/>
                <w:szCs w:val="18"/>
                <w:color w:val="auto"/>
              </w:rPr>
              <w:t>(415)</w:t>
            </w:r>
          </w:p>
        </w:tc>
        <w:tc>
          <w:tcPr>
            <w:tcW w:w="660" w:type="dxa"/>
            <w:vAlign w:val="bottom"/>
          </w:tcPr>
          <w:p>
            <w:pPr>
              <w:jc w:val="right"/>
              <w:spacing w:after="0"/>
              <w:rPr>
                <w:sz w:val="20"/>
                <w:szCs w:val="20"/>
                <w:color w:val="auto"/>
              </w:rPr>
            </w:pPr>
            <w:r>
              <w:rPr>
                <w:rFonts w:ascii="Arial" w:cs="Arial" w:eastAsia="Arial" w:hAnsi="Arial"/>
                <w:sz w:val="18"/>
                <w:szCs w:val="18"/>
                <w:color w:val="auto"/>
              </w:rPr>
              <w:t>3,951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13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(49,509)</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(45,040)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$318,607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$318,321</w:t>
            </w:r>
          </w:p>
        </w:tc>
        <w:tc>
          <w:tcPr>
            <w:tcW w:w="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$ 334,503</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$325,125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(34,485)</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(17,222)</w:t>
            </w:r>
          </w:p>
        </w:tc>
        <w:tc>
          <w:tcPr>
            <w:tcW w:w="1340" w:type="dxa"/>
            <w:vAlign w:val="bottom"/>
            <w:gridSpan w:val="5"/>
          </w:tcPr>
          <w:p>
            <w:pPr>
              <w:jc w:val="right"/>
              <w:ind w:right="360"/>
              <w:spacing w:after="0"/>
              <w:rPr>
                <w:sz w:val="20"/>
                <w:szCs w:val="20"/>
                <w:color w:val="auto"/>
              </w:rPr>
            </w:pPr>
            <w:r>
              <w:rPr>
                <w:rFonts w:ascii="Arial" w:cs="Arial" w:eastAsia="Arial" w:hAnsi="Arial"/>
                <w:sz w:val="18"/>
                <w:szCs w:val="18"/>
                <w:color w:val="auto"/>
              </w:rPr>
              <w:t>(16,195)</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(13,412)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(81,692)</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(68,747)</w:t>
            </w:r>
          </w:p>
        </w:tc>
        <w:tc>
          <w:tcPr>
            <w:tcW w:w="13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(134,981)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(62,909)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 (Unaudited)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Unsuitability and Redemption of Aruze USA, Inc. and Affiliates and Related Matters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numerous prima facie violations of the FCPA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Wynn Resorts board of directors was unanimous (other than Mr. Okada) in its determination. The Wynn Resorts board of directors also requested that Mr. Okada resign as a director of Wynn Resorts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0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Based on the Wynn Resorts Board of Directors’ finding of “unsuitability,” on February 18, 2012, Wynn Resorts redeemed Aruze USA, Inc.’s 24,549,222 shares of Wynn Resorts’ Common Stock.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a Redemption Price Promissory Note to Aruze USA, Inc. in redemption of the shares. The Redemption Price Promissory Note has a principal amount of approximately $1.9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2012, Wynn Resorts filed a complaint in the District Court of Clark County, Nevada against Mr. Okada, alleging breaches of fiduciary duty and related claims.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Commenced by Mr. Okada and Related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and approved by 15 of the 16 directors who serve on those boards. The sole dissenting vote was Mr. Kazuo Okada whose stated objection was to the length of time over which the donation would occur, not its propriety.</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Okada commenced litigation on January 11, 2012, in Nevada seeking to compel Wynn Resorts to produce information relating to the donation to the University of Macau, among other things.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but not limited to, the donation to the University of Macau, any donations by Wynn Resorts to any other educational charitable institutions, including the University of Macau Development Foundation, and Wynn Resorts’ casino or concession gaming licenses or renewals in Macau. Wynn Resorts has informed the Salt Lake Regional Office that it intends to fully comply with the SEC’s request.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64"/>
        <w:spacing w:after="0" w:line="286"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2011,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13"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Based on our assessment, management believes that, as of December 31, 2011, the Company’s internal control over financial reporting was effective.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27" w:lineRule="exact"/>
        <w:rPr>
          <w:sz w:val="20"/>
          <w:szCs w:val="20"/>
          <w:color w:val="auto"/>
        </w:rPr>
      </w:pPr>
    </w:p>
    <w:p>
      <w:pPr>
        <w:ind w:right="40" w:firstLine="464"/>
        <w:spacing w:after="0" w:line="306"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2011 and 2010:</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ind w:left="42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740" w:type="dxa"/>
            <w:vAlign w:val="bottom"/>
            <w:gridSpan w:val="2"/>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253,320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debt offerings in 2010.</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2011 and 2010.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(a)1. The following consolidated financial statements of the Company are filed as part of this report under Item 8—Financial Statements and Supplemental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Balance Sheets as of December 31, 2011 and 2010</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2011, 2010 and 2009</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2011, 2010 and 2009</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2011, 2010 and 2009</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85"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gridSpan w:val="2"/>
          </w:tcPr>
          <w:p>
            <w:pPr>
              <w:jc w:val="center"/>
              <w:ind w:left="3001"/>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320" w:type="dxa"/>
            <w:vAlign w:val="bottom"/>
            <w:gridSpan w:val="3"/>
            <w:shd w:val="clear" w:color="auto" w:fill="CCEEFF"/>
          </w:tcPr>
          <w:p>
            <w:pPr>
              <w:jc w:val="center"/>
              <w:ind w:left="2381"/>
              <w:spacing w:after="0"/>
              <w:rPr>
                <w:sz w:val="20"/>
                <w:szCs w:val="20"/>
                <w:color w:val="auto"/>
              </w:rPr>
            </w:pPr>
            <w:r>
              <w:rPr>
                <w:rFonts w:ascii="Arial" w:cs="Arial" w:eastAsia="Arial" w:hAnsi="Arial"/>
                <w:sz w:val="18"/>
                <w:szCs w:val="18"/>
                <w:color w:val="auto"/>
                <w:w w:val="88"/>
              </w:rPr>
              <w:t>$ 71,076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(15,116)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gridSpan w:val="2"/>
          </w:tcPr>
          <w:p>
            <w:pPr>
              <w:spacing w:after="0"/>
              <w:rPr>
                <w:sz w:val="8"/>
                <w:szCs w:val="8"/>
                <w:color w:val="auto"/>
              </w:rPr>
            </w:pPr>
          </w:p>
        </w:tc>
        <w:tc>
          <w:tcPr>
            <w:tcW w:w="432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320" w:type="dxa"/>
            <w:vAlign w:val="bottom"/>
            <w:gridSpan w:val="3"/>
            <w:shd w:val="clear" w:color="auto" w:fill="CCEEFF"/>
          </w:tcPr>
          <w:p>
            <w:pPr>
              <w:jc w:val="center"/>
              <w:ind w:left="2381"/>
              <w:spacing w:after="0"/>
              <w:rPr>
                <w:sz w:val="20"/>
                <w:szCs w:val="20"/>
                <w:color w:val="auto"/>
              </w:rPr>
            </w:pPr>
            <w:r>
              <w:rPr>
                <w:rFonts w:ascii="Arial" w:cs="Arial" w:eastAsia="Arial" w:hAnsi="Arial"/>
                <w:sz w:val="18"/>
                <w:szCs w:val="18"/>
                <w:color w:val="auto"/>
                <w:w w:val="88"/>
              </w:rPr>
              <w:t>$ 67,406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gridSpan w:val="2"/>
          </w:tcPr>
          <w:p>
            <w:pPr>
              <w:spacing w:after="0"/>
              <w:rPr>
                <w:sz w:val="8"/>
                <w:szCs w:val="8"/>
                <w:color w:val="auto"/>
              </w:rPr>
            </w:pPr>
          </w:p>
        </w:tc>
        <w:tc>
          <w:tcPr>
            <w:tcW w:w="432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320" w:type="dxa"/>
            <w:vAlign w:val="bottom"/>
            <w:gridSpan w:val="3"/>
            <w:shd w:val="clear" w:color="auto" w:fill="CCEEFF"/>
          </w:tcPr>
          <w:p>
            <w:pPr>
              <w:jc w:val="center"/>
              <w:ind w:left="2381"/>
              <w:spacing w:after="0"/>
              <w:rPr>
                <w:sz w:val="20"/>
                <w:szCs w:val="20"/>
                <w:color w:val="auto"/>
              </w:rPr>
            </w:pPr>
            <w:r>
              <w:rPr>
                <w:rFonts w:ascii="Arial" w:cs="Arial" w:eastAsia="Arial" w:hAnsi="Arial"/>
                <w:sz w:val="18"/>
                <w:szCs w:val="18"/>
                <w:color w:val="auto"/>
                <w:w w:val="88"/>
              </w:rPr>
              <w:t>$ 65,414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jc w:val="right"/>
              <w:ind w:right="701"/>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(a)3.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74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INDEX</w:t>
            </w:r>
          </w:p>
        </w:tc>
      </w:tr>
      <w:tr>
        <w:trPr>
          <w:trHeight w:val="38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74"/>
        </w:trPr>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No.</w:t>
            </w:r>
          </w:p>
        </w:tc>
        <w:tc>
          <w:tcPr>
            <w:tcW w:w="5340" w:type="dxa"/>
            <w:vAlign w:val="bottom"/>
          </w:tcPr>
          <w:p>
            <w:pPr>
              <w:spacing w:after="0"/>
              <w:rPr>
                <w:sz w:val="15"/>
                <w:szCs w:val="15"/>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500" w:type="dxa"/>
            <w:vAlign w:val="bottom"/>
          </w:tcPr>
          <w:p>
            <w:pPr>
              <w:spacing w:after="0"/>
              <w:rPr>
                <w:sz w:val="8"/>
                <w:szCs w:val="8"/>
                <w:color w:val="auto"/>
              </w:rPr>
            </w:pPr>
          </w:p>
        </w:tc>
      </w:tr>
      <w:tr>
        <w:trPr>
          <w:trHeight w:val="316"/>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Articles of Organization of Kevyn, LLC. (14)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Operating Agreement of Kevyn, LLC. (14)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3.14</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3.17</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3.18</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w:t>
            </w:r>
          </w:p>
        </w:tc>
      </w:tr>
      <w:tr>
        <w:trPr>
          <w:trHeight w:val="222"/>
        </w:trPr>
        <w:tc>
          <w:tcPr>
            <w:tcW w:w="600" w:type="dxa"/>
            <w:vAlign w:val="bottom"/>
          </w:tcPr>
          <w:p>
            <w:pPr>
              <w:spacing w:after="0"/>
              <w:rPr>
                <w:sz w:val="19"/>
                <w:szCs w:val="19"/>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U.S. Bank National Association, as trustee. (17)</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w:t>
            </w:r>
          </w:p>
        </w:tc>
      </w:tr>
      <w:tr>
        <w:trPr>
          <w:trHeight w:val="222"/>
        </w:trPr>
        <w:tc>
          <w:tcPr>
            <w:tcW w:w="600" w:type="dxa"/>
            <w:vAlign w:val="bottom"/>
          </w:tcPr>
          <w:p>
            <w:pPr>
              <w:spacing w:after="0"/>
              <w:rPr>
                <w:sz w:val="19"/>
                <w:szCs w:val="19"/>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and U.S. Bank National Association, as trustee. (20)</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88"/>
              </w:rPr>
              <w:t>Indenture, dated as of August 4, 2010, among Wynn Las Vegas, LLC, Wynn Las Vegas Capital Corp., the Guarantors named therein and U.S.</w:t>
            </w:r>
          </w:p>
        </w:tc>
      </w:tr>
      <w:tr>
        <w:trPr>
          <w:trHeight w:val="222"/>
        </w:trPr>
        <w:tc>
          <w:tcPr>
            <w:tcW w:w="600" w:type="dxa"/>
            <w:vAlign w:val="bottom"/>
          </w:tcPr>
          <w:p>
            <w:pPr>
              <w:spacing w:after="0"/>
              <w:rPr>
                <w:sz w:val="19"/>
                <w:szCs w:val="19"/>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Bank National Association, as trustee. (21)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90"/>
              </w:rPr>
              <w:t>Third Supplemental Indenture, dated August 4, 2010, among Wynn Las Vegas, LLC, Wynn Las Vegas Capital Corp., the Guarantors name</w:t>
            </w:r>
          </w:p>
        </w:tc>
      </w:tr>
      <w:tr>
        <w:trPr>
          <w:trHeight w:val="222"/>
        </w:trPr>
        <w:tc>
          <w:tcPr>
            <w:tcW w:w="600" w:type="dxa"/>
            <w:vAlign w:val="bottom"/>
          </w:tcPr>
          <w:p>
            <w:pPr>
              <w:spacing w:after="0"/>
              <w:rPr>
                <w:sz w:val="19"/>
                <w:szCs w:val="19"/>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therein and U.S. Bank National Association, as trustee. (21)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87"/>
              </w:rPr>
              <w:t>Amended and Restated Master Disbursement Agreement, dated as of October 25, 2007, by and among Wynn Las Vegas, LLC, Deutsche Bank</w:t>
            </w:r>
          </w:p>
        </w:tc>
      </w:tr>
      <w:tr>
        <w:trPr>
          <w:trHeight w:val="222"/>
        </w:trPr>
        <w:tc>
          <w:tcPr>
            <w:tcW w:w="600" w:type="dxa"/>
            <w:vAlign w:val="bottom"/>
          </w:tcPr>
          <w:p>
            <w:pPr>
              <w:spacing w:after="0"/>
              <w:rPr>
                <w:sz w:val="19"/>
                <w:szCs w:val="19"/>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91"/>
              </w:rPr>
              <w:t>Trust Company Americas, as the initial Bank Agent, and Deutsche Bank Trust Company America, as the initial Disbursement Agent. (12)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88"/>
              </w:rPr>
              <w:t>First Amendment to Amended and Restated Master Disbursement Agreement, dated as of October 31, 2007, by and among Wynn Las Vegas,</w:t>
            </w:r>
          </w:p>
        </w:tc>
      </w:tr>
      <w:tr>
        <w:trPr>
          <w:trHeight w:val="216"/>
        </w:trPr>
        <w:tc>
          <w:tcPr>
            <w:tcW w:w="600" w:type="dxa"/>
            <w:vAlign w:val="bottom"/>
          </w:tcPr>
          <w:p>
            <w:pPr>
              <w:spacing w:after="0"/>
              <w:rPr>
                <w:sz w:val="18"/>
                <w:szCs w:val="18"/>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w w:val="95"/>
              </w:rPr>
              <w:t>LLC, Deutsche Bank Trust Company Americas, as the initial Bank Agent, and Deutsche Bank Trust Company America, as the initial</w:t>
            </w:r>
          </w:p>
        </w:tc>
      </w:tr>
      <w:tr>
        <w:trPr>
          <w:trHeight w:val="222"/>
        </w:trPr>
        <w:tc>
          <w:tcPr>
            <w:tcW w:w="600" w:type="dxa"/>
            <w:vAlign w:val="bottom"/>
          </w:tcPr>
          <w:p>
            <w:pPr>
              <w:spacing w:after="0"/>
              <w:rPr>
                <w:sz w:val="19"/>
                <w:szCs w:val="19"/>
                <w:color w:val="auto"/>
              </w:rPr>
            </w:pPr>
          </w:p>
        </w:tc>
        <w:tc>
          <w:tcPr>
            <w:tcW w:w="10740" w:type="dxa"/>
            <w:vAlign w:val="bottom"/>
            <w:gridSpan w:val="3"/>
          </w:tcPr>
          <w:p>
            <w:pPr>
              <w:ind w:left="740"/>
              <w:spacing w:after="0"/>
              <w:rPr>
                <w:sz w:val="20"/>
                <w:szCs w:val="20"/>
                <w:color w:val="auto"/>
              </w:rPr>
            </w:pPr>
            <w:r>
              <w:rPr>
                <w:rFonts w:ascii="Arial" w:cs="Arial" w:eastAsia="Arial" w:hAnsi="Arial"/>
                <w:sz w:val="18"/>
                <w:szCs w:val="18"/>
                <w:color w:val="auto"/>
              </w:rPr>
              <w:t>Disbursement Agent. (10)</w:t>
            </w:r>
          </w:p>
        </w:tc>
      </w:tr>
      <w:tr>
        <w:trPr>
          <w:trHeight w:val="365"/>
        </w:trPr>
        <w:tc>
          <w:tcPr>
            <w:tcW w:w="600" w:type="dxa"/>
            <w:vAlign w:val="bottom"/>
          </w:tcPr>
          <w:p>
            <w:pPr>
              <w:spacing w:after="0"/>
              <w:rPr>
                <w:sz w:val="24"/>
                <w:szCs w:val="24"/>
                <w:color w:val="auto"/>
              </w:rPr>
            </w:pPr>
          </w:p>
        </w:tc>
        <w:tc>
          <w:tcPr>
            <w:tcW w:w="5340" w:type="dxa"/>
            <w:vAlign w:val="bottom"/>
          </w:tcPr>
          <w:p>
            <w:pPr>
              <w:ind w:left="5020"/>
              <w:spacing w:after="0"/>
              <w:rPr>
                <w:sz w:val="20"/>
                <w:szCs w:val="20"/>
                <w:color w:val="auto"/>
              </w:rPr>
            </w:pPr>
            <w:r>
              <w:rPr>
                <w:rFonts w:ascii="Arial" w:cs="Arial" w:eastAsia="Arial" w:hAnsi="Arial"/>
                <w:sz w:val="18"/>
                <w:szCs w:val="18"/>
                <w:color w:val="auto"/>
              </w:rPr>
              <w:t>72</w:t>
            </w:r>
          </w:p>
        </w:tc>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74"/>
        </w:trPr>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20" w:type="dxa"/>
            <w:vAlign w:val="bottom"/>
            <w:gridSpan w:val="4"/>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90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1"/>
              </w:rPr>
              <w:t>Second Amendment to Amended and Restated Master Disbursement Agreement, dated as of November 6, 2007, by and among Wynn Las</w:t>
            </w:r>
          </w:p>
        </w:tc>
      </w:tr>
      <w:tr>
        <w:trPr>
          <w:trHeight w:val="216"/>
        </w:trPr>
        <w:tc>
          <w:tcPr>
            <w:tcW w:w="600" w:type="dxa"/>
            <w:vAlign w:val="bottom"/>
          </w:tcPr>
          <w:p>
            <w:pPr>
              <w:spacing w:after="0"/>
              <w:rPr>
                <w:sz w:val="18"/>
                <w:szCs w:val="18"/>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8"/>
              </w:rPr>
              <w:t>Vegas, LLC, Deutsche Bank Trust Company Americas, as the Bank Agent, and Deutsche Bank Trust Company Americas, as the Disbursement</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Agent. (11)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8"/>
              </w:rPr>
              <w:t>Third Amendment to Amended and Restated Master Disbursement Agreement, dated October 19, 2009, by and among Wynn Las Vegas, LLC,</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9"/>
              </w:rPr>
              <w:t>Deutsche Bank Trust Company Americas, as the Bank Agent, and Deutsche Bank Trust Company Americas, as the Disbursement Agent. (17)</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0"/>
              </w:rPr>
              <w:t>Fourth Amendment to Amended and Restated Master Disbursement Agreement, dated April 28, 2010, by and among Wynn Las Vegas, LLC,</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9"/>
              </w:rPr>
              <w:t>Deutsche Bank Trust Company Americas, as the Bank Agent, and Deutsche Bank Trust Company Americas, as the Disbursement Agent. (20)</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w:t>
            </w:r>
          </w:p>
        </w:tc>
      </w:tr>
      <w:tr>
        <w:trPr>
          <w:trHeight w:val="216"/>
        </w:trPr>
        <w:tc>
          <w:tcPr>
            <w:tcW w:w="600" w:type="dxa"/>
            <w:vAlign w:val="bottom"/>
          </w:tcPr>
          <w:p>
            <w:pPr>
              <w:spacing w:after="0"/>
              <w:rPr>
                <w:sz w:val="18"/>
                <w:szCs w:val="18"/>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1"/>
              </w:rPr>
              <w:t>as owner trustee, and World Travel, LLC; and accepted and agreed to by Bank of America, N.A., as lender and Wells Fargo Bank, National</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Association, not in its individual capacity but solely as collateral agent. (6)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w:t>
            </w:r>
          </w:p>
        </w:tc>
      </w:tr>
      <w:tr>
        <w:trPr>
          <w:trHeight w:val="216"/>
        </w:trPr>
        <w:tc>
          <w:tcPr>
            <w:tcW w:w="600" w:type="dxa"/>
            <w:vAlign w:val="bottom"/>
          </w:tcPr>
          <w:p>
            <w:pPr>
              <w:spacing w:after="0"/>
              <w:rPr>
                <w:sz w:val="18"/>
                <w:szCs w:val="18"/>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8"/>
              </w:rPr>
              <w:t>as owner trustee, and World Travel, LLC; and accepted and agreed to by The CIT Group / Equipment Financing, Inc., as lender and Wells Fargo</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Bank, National Association, not in its individual capacity but solely as collateral agent. (6)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3"/>
              </w:rPr>
              <w:t>Aircraft Security Agreement, dated May 24, 2005, between Wells Fargo Northwest, National Association, not in its individual capacity but</w:t>
            </w:r>
          </w:p>
        </w:tc>
      </w:tr>
      <w:tr>
        <w:trPr>
          <w:trHeight w:val="216"/>
        </w:trPr>
        <w:tc>
          <w:tcPr>
            <w:tcW w:w="600" w:type="dxa"/>
            <w:vAlign w:val="bottom"/>
          </w:tcPr>
          <w:p>
            <w:pPr>
              <w:spacing w:after="0"/>
              <w:rPr>
                <w:sz w:val="18"/>
                <w:szCs w:val="18"/>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1"/>
              </w:rPr>
              <w:t>solely as owner trustee, World Travel, LLC and Wells Fargo Bank, National Association, not in its individual capacity but solely as collateral</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agent. (6)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1"/>
              </w:rPr>
              <w:t>Guaranty, dated May 24, 2005, by Wynn Las Vegas, LLC in favor of The CIT Group / Equipment Financing, Inc., Bank of America, N.A. and</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10.10</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(7)</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10.11</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7"/>
              </w:rPr>
              <w:t>Fifth Amended and Restated Art Rental and Licensing Agreement, dated as of July 1, 2007, between Stephen A. Wynn, as lessor, Wynn Gallery,</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LLC, as lessee. (22)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9"/>
              </w:rPr>
              <w:t>Lump Sum Agreement, by and between Wynn Las Vegas, LLC and Wadsworth Golf Construction Company, effective as of February 18, 2003.</w:t>
            </w:r>
          </w:p>
        </w:tc>
      </w:tr>
      <w:tr>
        <w:trPr>
          <w:trHeight w:val="222"/>
        </w:trPr>
        <w:tc>
          <w:tcPr>
            <w:tcW w:w="600" w:type="dxa"/>
            <w:vAlign w:val="bottom"/>
          </w:tcPr>
          <w:p>
            <w:pPr>
              <w:spacing w:after="0"/>
              <w:rPr>
                <w:sz w:val="19"/>
                <w:szCs w:val="19"/>
                <w:color w:val="auto"/>
              </w:rPr>
            </w:pPr>
          </w:p>
        </w:tc>
        <w:tc>
          <w:tcPr>
            <w:tcW w:w="5280" w:type="dxa"/>
            <w:vAlign w:val="bottom"/>
          </w:tcPr>
          <w:p>
            <w:pPr>
              <w:ind w:left="6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10.13</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8"/>
              </w:rPr>
              <w:t>Completion Guaranty, dated December 14, 2004, by Wynn Completion Guarantor, LLC in favor of Deutsche Bank Trust Company Americas, as</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the Bank Agent, and U.S. Bank National Association, as Indenture Trustee. (3)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10.14</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10.15</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 Inc. (2)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10.16</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the lenders named therein. (5)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10.17</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0"/>
              </w:rPr>
              <w:t>Management Fees Subordination Agreement, dated as of December 14, 2004, by Wynn Resorts, Limited, Wynn Las Vegas, LLC, Wynn Las</w:t>
            </w:r>
          </w:p>
        </w:tc>
      </w:tr>
      <w:tr>
        <w:trPr>
          <w:trHeight w:val="184"/>
        </w:trPr>
        <w:tc>
          <w:tcPr>
            <w:tcW w:w="600" w:type="dxa"/>
            <w:vAlign w:val="bottom"/>
          </w:tcPr>
          <w:p>
            <w:pPr>
              <w:spacing w:after="0"/>
              <w:rPr>
                <w:sz w:val="15"/>
                <w:szCs w:val="15"/>
                <w:color w:val="auto"/>
              </w:rPr>
            </w:pPr>
          </w:p>
        </w:tc>
        <w:tc>
          <w:tcPr>
            <w:tcW w:w="10800" w:type="dxa"/>
            <w:vAlign w:val="bottom"/>
            <w:gridSpan w:val="5"/>
          </w:tcPr>
          <w:p>
            <w:pPr>
              <w:ind w:left="660"/>
              <w:spacing w:after="0" w:line="184" w:lineRule="exact"/>
              <w:rPr>
                <w:sz w:val="20"/>
                <w:szCs w:val="20"/>
                <w:color w:val="auto"/>
              </w:rPr>
            </w:pPr>
            <w:r>
              <w:rPr>
                <w:rFonts w:ascii="Arial" w:cs="Arial" w:eastAsia="Arial" w:hAnsi="Arial"/>
                <w:sz w:val="18"/>
                <w:szCs w:val="18"/>
                <w:color w:val="auto"/>
                <w:w w:val="92"/>
              </w:rPr>
              <w:t>Vegas Capital Corp., and those subsidiaries of Wynn Las Vegas, LLC listed on Exhibit A hereto in favor of Deutsche Bank Trust Company</w:t>
            </w:r>
          </w:p>
        </w:tc>
      </w:tr>
      <w:tr>
        <w:trPr>
          <w:trHeight w:val="20"/>
        </w:trPr>
        <w:tc>
          <w:tcPr>
            <w:tcW w:w="60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5"/>
        </w:trPr>
        <w:tc>
          <w:tcPr>
            <w:tcW w:w="600" w:type="dxa"/>
            <w:vAlign w:val="bottom"/>
          </w:tcPr>
          <w:p>
            <w:pPr>
              <w:spacing w:after="0"/>
              <w:rPr>
                <w:sz w:val="20"/>
                <w:szCs w:val="20"/>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rPr>
              <w:t>Americas, as administrative agent, and U.S. Bank National Association, as trustee. (3)</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10.18</w:t>
            </w: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1"/>
              </w:rPr>
              <w:t>Management Agreement, made as of December 14, 2004, by and among Wynn Las Vegas, LLC, Wynn Show Performers, LLC, Wynn Las</w:t>
            </w:r>
          </w:p>
        </w:tc>
      </w:tr>
      <w:tr>
        <w:trPr>
          <w:trHeight w:val="222"/>
        </w:trPr>
        <w:tc>
          <w:tcPr>
            <w:tcW w:w="600" w:type="dxa"/>
            <w:vAlign w:val="bottom"/>
          </w:tcPr>
          <w:p>
            <w:pPr>
              <w:spacing w:after="0"/>
              <w:rPr>
                <w:sz w:val="19"/>
                <w:szCs w:val="19"/>
                <w:color w:val="auto"/>
              </w:rPr>
            </w:pPr>
          </w:p>
        </w:tc>
        <w:tc>
          <w:tcPr>
            <w:tcW w:w="10800" w:type="dxa"/>
            <w:vAlign w:val="bottom"/>
            <w:gridSpan w:val="5"/>
          </w:tcPr>
          <w:p>
            <w:pPr>
              <w:ind w:left="660"/>
              <w:spacing w:after="0"/>
              <w:rPr>
                <w:sz w:val="20"/>
                <w:szCs w:val="20"/>
                <w:color w:val="auto"/>
              </w:rPr>
            </w:pPr>
            <w:r>
              <w:rPr>
                <w:rFonts w:ascii="Arial" w:cs="Arial" w:eastAsia="Arial" w:hAnsi="Arial"/>
                <w:sz w:val="18"/>
                <w:szCs w:val="18"/>
                <w:color w:val="auto"/>
                <w:w w:val="96"/>
              </w:rPr>
              <w:t>Vegas Capital Corp., Wynn Golf, LLC, World Travel, LLC, Las Vegas Jet, LLC, Wynn Sunrise, LLC, and Wynn Resorts, Limited. (3)</w:t>
            </w:r>
          </w:p>
        </w:tc>
      </w:tr>
      <w:tr>
        <w:trPr>
          <w:trHeight w:val="365"/>
        </w:trPr>
        <w:tc>
          <w:tcPr>
            <w:tcW w:w="600" w:type="dxa"/>
            <w:vAlign w:val="bottom"/>
          </w:tcPr>
          <w:p>
            <w:pPr>
              <w:spacing w:after="0"/>
              <w:rPr>
                <w:sz w:val="24"/>
                <w:szCs w:val="24"/>
                <w:color w:val="auto"/>
              </w:rPr>
            </w:pPr>
          </w:p>
        </w:tc>
        <w:tc>
          <w:tcPr>
            <w:tcW w:w="5280" w:type="dxa"/>
            <w:vAlign w:val="bottom"/>
          </w:tcPr>
          <w:p>
            <w:pPr>
              <w:ind w:left="5020"/>
              <w:spacing w:after="0"/>
              <w:rPr>
                <w:sz w:val="20"/>
                <w:szCs w:val="20"/>
                <w:color w:val="auto"/>
              </w:rPr>
            </w:pPr>
            <w:r>
              <w:rPr>
                <w:rFonts w:ascii="Arial" w:cs="Arial" w:eastAsia="Arial" w:hAnsi="Arial"/>
                <w:sz w:val="18"/>
                <w:szCs w:val="18"/>
                <w:color w:val="auto"/>
              </w:rPr>
              <w:t>73</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4"/>
        </w:trPr>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620" w:type="dxa"/>
            <w:vAlign w:val="bottom"/>
          </w:tcPr>
          <w:p>
            <w:pPr>
              <w:spacing w:after="0"/>
              <w:rPr>
                <w:sz w:val="8"/>
                <w:szCs w:val="8"/>
                <w:color w:val="auto"/>
              </w:rPr>
            </w:pPr>
          </w:p>
        </w:tc>
      </w:tr>
      <w:tr>
        <w:trPr>
          <w:trHeight w:val="309"/>
        </w:trPr>
        <w:tc>
          <w:tcPr>
            <w:tcW w:w="600" w:type="dxa"/>
            <w:vAlign w:val="bottom"/>
          </w:tcPr>
          <w:p>
            <w:pPr>
              <w:ind w:left="200"/>
              <w:spacing w:after="0"/>
              <w:rPr>
                <w:sz w:val="20"/>
                <w:szCs w:val="20"/>
                <w:color w:val="auto"/>
              </w:rPr>
            </w:pPr>
            <w:r>
              <w:rPr>
                <w:rFonts w:ascii="Arial" w:cs="Arial" w:eastAsia="Arial" w:hAnsi="Arial"/>
                <w:sz w:val="18"/>
                <w:szCs w:val="18"/>
                <w:color w:val="auto"/>
                <w:w w:val="84"/>
              </w:rPr>
              <w:t>10.19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Intellectual Property License Agreement, dated as of December 14, 2004, by and among Wynn Resorts Holdings, Wynn Resorts, Limited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Wynn Las Vegas, LLC. (3)</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(19)</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Agreement of Lease made as of March 18, 2010, by and between Wynn Las Vegas and Stephen A. Wynn. (19)</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(22)</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(18)</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Amended and Restated Credit Agreement, dated as of August 15, 2006 among Wynn Las Vegas, LLC, as the Borrower, several lenders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agents, and Deutsche Bank Trust Company Americas, as Administrative Agent. (13)</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First Amendment to Amended and Restated Credit Agreement dated April 9, 2007 among Wynn Las Vegas, LLC, Wynn Las Vegas Capital</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and</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Deutsche Bank Trust Company Americas, as Administrative Agent on behalf of the several banks and other financial institutions or entities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from time to time party to Wynn Las Vegas LLC’s Amended and Restated Credit Agreement, dated as of August 15, 2006. (9)</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Second Amendment to Amended and Restated Credit Agreement dated October 31, 2007 among Wynn Las Vegas, LLC, Wynn Las Vegas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Wynn Resorts Holdings, LLC, Wynn Completion Guarantors, LLC and Deutsche Bank Trust Company Americas, as Administrative Agent on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Credit Agreement, dated as of August 15, 2006. (10)</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Third Amendment to Amended and Restated Credit Agreement dated as of September 17, 2008 among Wynn Las Vegas, LLC, Wynn Las Vegas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on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Credit Agreement, dated as of August 15, 2006. (8)</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Fourth Amendment to Amended and Restated Credit Agreement, dated as of April 17, 2009, among Wynn Las Vegas, LLC and Wynn Las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Vegas Capital Corp., Wynn Show Performers, LLC, Wynn Golf, LLC, Wynn Sunrise, LLC, World Travel, LLC, Kevyn, LLC, Las Vegas Jet,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LLC, Wynn Resorts Holdings, LLC, Wynn Completion Guarantors, LLC and Deutsche Bank Trust Company Americas, as Administrative</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Agent on behalf of the several banks and other financial institutions or entities from time to time party to Wynn Las Vegas LLC’s Amended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Restated Credit Agreement, dated as of August 15, 2006. (15)</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Fifth Amendment to Amended and Restated Credit Agreement, dated as of September 10, 2009, among Wynn Las Vegas, LLC and Wynn Las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Vegas Capital Corp., Wynn Show Performers, LLC, Wynn Golf, LLC, Wynn Sunrise, LLC, World Travel, LLC, Kevyn, LLC, Las Vegas Jet,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LLC, Wynn Resorts Holdings, LLC, Wynn Completion Guarantors, LLC and Deutsche Bank Trust Company Americas, as Administrative</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Agent on behalf of the several banks and other financial institutions or entities from time to time party to Wynn Las Vegas LLC’s Amended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Restated Credit Agreement, dated as of August 15, 2006. (16)</w:t>
            </w:r>
          </w:p>
        </w:tc>
      </w:tr>
      <w:tr>
        <w:trPr>
          <w:trHeight w:val="365"/>
        </w:trPr>
        <w:tc>
          <w:tcPr>
            <w:tcW w:w="600" w:type="dxa"/>
            <w:vAlign w:val="bottom"/>
          </w:tcPr>
          <w:p>
            <w:pPr>
              <w:spacing w:after="0"/>
              <w:rPr>
                <w:sz w:val="24"/>
                <w:szCs w:val="24"/>
                <w:color w:val="auto"/>
              </w:rPr>
            </w:pPr>
          </w:p>
        </w:tc>
        <w:tc>
          <w:tcPr>
            <w:tcW w:w="5280" w:type="dxa"/>
            <w:vAlign w:val="bottom"/>
          </w:tcPr>
          <w:p>
            <w:pPr>
              <w:ind w:left="5020"/>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74"/>
        </w:trPr>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No.</w:t>
            </w:r>
          </w:p>
        </w:tc>
        <w:tc>
          <w:tcPr>
            <w:tcW w:w="5340" w:type="dxa"/>
            <w:vAlign w:val="bottom"/>
          </w:tcPr>
          <w:p>
            <w:pPr>
              <w:spacing w:after="0"/>
              <w:rPr>
                <w:sz w:val="15"/>
                <w:szCs w:val="15"/>
                <w:color w:val="auto"/>
              </w:rPr>
            </w:pPr>
          </w:p>
        </w:tc>
        <w:tc>
          <w:tcPr>
            <w:tcW w:w="5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52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10.30</w:t>
            </w: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90"/>
              </w:rPr>
              <w:t>Sixth Amendment to Amended and Restated Credit Agreement dated as of April 28, 2010 among Wynn Las Vegas, LLC, Wynn Las Vegas</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92"/>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w:t>
            </w:r>
          </w:p>
        </w:tc>
      </w:tr>
      <w:tr>
        <w:trPr>
          <w:trHeight w:val="222"/>
        </w:trPr>
        <w:tc>
          <w:tcPr>
            <w:tcW w:w="600" w:type="dxa"/>
            <w:vAlign w:val="bottom"/>
          </w:tcPr>
          <w:p>
            <w:pPr>
              <w:spacing w:after="0"/>
              <w:rPr>
                <w:sz w:val="19"/>
                <w:szCs w:val="19"/>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10.31</w:t>
            </w: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87"/>
              </w:rPr>
              <w:t>Seventh Amendment to Amended and Restated Credit Agreement dated as of August 4, 2010 among Wynn Las Vegas, LLC, Wynn Las Vegas</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92"/>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90"/>
              </w:rPr>
              <w:t>Wynn Resorts Holdings, LLC, Wynn Completion Guarantor, LLC and Deutsche Bank Trust Company Americas, as Administrative Agent on</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w w:val="94"/>
              </w:rPr>
              <w:t>behalf of the several banks and other financial institutions or entities from time to time party to Wynn Las Vegas, LLC’s Amended and</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rPr>
              <w:t>Restated Credit Agreement, dated as of August 15, 2006. (21)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(23)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760" w:type="dxa"/>
            <w:vAlign w:val="bottom"/>
            <w:gridSpan w:val="3"/>
          </w:tcPr>
          <w:p>
            <w:pPr>
              <w:ind w:left="7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(23)</w:t>
            </w:r>
          </w:p>
        </w:tc>
      </w:tr>
    </w:tbl>
    <w:p>
      <w:pPr>
        <w:spacing w:after="0" w:line="102" w:lineRule="exact"/>
        <w:rPr>
          <w:sz w:val="20"/>
          <w:szCs w:val="20"/>
          <w:color w:val="auto"/>
        </w:rPr>
      </w:pPr>
    </w:p>
    <w:p>
      <w:pPr>
        <w:ind w:left="1360" w:right="200" w:hanging="933"/>
        <w:spacing w:after="0" w:line="268"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 (23)</w:t>
      </w:r>
    </w:p>
    <w:p>
      <w:pPr>
        <w:spacing w:after="0" w:line="78" w:lineRule="exact"/>
        <w:rPr>
          <w:sz w:val="20"/>
          <w:szCs w:val="20"/>
          <w:color w:val="auto"/>
        </w:rPr>
      </w:pPr>
    </w:p>
    <w:p>
      <w:pPr>
        <w:ind w:left="1360" w:right="140" w:hanging="1021"/>
        <w:spacing w:after="0" w:line="294" w:lineRule="auto"/>
        <w:tabs>
          <w:tab w:leader="none" w:pos="1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Annual Report on Form 10-K for the year ended December 31, 2011, filed with the SEC on February 29, 2012 formatted in Extensible Business Reporting Language (XBRL): (i) the Consolidated Statements of Operations for the years ended December 31, 2011, 2010 and 2009, (ii) the Consolidated Balance Sheets at December 31, 2011 and 2010, (iii) the Consolidated Statements of Member’s Equity at December 31, 2011 and 2010, (iv) the Consolidated Statements of Cash Flows for the years ended December 31, 2011, 2010 and 2009, and (iv) Notes to Consolidated Financial Statements.*(23)</w:t>
      </w:r>
    </w:p>
    <w:p>
      <w:pPr>
        <w:spacing w:after="0" w:line="183" w:lineRule="exact"/>
        <w:rPr>
          <w:rFonts w:ascii="Arial" w:cs="Arial" w:eastAsia="Arial" w:hAnsi="Arial"/>
          <w:sz w:val="16"/>
          <w:szCs w:val="16"/>
          <w:color w:val="auto"/>
        </w:rPr>
      </w:pPr>
    </w:p>
    <w:p>
      <w:pPr>
        <w:jc w:val="right"/>
        <w:ind w:left="460" w:hanging="446"/>
        <w:spacing w:after="0" w:line="303"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Pursuant to Rule 406T of Regulation S-T, the XBRL related information in Exhibit 101 to this Annual Report on Form 10-K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461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 2007.</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31,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22,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14,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May 8,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19,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7960" w:val="left"/>
          <w:tab w:leader="none" w:pos="8320" w:val="left"/>
        </w:tabs>
        <w:rPr>
          <w:sz w:val="20"/>
          <w:szCs w:val="20"/>
          <w:color w:val="auto"/>
        </w:rPr>
      </w:pPr>
      <w:r>
        <w:rPr>
          <w:rFonts w:ascii="Arial" w:cs="Arial" w:eastAsia="Arial" w:hAnsi="Arial"/>
          <w:sz w:val="18"/>
          <w:szCs w:val="18"/>
          <w:color w:val="auto"/>
        </w:rPr>
        <w:t>Dated: February 29,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Marilyn Spiegel</w:t>
      </w:r>
    </w:p>
    <w:p>
      <w:pPr>
        <w:jc w:val="center"/>
        <w:ind w:left="6520"/>
        <w:spacing w:after="0" w:line="223" w:lineRule="auto"/>
        <w:rPr>
          <w:sz w:val="20"/>
          <w:szCs w:val="20"/>
          <w:color w:val="auto"/>
        </w:rPr>
      </w:pPr>
      <w:r>
        <w:rPr>
          <w:rFonts w:ascii="Arial" w:cs="Arial" w:eastAsia="Arial" w:hAnsi="Arial"/>
          <w:sz w:val="14"/>
          <w:szCs w:val="14"/>
          <w:b w:val="1"/>
          <w:bCs w:val="1"/>
          <w:color w:val="auto"/>
        </w:rPr>
        <w:t>President</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86"/>
              </w:rPr>
              <w:t>Signature</w:t>
            </w:r>
          </w:p>
        </w:tc>
        <w:tc>
          <w:tcPr>
            <w:tcW w:w="2080" w:type="dxa"/>
            <w:vAlign w:val="bottom"/>
          </w:tcPr>
          <w:p>
            <w:pPr>
              <w:spacing w:after="0"/>
              <w:rPr>
                <w:sz w:val="15"/>
                <w:szCs w:val="15"/>
                <w:color w:val="auto"/>
              </w:rPr>
            </w:pPr>
          </w:p>
        </w:tc>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spacing w:after="0"/>
              <w:rPr>
                <w:sz w:val="15"/>
                <w:szCs w:val="15"/>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9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4"/>
          </w:tcPr>
          <w:p>
            <w:pPr>
              <w:jc w:val="center"/>
              <w:ind w:right="152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6"/>
              </w:rPr>
              <w:t>Stephen A. Wynn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20" w:type="dxa"/>
            <w:vAlign w:val="bottom"/>
            <w:gridSpan w:val="3"/>
          </w:tcPr>
          <w:p>
            <w:pPr>
              <w:jc w:val="center"/>
              <w:ind w:right="154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President, Wynn International Marketing and 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9"/>
              </w:rPr>
              <w:t>Linda Chen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ind w:left="11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40" w:type="dxa"/>
            <w:vAlign w:val="bottom"/>
            <w:gridSpan w:val="5"/>
          </w:tcPr>
          <w:p>
            <w:pPr>
              <w:jc w:val="center"/>
              <w:ind w:right="12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USSELL</w:t>
            </w:r>
            <w:r>
              <w:rPr>
                <w:rFonts w:ascii="Arial" w:cs="Arial" w:eastAsia="Arial" w:hAnsi="Arial"/>
                <w:sz w:val="18"/>
                <w:szCs w:val="18"/>
                <w:color w:val="auto"/>
                <w:w w:val="99"/>
              </w:rPr>
              <w:t xml:space="preserve"> G</w:t>
            </w:r>
            <w:r>
              <w:rPr>
                <w:rFonts w:ascii="Arial" w:cs="Arial" w:eastAsia="Arial" w:hAnsi="Arial"/>
                <w:sz w:val="14"/>
                <w:szCs w:val="14"/>
                <w:color w:val="auto"/>
                <w:w w:val="99"/>
              </w:rPr>
              <w:t>OLDSMITH</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4"/>
              </w:rPr>
              <w:t>Russell Goldsmith</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20" w:type="dxa"/>
            <w:vAlign w:val="bottom"/>
            <w:gridSpan w:val="3"/>
          </w:tcPr>
          <w:p>
            <w:pPr>
              <w:jc w:val="center"/>
              <w:ind w:right="158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3"/>
              </w:rPr>
              <w:t>Dr. Ray R. Irani</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M</w:t>
            </w:r>
            <w:r>
              <w:rPr>
                <w:rFonts w:ascii="Arial" w:cs="Arial" w:eastAsia="Arial" w:hAnsi="Arial"/>
                <w:sz w:val="14"/>
                <w:szCs w:val="14"/>
                <w:color w:val="auto"/>
                <w:w w:val="96"/>
              </w:rPr>
              <w:t>ILLER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Robert J. Miller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John A. Moran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Kazuo Okada</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34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60" w:type="dxa"/>
            <w:vAlign w:val="bottom"/>
          </w:tcPr>
          <w:p>
            <w:pPr>
              <w:spacing w:after="0"/>
              <w:rPr>
                <w:sz w:val="24"/>
                <w:szCs w:val="2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ARC</w:t>
            </w:r>
            <w:r>
              <w:rPr>
                <w:rFonts w:ascii="Arial" w:cs="Arial" w:eastAsia="Arial" w:hAnsi="Arial"/>
                <w:sz w:val="18"/>
                <w:szCs w:val="18"/>
                <w:color w:val="auto"/>
                <w:w w:val="97"/>
              </w:rPr>
              <w:t xml:space="preserve"> S</w:t>
            </w:r>
            <w:r>
              <w:rPr>
                <w:rFonts w:ascii="Arial" w:cs="Arial" w:eastAsia="Arial" w:hAnsi="Arial"/>
                <w:sz w:val="14"/>
                <w:szCs w:val="14"/>
                <w:color w:val="auto"/>
                <w:w w:val="97"/>
              </w:rPr>
              <w:t>CHORR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Wynn Resorts, Limited and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6"/>
        </w:trPr>
        <w:tc>
          <w:tcPr>
            <w:tcW w:w="13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Director</w:t>
            </w: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0"/>
              </w:rPr>
              <w:t>Marc Schorr</w:t>
            </w:r>
          </w:p>
        </w:tc>
        <w:tc>
          <w:tcPr>
            <w:tcW w:w="4520" w:type="dxa"/>
            <w:vAlign w:val="bottom"/>
            <w:gridSpan w:val="3"/>
            <w:vMerge w:val="continue"/>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3"/>
            <w:vMerge w:val="continue"/>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340" w:type="dxa"/>
            <w:vAlign w:val="bottom"/>
          </w:tcPr>
          <w:p>
            <w:pPr>
              <w:ind w:left="11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40" w:type="dxa"/>
            <w:vAlign w:val="bottom"/>
            <w:gridSpan w:val="5"/>
          </w:tcPr>
          <w:p>
            <w:pPr>
              <w:jc w:val="center"/>
              <w:ind w:right="122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LVIN</w:t>
            </w:r>
            <w:r>
              <w:rPr>
                <w:rFonts w:ascii="Arial" w:cs="Arial" w:eastAsia="Arial" w:hAnsi="Arial"/>
                <w:sz w:val="18"/>
                <w:szCs w:val="18"/>
                <w:color w:val="auto"/>
                <w:w w:val="99"/>
              </w:rPr>
              <w:t xml:space="preserve"> V. S</w:t>
            </w:r>
            <w:r>
              <w:rPr>
                <w:rFonts w:ascii="Arial" w:cs="Arial" w:eastAsia="Arial" w:hAnsi="Arial"/>
                <w:sz w:val="14"/>
                <w:szCs w:val="14"/>
                <w:color w:val="auto"/>
                <w:w w:val="99"/>
              </w:rPr>
              <w:t>HOEMAKER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Alvin V. Shoemaker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4"/>
          </w:tcPr>
          <w:p>
            <w:pPr>
              <w:jc w:val="center"/>
              <w:ind w:right="1480"/>
              <w:spacing w:after="0"/>
              <w:rPr>
                <w:sz w:val="20"/>
                <w:szCs w:val="20"/>
                <w:color w:val="auto"/>
              </w:rPr>
            </w:pPr>
            <w:r>
              <w:rPr>
                <w:rFonts w:ascii="Arial" w:cs="Arial" w:eastAsia="Arial" w:hAnsi="Arial"/>
                <w:sz w:val="18"/>
                <w:szCs w:val="18"/>
                <w:color w:val="auto"/>
                <w:w w:val="96"/>
              </w:rPr>
              <w:t>D. B</w:t>
            </w:r>
            <w:r>
              <w:rPr>
                <w:rFonts w:ascii="Arial" w:cs="Arial" w:eastAsia="Arial" w:hAnsi="Arial"/>
                <w:sz w:val="14"/>
                <w:szCs w:val="14"/>
                <w:color w:val="auto"/>
                <w:w w:val="96"/>
              </w:rPr>
              <w:t>OONE</w:t>
            </w:r>
            <w:r>
              <w:rPr>
                <w:rFonts w:ascii="Arial" w:cs="Arial" w:eastAsia="Arial" w:hAnsi="Arial"/>
                <w:sz w:val="18"/>
                <w:szCs w:val="18"/>
                <w:color w:val="auto"/>
                <w:w w:val="96"/>
              </w:rPr>
              <w:t xml:space="preserve"> W</w:t>
            </w:r>
            <w:r>
              <w:rPr>
                <w:rFonts w:ascii="Arial" w:cs="Arial" w:eastAsia="Arial" w:hAnsi="Arial"/>
                <w:sz w:val="14"/>
                <w:szCs w:val="14"/>
                <w:color w:val="auto"/>
                <w:w w:val="96"/>
              </w:rPr>
              <w:t>AYSON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5"/>
              </w:rPr>
              <w:t>D. Boone Wayson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7"/>
              </w:rPr>
              <w:t>Elaine P. Wynn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4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60" w:type="dxa"/>
            <w:vAlign w:val="bottom"/>
          </w:tcPr>
          <w:p>
            <w:pPr>
              <w:spacing w:after="0"/>
              <w:rPr>
                <w:sz w:val="24"/>
                <w:szCs w:val="2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0"/>
        </w:trPr>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1"/>
              </w:rPr>
              <w:t>Allan Zeman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40" w:type="dxa"/>
            <w:vAlign w:val="bottom"/>
          </w:tcPr>
          <w:p>
            <w:pPr>
              <w:spacing w:after="0"/>
              <w:rPr>
                <w:sz w:val="15"/>
                <w:szCs w:val="15"/>
                <w:color w:val="auto"/>
              </w:rPr>
            </w:pPr>
          </w:p>
        </w:tc>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58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00" w:type="dxa"/>
            <w:vAlign w:val="bottom"/>
            <w:gridSpan w:val="3"/>
          </w:tcPr>
          <w:p>
            <w:pPr>
              <w:jc w:val="center"/>
              <w:ind w:right="14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and President (Principal</w:t>
            </w:r>
          </w:p>
        </w:tc>
        <w:tc>
          <w:tcPr>
            <w:tcW w:w="1940" w:type="dxa"/>
            <w:vAlign w:val="bottom"/>
            <w:gridSpan w:val="3"/>
          </w:tcPr>
          <w:p>
            <w:pPr>
              <w:jc w:val="center"/>
              <w:ind w:left="55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6"/>
        </w:trPr>
        <w:tc>
          <w:tcPr>
            <w:tcW w:w="1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436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80" w:type="dxa"/>
            <w:vAlign w:val="bottom"/>
          </w:tcPr>
          <w:p>
            <w:pPr>
              <w:spacing w:after="0"/>
              <w:rPr>
                <w:sz w:val="7"/>
                <w:szCs w:val="7"/>
                <w:color w:val="auto"/>
              </w:rPr>
            </w:pPr>
          </w:p>
        </w:tc>
        <w:tc>
          <w:tcPr>
            <w:tcW w:w="3000" w:type="dxa"/>
            <w:vAlign w:val="bottom"/>
            <w:gridSpan w:val="3"/>
            <w:vMerge w:val="restart"/>
          </w:tcPr>
          <w:p>
            <w:pPr>
              <w:jc w:val="center"/>
              <w:ind w:right="1560"/>
              <w:spacing w:after="0"/>
              <w:rPr>
                <w:sz w:val="20"/>
                <w:szCs w:val="20"/>
                <w:color w:val="auto"/>
              </w:rPr>
            </w:pPr>
            <w:r>
              <w:rPr>
                <w:rFonts w:ascii="Arial" w:cs="Arial" w:eastAsia="Arial" w:hAnsi="Arial"/>
                <w:sz w:val="14"/>
                <w:szCs w:val="14"/>
                <w:b w:val="1"/>
                <w:bCs w:val="1"/>
                <w:color w:val="auto"/>
                <w:w w:val="89"/>
              </w:rPr>
              <w:t>Marilyn Spiegel</w:t>
            </w:r>
          </w:p>
        </w:tc>
        <w:tc>
          <w:tcPr>
            <w:tcW w:w="436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80" w:type="dxa"/>
            <w:vAlign w:val="bottom"/>
          </w:tcPr>
          <w:p>
            <w:pPr>
              <w:spacing w:after="0"/>
              <w:rPr>
                <w:sz w:val="15"/>
                <w:szCs w:val="15"/>
                <w:color w:val="auto"/>
              </w:rPr>
            </w:pPr>
          </w:p>
        </w:tc>
        <w:tc>
          <w:tcPr>
            <w:tcW w:w="300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580" w:type="dxa"/>
            <w:vAlign w:val="bottom"/>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00" w:type="dxa"/>
            <w:vAlign w:val="bottom"/>
            <w:gridSpan w:val="3"/>
          </w:tcPr>
          <w:p>
            <w:pPr>
              <w:jc w:val="center"/>
              <w:ind w:right="1460"/>
              <w:spacing w:after="0"/>
              <w:rPr>
                <w:sz w:val="20"/>
                <w:szCs w:val="20"/>
                <w:color w:val="auto"/>
              </w:rPr>
            </w:pPr>
            <w:r>
              <w:rPr>
                <w:rFonts w:ascii="Arial" w:cs="Arial" w:eastAsia="Arial" w:hAnsi="Arial"/>
                <w:sz w:val="18"/>
                <w:szCs w:val="18"/>
                <w:color w:val="auto"/>
                <w:w w:val="93"/>
              </w:rPr>
              <w:t>S</w:t>
            </w:r>
            <w:r>
              <w:rPr>
                <w:rFonts w:ascii="Arial" w:cs="Arial" w:eastAsia="Arial" w:hAnsi="Arial"/>
                <w:sz w:val="14"/>
                <w:szCs w:val="14"/>
                <w:color w:val="auto"/>
                <w:w w:val="93"/>
              </w:rPr>
              <w:t>COTT</w:t>
            </w:r>
            <w:r>
              <w:rPr>
                <w:rFonts w:ascii="Arial" w:cs="Arial" w:eastAsia="Arial" w:hAnsi="Arial"/>
                <w:sz w:val="18"/>
                <w:szCs w:val="18"/>
                <w:color w:val="auto"/>
                <w:w w:val="93"/>
              </w:rPr>
              <w:t xml:space="preserve"> P</w:t>
            </w:r>
            <w:r>
              <w:rPr>
                <w:rFonts w:ascii="Arial" w:cs="Arial" w:eastAsia="Arial" w:hAnsi="Arial"/>
                <w:sz w:val="14"/>
                <w:szCs w:val="14"/>
                <w:color w:val="auto"/>
                <w:w w:val="93"/>
              </w:rPr>
              <w:t>ETERSON</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940" w:type="dxa"/>
            <w:vAlign w:val="bottom"/>
            <w:gridSpan w:val="3"/>
          </w:tcPr>
          <w:p>
            <w:pPr>
              <w:jc w:val="center"/>
              <w:ind w:left="55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116"/>
        </w:trPr>
        <w:tc>
          <w:tcPr>
            <w:tcW w:w="1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436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Financial and Accounting Officer)</w:t>
            </w: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80" w:type="dxa"/>
            <w:vAlign w:val="bottom"/>
          </w:tcPr>
          <w:p>
            <w:pPr>
              <w:spacing w:after="0"/>
              <w:rPr>
                <w:sz w:val="7"/>
                <w:szCs w:val="7"/>
                <w:color w:val="auto"/>
              </w:rPr>
            </w:pPr>
          </w:p>
        </w:tc>
        <w:tc>
          <w:tcPr>
            <w:tcW w:w="3000" w:type="dxa"/>
            <w:vAlign w:val="bottom"/>
            <w:gridSpan w:val="3"/>
            <w:vMerge w:val="restart"/>
          </w:tcPr>
          <w:p>
            <w:pPr>
              <w:jc w:val="center"/>
              <w:ind w:right="1560"/>
              <w:spacing w:after="0"/>
              <w:rPr>
                <w:sz w:val="20"/>
                <w:szCs w:val="20"/>
                <w:color w:val="auto"/>
              </w:rPr>
            </w:pPr>
            <w:r>
              <w:rPr>
                <w:rFonts w:ascii="Arial" w:cs="Arial" w:eastAsia="Arial" w:hAnsi="Arial"/>
                <w:sz w:val="14"/>
                <w:szCs w:val="14"/>
                <w:b w:val="1"/>
                <w:bCs w:val="1"/>
                <w:color w:val="auto"/>
                <w:w w:val="84"/>
              </w:rPr>
              <w:t>Scott Peterson</w:t>
            </w:r>
          </w:p>
        </w:tc>
        <w:tc>
          <w:tcPr>
            <w:tcW w:w="4360" w:type="dxa"/>
            <w:vAlign w:val="bottom"/>
            <w:gridSpan w:val="3"/>
            <w:vMerge w:val="continue"/>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80" w:type="dxa"/>
            <w:vAlign w:val="bottom"/>
          </w:tcPr>
          <w:p>
            <w:pPr>
              <w:spacing w:after="0"/>
              <w:rPr>
                <w:sz w:val="15"/>
                <w:szCs w:val="15"/>
                <w:color w:val="auto"/>
              </w:rPr>
            </w:pPr>
          </w:p>
        </w:tc>
        <w:tc>
          <w:tcPr>
            <w:tcW w:w="300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tcPr>
          <w:p>
            <w:pPr>
              <w:ind w:left="104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59" w:right="77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7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29, 2012</w:t>
      </w:r>
    </w:p>
    <w:p>
      <w:pPr>
        <w:spacing w:after="0" w:line="200" w:lineRule="exact"/>
        <w:rPr>
          <w:sz w:val="20"/>
          <w:szCs w:val="20"/>
          <w:color w:val="auto"/>
        </w:rPr>
      </w:pPr>
    </w:p>
    <w:p>
      <w:pPr>
        <w:spacing w:after="0" w:line="268" w:lineRule="exact"/>
        <w:rPr>
          <w:sz w:val="20"/>
          <w:szCs w:val="20"/>
          <w:color w:val="auto"/>
        </w:rPr>
      </w:pPr>
    </w:p>
    <w:p>
      <w:pPr>
        <w:ind w:left="8300"/>
        <w:spacing w:after="0"/>
        <w:tabs>
          <w:tab w:leader="none" w:pos="8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7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29, 2012</w:t>
      </w:r>
    </w:p>
    <w:p>
      <w:pPr>
        <w:spacing w:after="0" w:line="200" w:lineRule="exact"/>
        <w:rPr>
          <w:sz w:val="20"/>
          <w:szCs w:val="20"/>
          <w:color w:val="auto"/>
        </w:rPr>
      </w:pPr>
    </w:p>
    <w:p>
      <w:pPr>
        <w:spacing w:after="0" w:line="268" w:lineRule="exact"/>
        <w:rPr>
          <w:sz w:val="20"/>
          <w:szCs w:val="20"/>
          <w:color w:val="auto"/>
        </w:rPr>
      </w:pPr>
    </w:p>
    <w:p>
      <w:pPr>
        <w:ind w:left="8320"/>
        <w:spacing w:after="0"/>
        <w:tabs>
          <w:tab w:leader="none" w:pos="8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2011 as filed with the Securities and Exchange Commission on the date hereof (the “Report”), Marilyn Spiegel, as Chief Operating Officer of the Company, and Scott Peterson,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27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tc>
      </w:tr>
      <w:tr>
        <w:trPr>
          <w:trHeight w:val="202"/>
        </w:trPr>
        <w:tc>
          <w:tcPr>
            <w:tcW w:w="2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Marilyn Spiegel</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40" w:type="dxa"/>
            <w:vAlign w:val="bottom"/>
          </w:tcPr>
          <w:p>
            <w:pPr>
              <w:ind w:left="200"/>
              <w:spacing w:after="0"/>
              <w:rPr>
                <w:sz w:val="20"/>
                <w:szCs w:val="20"/>
                <w:color w:val="auto"/>
              </w:rPr>
            </w:pPr>
            <w:r>
              <w:rPr>
                <w:rFonts w:ascii="Arial" w:cs="Arial" w:eastAsia="Arial" w:hAnsi="Arial"/>
                <w:sz w:val="18"/>
                <w:szCs w:val="18"/>
                <w:color w:val="auto"/>
              </w:rPr>
              <w:t>President</w:t>
            </w:r>
          </w:p>
        </w:tc>
        <w:tc>
          <w:tcPr>
            <w:tcW w:w="2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February 29, 2012</w:t>
            </w:r>
          </w:p>
        </w:tc>
      </w:tr>
      <w:tr>
        <w:trPr>
          <w:trHeight w:val="433"/>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292"/>
              <w:spacing w:after="0"/>
              <w:rPr>
                <w:sz w:val="20"/>
                <w:szCs w:val="20"/>
                <w:color w:val="auto"/>
              </w:rPr>
            </w:pPr>
            <w:r>
              <w:rPr>
                <w:rFonts w:ascii="Arial" w:cs="Arial" w:eastAsia="Arial" w:hAnsi="Arial"/>
                <w:sz w:val="18"/>
                <w:szCs w:val="18"/>
                <w:color w:val="auto"/>
                <w:w w:val="94"/>
              </w:rPr>
              <w:t>S</w:t>
            </w:r>
            <w:r>
              <w:rPr>
                <w:rFonts w:ascii="Arial" w:cs="Arial" w:eastAsia="Arial" w:hAnsi="Arial"/>
                <w:sz w:val="14"/>
                <w:szCs w:val="14"/>
                <w:color w:val="auto"/>
                <w:w w:val="94"/>
              </w:rPr>
              <w:t>COTT</w:t>
            </w:r>
            <w:r>
              <w:rPr>
                <w:rFonts w:ascii="Arial" w:cs="Arial" w:eastAsia="Arial" w:hAnsi="Arial"/>
                <w:sz w:val="18"/>
                <w:szCs w:val="18"/>
                <w:color w:val="auto"/>
                <w:w w:val="94"/>
              </w:rPr>
              <w:t xml:space="preserve"> P</w:t>
            </w:r>
            <w:r>
              <w:rPr>
                <w:rFonts w:ascii="Arial" w:cs="Arial" w:eastAsia="Arial" w:hAnsi="Arial"/>
                <w:sz w:val="14"/>
                <w:szCs w:val="14"/>
                <w:color w:val="auto"/>
                <w:w w:val="94"/>
              </w:rPr>
              <w:t>ETERSON</w:t>
            </w:r>
          </w:p>
        </w:tc>
      </w:tr>
      <w:tr>
        <w:trPr>
          <w:trHeight w:val="202"/>
        </w:trPr>
        <w:tc>
          <w:tcPr>
            <w:tcW w:w="2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Scott Peterson</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w w:val="94"/>
              </w:rPr>
              <w:t>Chief Financial Officer and Senior Vice President</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February 29, 2012</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decimal"/>
      <w:start w:val="9"/>
    </w:lvl>
  </w:abstractNum>
  <w:abstractNum w:abstractNumId="20">
    <w:nsid w:val="54E49EB4"/>
    <w:multiLevelType w:val="hybridMultilevel"/>
    <w:lvl w:ilvl="0">
      <w:lvlJc w:val="left"/>
      <w:lvlText w:val="%1."/>
      <w:numFmt w:val="decimal"/>
      <w:start w:val="11"/>
    </w:lvl>
  </w:abstractNum>
  <w:abstractNum w:abstractNumId="21">
    <w:nsid w:val="71F32454"/>
    <w:multiLevelType w:val="hybridMultilevel"/>
    <w:lvl w:ilvl="0">
      <w:lvlJc w:val="left"/>
      <w:lvlText w:val="%1."/>
      <w:numFmt w:val="decimal"/>
      <w:start w:val="12"/>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3"/>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32"/>
    </w:lvl>
  </w:abstractNum>
  <w:abstractNum w:abstractNumId="27">
    <w:nsid w:val="1E7FF521"/>
    <w:multiLevelType w:val="hybridMultilevel"/>
    <w:lvl w:ilvl="0">
      <w:lvlJc w:val="left"/>
      <w:lvlText w:val="*"/>
      <w:numFmt w:val="bullet"/>
      <w:start w:val="1"/>
    </w:lvl>
    <w:lvl w:ilvl="1">
      <w:lvlJc w:val="left"/>
      <w:lvlText w:val="%2"/>
      <w:numFmt w:val="decimal"/>
      <w:start w:val="10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0"/>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2019-12-09T14:43:58Z</dcterms:created>
  <dcterms:modified xsi:type="dcterms:W3CDTF">2019-12-09T14:43:58Z</dcterms:modified>
</cp:coreProperties>
</file>