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342265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256540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700" w:hanging="665"/>
        <w:spacing w:after="0"/>
        <w:tabs>
          <w:tab w:leader="none" w:pos="7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w:t>
      </w:r>
    </w:p>
    <w:p>
      <w:pPr>
        <w:spacing w:after="0" w:line="1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182880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39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88-0494875</w:t>
            </w:r>
          </w:p>
        </w:tc>
      </w:tr>
      <w:tr>
        <w:trPr>
          <w:trHeight w:val="178"/>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-125095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4"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 w:lineRule="exact"/>
        <w:rPr>
          <w:sz w:val="24"/>
          <w:szCs w:val="24"/>
          <w:color w:val="auto"/>
        </w:rPr>
      </w:pPr>
    </w:p>
    <w:p>
      <w:pPr>
        <w:ind w:right="2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45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660" w:right="2020" w:hanging="224"/>
        <w:spacing w:after="0" w:line="26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30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Las Vegas Holdings, LLC owns all of the membership interests of the Registrant as of November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146685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60960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September 30, 2015 (unaudited) and December 31,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(Loss) (unaudited) – Three and Nine Months Ended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September 30, 2015 and 2014</w:t>
              </w:r>
            </w:hyperlink>
          </w:p>
        </w:tc>
        <w:tc>
          <w:tcPr>
            <w:tcW w:w="626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Cash Flows (unaudited) – Nine Months Ended September 30, 2015 and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19</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4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1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53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31</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32</w:t>
              </w:r>
            </w:hyperlink>
          </w:p>
        </w:tc>
      </w:tr>
      <w:tr>
        <w:trPr>
          <w:trHeight w:val="669"/>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7"/>
          </w:tcPr>
          <w:p>
            <w:pPr>
              <w:ind w:left="4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9"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LAS VEGAS, LLC AND SUBSIDIARIES (A WHOLLY OWNED INDIRECT SUBSIDIARY OF WYNN RESORTS, LIMITED) CONDENSED CONSOLIDATED BALANCE SHEETS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86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266,360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163,006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32,925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234,052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510,540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2,826,656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2,892,929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30,256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4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6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3,140,176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3,472,931</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46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68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jc w:val="center"/>
              <w:ind w:right="4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MEMBER'S DEFICIT</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4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42,783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deposits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108,432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Gaming taxes payable</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13,697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50,751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56,536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4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250,395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311,359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affiliates, net</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3,452,510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3,512,881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deficit:</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Contributed capital</w:t>
            </w:r>
          </w:p>
        </w:tc>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1,124,346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(1,164,296)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member's deficit</w:t>
            </w:r>
          </w:p>
        </w:tc>
        <w:tc>
          <w:tcPr>
            <w:tcW w:w="4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w:t>
            </w:r>
          </w:p>
        </w:tc>
        <w:tc>
          <w:tcPr>
            <w:tcW w:w="0" w:type="dxa"/>
            <w:vAlign w:val="bottom"/>
          </w:tcPr>
          <w:p>
            <w:pPr>
              <w:spacing w:after="0"/>
              <w:rPr>
                <w:sz w:val="1"/>
                <w:szCs w:val="1"/>
                <w:color w:val="auto"/>
              </w:rPr>
            </w:pPr>
          </w:p>
        </w:tc>
      </w:tr>
      <w:tr>
        <w:trPr>
          <w:trHeight w:val="223"/>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4660" w:type="dxa"/>
            <w:vAlign w:val="bottom"/>
            <w:vMerge w:val="restart"/>
          </w:tcPr>
          <w:p>
            <w:pPr>
              <w:spacing w:after="0"/>
              <w:rPr>
                <w:sz w:val="19"/>
                <w:szCs w:val="1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3,140,176</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3,472,931</w:t>
            </w:r>
          </w:p>
        </w:tc>
        <w:tc>
          <w:tcPr>
            <w:tcW w:w="0" w:type="dxa"/>
            <w:vAlign w:val="bottom"/>
          </w:tcPr>
          <w:p>
            <w:pPr>
              <w:spacing w:after="0"/>
              <w:rPr>
                <w:sz w:val="1"/>
                <w:szCs w:val="1"/>
                <w:color w:val="auto"/>
              </w:rPr>
            </w:pPr>
          </w:p>
        </w:tc>
      </w:tr>
      <w:tr>
        <w:trPr>
          <w:trHeight w:val="351"/>
        </w:trPr>
        <w:tc>
          <w:tcPr>
            <w:tcW w:w="36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2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277"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152,149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178,623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448,617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516,436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313,527</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400,573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170,563</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455,788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477,046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1,352,631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1,401,099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(140,241)</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411,160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428,145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1,221,626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1,260,858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77,648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232,476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108,822</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95,527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253,117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97,405</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193,180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4,840</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133,864</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358,468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358,213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1,062,832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1,041,988</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69,932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158,794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218,870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(154,060)</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(160,982)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57,888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57,888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7"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57,888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133,864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other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41,560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affiliates,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13,715</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228,955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Deposits and purchase of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1,314</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parent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first mortgage notes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(75,986)</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116,572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231,156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347,728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7"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left="260" w:right="2380"/>
        <w:spacing w:after="0" w:line="255" w:lineRule="auto"/>
        <w:rPr>
          <w:sz w:val="20"/>
          <w:szCs w:val="20"/>
          <w:color w:val="auto"/>
        </w:rPr>
      </w:pPr>
      <w:r>
        <w:rPr>
          <w:rFonts w:ascii="Times New Roman" w:cs="Times New Roman" w:eastAsia="Times New Roman" w:hAnsi="Times New Roman"/>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Wynn America, LLC ("Wynn America") is a direct wholly owned subsidiary of Wynn Resorts Holdings, LLC ("Holdings") and Holdings is a direct wholly owned subsidiary of Wynn Resorts, Limited ("Wynn Resorts"). Wynn America was created in September 2014 in connection with a senior secured credit facility ("Wynn America Credit Facilities"). Pursuant to the terms of the Wynn America Credit Facilities, Wynn America agreed to use commercially reasonable efforts to cause a corporate restructuring (the “Wynn Las Vegas Reorganization”) that would result in Wynn Las Vegas Holdings, LLC (“WLVH”), a direct wholly owned subsidiary of Wynn America, being the 100% owner of the Company. Approvals required under applicable gaming laws and regulations with respect to the Wynn Las Vegas Reorganization were obtained on August 20, 2015. On September 1, 2015, Holdings transferred its equity interest in the Company to WLVH and effectuated the Wynn Las Vegas Reorganization.</w:t>
      </w:r>
    </w:p>
    <w:p>
      <w:pPr>
        <w:spacing w:after="0" w:line="18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Wynn Las Vegas Capital Corp. ("Wynn Capital") is a wholly owned subsidiary of the Company organized solely for the purpose of obtaining financing for Wynn Las Vegas. Wynn Capital is authorized to issue 2,000 shares of common stock, par value $0.01. At September 30, 2015, the Company owned the one share that was issued and outstanding. Wynn Capital has neither any significant net assets nor has had any operating activity. Its sole function is to serve as the co-issuer of the mortgage and senior notes. Wynn Las Vegas, LLC and Wynn Capital together are hereinafter referred to as the "Issuers".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80" w:firstLine="432"/>
        <w:spacing w:after="0" w:line="289"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which was permanently closed in October 2015, is accounted for under the equity method. All significant intercompany accounts and transactions have been eliminated.</w:t>
      </w:r>
    </w:p>
    <w:p>
      <w:pPr>
        <w:spacing w:after="0" w:line="1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Cash equivalents are carried at cost, which approximates fair value.</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4" w:right="25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2015 and December 31, 2014, approximately 77% and 80%,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and other cash incentives related to casino play are recorded as a reduction to casino revenues.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revenues; consequently, the Company's casino revenues are reduced by discounts and points earned by customers from the Company's loyalty program.</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26,281</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49,648</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8,412</w:t>
            </w:r>
          </w:p>
        </w:tc>
      </w:tr>
      <w:tr>
        <w:trPr>
          <w:trHeight w:val="237"/>
        </w:trPr>
        <w:tc>
          <w:tcPr>
            <w:tcW w:w="4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27,282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29,606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80,446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84,341</w:t>
            </w:r>
          </w:p>
        </w:tc>
      </w:tr>
      <w:tr>
        <w:trPr>
          <w:trHeight w:val="27"/>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480"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 in which it operates, subject to applicable jurisdictional adjustments. These gaming taxes are an assessment on the Company's gross gaming revenues and are recorded as casino expenses in the accompanying Condensed Consolidated Statements of Comprehensive Income (Loss). These taxes totaled $11.0 million and $12.8 million for the three months ended September 30, 2015 and 2014, respectively, and totaled $32.0 million and $37.2 million for the nine months ended September 30, 2015 and 2014, respectively.</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4" w:right="25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the three months ended September 30, 2015 and 2014, the Company recorded $0.6 million and $0.8 million, respectively, in stock-based compensation with a corresponding increase to contributed capital. For the nine months ended September 30, 2015 and 2014, the Company recorded $2.1 million and $2.8 million, respectively, in stock-based compensation with a corresponding increase to contributed capital.</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an accounting standards update which changes the measurement principle for inventories valued under the first-in, first-out or weighted-average methods from the lower of cost or market to the lower of cost and net realizable value. Net realizable value is defined by FASB as estimated selling prices in the ordinary course of business, less reasonably predictable costs of completion, disposal and transportation. The effective date for this guidance is for financial statements issued for fiscal years beginning after December 15, 2016, and interim periods within those fiscal years. The Company is currently assessing the impact the adoption of this standard will have on its consolidated financial statements.</w:t>
      </w:r>
    </w:p>
    <w:p>
      <w:pPr>
        <w:spacing w:after="0" w:line="18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standards update which clarifies that the guidance issued in April 2015 does not apply to line-of-credit arrangements. According to the additional guidance, line-of-credit arrangements will continue to present debt issuance costs as an asset and subsequently amortize the deferred debt issuance costs ratably over the term of the arrangement. The effective date for this guidance is for financial statements issued for fiscal years beginning after December 15, 2015, and interim periods within those fiscal years. Early application is permitted. The Company will adopt this guidance effective January 1, 2016. The Company does not anticipate the adoption of this guidance will have a material effect on the Company's financial condition, results of operations or cash flows.</w:t>
      </w:r>
    </w:p>
    <w:p>
      <w:pPr>
        <w:spacing w:after="0" w:line="18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generally accepted accounting principles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4" w:right="25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185,071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17,790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155,521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217,734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105,102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163,006</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623,741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2,627,638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2,632,997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1,401,351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1,398,323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4,664,364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4,661,032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2,826,656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2,892,929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 7/8% First Mortgage Notes, due May 1, 2020, net of original issue discount of $1,647 at December 31, 2014</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345,363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 3/4% First Mortgage Notes, due August 15, 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1,226,600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Payable to Affiliate</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7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22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amounts of the 7 7/8% first mortgage notes due May 1, 2020 (the "7 7/8% 2020 Notes") and the 7 3/4% first mortgage notes due August 15, 2020 (the "7 3/4% 2020 Notes" and together with the 7 7/8% 2020 Notes, the "2020 Notes"). The Company accepted for purchase valid tenders with respect to approximately $305.8 million of the $377.0 million aggregate principal amount of the 7 7/8% 2020 Notes and approximately $1,146.5 million of the $1,226.6 million aggregate principal amount of the 7 3/4% 2020 Notes. The note holders who validly tendered their 2020 Notes received the total consideration of $1,054.21 for each $1,000 principal amount of 7 7/8% 2020 Notes and $1,073.82 for each $1,000 principal amount of 7 3/4% 2020 Notes. The premium portion of the aggregate total consideration was approximately $101.2 million and was recorded as a loss on extinguishment of debt in the accompanying Condensed Consolidated Statements of Comprehensive Income (Loss). The Company satisfied and discharged the indentures under which the 2020 Notes were issued and redeemed the untendered 7 7/8% 2020 Notes on May 1, 2015 and the 7 3/4% 2020 Notes on August 15, 2015.</w:t>
      </w:r>
    </w:p>
    <w:p>
      <w:pPr>
        <w:spacing w:after="0" w:line="189"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Also in connection with this transaction, the Company expensed $17.2 million of unamortized deferred financing costs and original issue discount related to the 2020 Notes and incurred other fees of approximately $0.1 million that are included in loss on extinguishment of debt in the accompanying Condensed Consolidated Statements of Comprehensive Income (Loss).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Comprehensive Income (Loss).</w:t>
      </w:r>
    </w:p>
    <w:p>
      <w:pPr>
        <w:spacing w:after="0" w:line="176" w:lineRule="exact"/>
        <w:rPr>
          <w:sz w:val="20"/>
          <w:szCs w:val="20"/>
          <w:color w:val="auto"/>
        </w:rPr>
      </w:pPr>
    </w:p>
    <w:p>
      <w:pPr>
        <w:jc w:val="both"/>
        <w:ind w:right="520" w:firstLine="432"/>
        <w:spacing w:after="0" w:line="266" w:lineRule="auto"/>
        <w:rPr>
          <w:sz w:val="20"/>
          <w:szCs w:val="20"/>
          <w:color w:val="auto"/>
        </w:rPr>
      </w:pPr>
      <w:r>
        <w:rPr>
          <w:rFonts w:ascii="Times New Roman" w:cs="Times New Roman" w:eastAsia="Times New Roman" w:hAnsi="Times New Roman"/>
          <w:sz w:val="18"/>
          <w:szCs w:val="18"/>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Condensed Consolidated Statements of Comprehensive Income (Loss).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1/2% Senior Notes due 2025</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Capital, which was a co-issuer) and U.S. Bank National Association, as trustee. The 2025 Notes were issued at par. The Company used the net proceeds from the 2025 Notes to cover the cost of purchasing the 2020 Notes and for general corporate purposes. In connection with the issuance of the 2025 Notes, the Company capitalized approximately $25.2 million of financing costs.</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3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outstanding 5 3/8% first mortgage notes due March 15, 2022 and the 4 1/4% senior notes due May 30, 2023 (together, the "Existing Notes"). The 2025 Notes are unsecured (except by the first priority pledge by WLVH of its equity interests in Wynn Las Vegas), effectiveness of which is subject to the prior approval of the Nevada gaming authorities. Such equity interests in Wynn Las Vegas also secure the Existing Notes. If Wynn Resorts receives an investment grade rating from one or more ratings agencies, the first priority pledge securing the 2025 Notes will be released.</w:t>
      </w: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all of the Issuers' subsidiaries' (as guarantors), other than Wynn Capital,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2015, management believes the Company was in compliance with all debt covenants.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of Long Term Debt</w:t>
      </w:r>
    </w:p>
    <w:p>
      <w:pPr>
        <w:spacing w:after="0" w:line="227"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September 30, 2015 and December 31, 2014 was approximately $2.8 billion and $3.1 billion, respectively, compared to its carrying value of $3.2 billion and $3.0 billion, respectively. The estimated fair value of the Company's long-term debt is based on recent trades, if available, and indicative pricing from market information (Level 2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Amounts Due to Affiliates, net</w:t>
      </w:r>
    </w:p>
    <w:p>
      <w:pPr>
        <w:spacing w:after="0" w:line="22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Company periodically settles net amounts due to affiliates with cash payments. As of September 30, 2015, the Company's net current due to affiliates of $13.8 million was comprised of management and license fees, construction related payables and corporate allocations. As of December 31, 2014, net amounts due to affiliates of $14.3 million consisted of construction related payables and corporate allocations.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As of September 30, 2015, the Company has no long-term due to affiliates while as of December 31, 2014, the Company's net long term due to affiliates of $194.6 million, consisted of management fees. In March 2015, the Company paid $192.8 million in accrued management fees as the Company is no longer subject to certain restrictive covenants of the indentures under which the 2020 Notes were issued ("2020 Indentures"). The Company discharged the 2020 Indentures as a result of the cash tender offer of the 2020 Notes and subsequent redemption of untendered notes. The Company expects future management fee payments to be made on a recurring basis.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Management fee and corporate allocations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Under the agreement, the Company also pays a management fee of 1.5% of net revenues.</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4" w:right="25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and 2014, $9.6 million and $14.4 million, respectively, were charged to the Company under the corporate support services agreement. For the nine months ended September 30, 2015 and 2014, $28.9 million and $39.7 million, respectively, were charged to the Company under the corporate support services agreement.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new license agreement which requires payment of fees equal to 1.5% of gross monthly revenues so long as the original license agreement is in effect and not terminated, and 3.0% subsequent to termination of the original license agreement. As of September 30, 2015, the original agreement is in effect and not terminated. For the three and nine months ended September 30, 2015, $6.8 million and $16.1 million of license fees were charged to the Company respectively. No license fees were charged to the Company for the three and nine months ended September 30, 2014.</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the fair market value of the accommodations. Pursuant to the SW Lease, Wynn Las Vegas pays for all capital improvements to the villa. The fair value is based on independent third-party expert opinions of value, and was $525,000 per year through February 28, 2015 and $559,295 per year from March 1, 2015 through February 28, 2017. The annual rent for the villa will be re-determined every two years during the term of the SW Lease, by the Audit Committee. Certain services for, and maintenance of, the villa are included in the annual rent.</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Golf Course Lease</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September 18, 2012, the Company distributed the Wynn Las Vegas golf course land and the related water rights to Wynn Resorts, Limited.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 for both the golf course land and the water rights is $598,000 per month.</w:t>
      </w: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14" w:right="27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Charges and Other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charges and other were minimal for the periods presented and consisted of costs associated with miscellaneous renovations and abandonments.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227"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Corporate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8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1"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114" w:right="29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8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8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February 13, 2015, Wynn Resorts issued a check for the interest payment due at that time to the clerk of the court for deposit into the clerk's trust account.</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9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The trial is scheduled to begin on February 6, 2017.</w:t>
      </w:r>
    </w:p>
    <w:p>
      <w:pPr>
        <w:spacing w:after="0" w:line="17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lawsuit is currently in the discovery phase of litigation. 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8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Management has determined that based on proceedings to date, it is currently unable to determine the probability of the outcome of this action or the range of reasonably possible loss, if any.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Wynn Resorts'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firstLine="405"/>
        <w:spacing w:after="0" w:line="313" w:lineRule="auto"/>
        <w:rPr>
          <w:sz w:val="20"/>
          <w:szCs w:val="20"/>
          <w:color w:val="auto"/>
        </w:rPr>
      </w:pPr>
      <w:r>
        <w:rPr>
          <w:rFonts w:ascii="Times New Roman" w:cs="Times New Roman" w:eastAsia="Times New Roman" w:hAnsi="Times New Roman"/>
          <w:sz w:val="17"/>
          <w:szCs w:val="17"/>
          <w:color w:val="auto"/>
        </w:rPr>
        <w:t>Wynn Resorts believes the claims are without merit and will vigorously defend the Wynn Macau Parties against them. Management has determined that based on proceedings to date, it is currently unable to determine the probability of the outcome of this matter or the range of reasonably possible loss, if any.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Wynn Resorts filed a response on December 18, 2014 and the Federal Plaintiffs filed a reply brief on January 30, 2015.</w:t>
      </w:r>
    </w:p>
    <w:p>
      <w:pPr>
        <w:spacing w:after="0" w:line="19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 (3) gross mismanagement;</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7"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Member's Equity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26, 2015, the Company distributed $50.0 million in cash to Wynn Resorts, Limited.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July 7, 2015, the Company distributed $120.0 million in cash to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114" w:right="27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5 acres adjacent to the golf course on which an office building is located. We lease approximately 140 acres where the golf course is located, along with related water rights, from Wynn Resorts.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Wynn Las Vegas | Encore features the following as of October 15, 2015:</w:t>
      </w:r>
    </w:p>
    <w:p>
      <w:pPr>
        <w:spacing w:after="0" w:line="279" w:lineRule="exact"/>
        <w:rPr>
          <w:sz w:val="20"/>
          <w:szCs w:val="20"/>
          <w:color w:val="auto"/>
        </w:rPr>
      </w:pPr>
    </w:p>
    <w:p>
      <w:pPr>
        <w:ind w:left="900" w:right="3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with 232 table games and 1,861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guest rooms, suites and villas;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food and beverage outlets featuring signature chefs;</w:t>
      </w:r>
    </w:p>
    <w:p>
      <w:pPr>
        <w:spacing w:after="0" w:line="117" w:lineRule="exact"/>
        <w:rPr>
          <w:rFonts w:ascii="Times New Roman" w:cs="Times New Roman" w:eastAsia="Times New Roman" w:hAnsi="Times New Roman"/>
          <w:sz w:val="18"/>
          <w:szCs w:val="18"/>
          <w:color w:val="auto"/>
        </w:rPr>
      </w:pPr>
    </w:p>
    <w:p>
      <w:pPr>
        <w:jc w:val="both"/>
        <w:ind w:left="900" w:right="36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Moncler, Nicholas Kirkwood, Oscar de la Renta, Piaget, Prada, Rolex, Vertu and others;</w:t>
      </w:r>
    </w:p>
    <w:p>
      <w:pPr>
        <w:spacing w:after="0" w:line="6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designed theater presenting "Le Rêve-The Dream," a water-based theatrical production and a theater presenting "Steve Wynn's ShowStoppers," a Broadway-style entertainment production;</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 and</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Wedding chapel.</w:t>
      </w: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Construction and Future Development</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property and the reactions of our guests, we have made and expect to continue to remodel and make enhancements and refinements to our resort.</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June 2015, we began the remodel of guest rooms in our Encore hotel tower. We expect these room renovations to be completed by the end of 2015 and believe there will not be a significant impact to our operations and results during the renovation period.</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October 2015, the Ferrari and Maserati automobile dealership inside Wynn Las Vegas was permanently closed. We are in the process of determining the use of the 10,000 square feet of space, which was occupied by the dealership.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jc w:val="both"/>
        <w:ind w:right="38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discussions of the Company's operational performance for the periods in which Condensed Consolidated Statements of Comprehensive Income (Loss) are presented. Below are definitions of the measures discussed:</w:t>
      </w:r>
    </w:p>
    <w:p>
      <w:pPr>
        <w:spacing w:after="0" w:line="243" w:lineRule="exact"/>
        <w:rPr>
          <w:sz w:val="20"/>
          <w:szCs w:val="20"/>
          <w:color w:val="auto"/>
        </w:rPr>
      </w:pPr>
    </w:p>
    <w:p>
      <w:pPr>
        <w:ind w:left="5700" w:right="2940" w:hanging="5125"/>
        <w:spacing w:after="0" w:line="752" w:lineRule="auto"/>
        <w:tabs>
          <w:tab w:leader="none" w:pos="9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is the amount of cash and net markers issued that are deposited in a gaming table's drop box. 19</w:t>
      </w:r>
    </w:p>
    <w:p>
      <w:pPr>
        <w:sectPr>
          <w:pgSz w:w="11900" w:h="16838" w:orient="portrait"/>
          <w:cols w:equalWidth="0" w:num="1">
            <w:col w:w="11320"/>
          </w:cols>
          <w:pgMar w:left="240" w:top="277" w:right="3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332"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90"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26"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third quarter 2015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2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2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ind w:right="477"/>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ind w:right="474"/>
              <w:spacing w:after="0" w:line="127"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90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1"/>
                <w:szCs w:val="11"/>
                <w:color w:val="auto"/>
              </w:rPr>
            </w:pPr>
          </w:p>
        </w:tc>
        <w:tc>
          <w:tcPr>
            <w:tcW w:w="1120" w:type="dxa"/>
            <w:vAlign w:val="bottom"/>
          </w:tcPr>
          <w:p>
            <w:pPr>
              <w:jc w:val="right"/>
              <w:ind w:right="457"/>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34"/>
              <w:spacing w:after="0" w:line="127"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1"/>
                <w:szCs w:val="11"/>
                <w:color w:val="auto"/>
              </w:rPr>
            </w:pPr>
          </w:p>
        </w:tc>
        <w:tc>
          <w:tcPr>
            <w:tcW w:w="780" w:type="dxa"/>
            <w:vAlign w:val="bottom"/>
          </w:tcPr>
          <w:p>
            <w:pPr>
              <w:jc w:val="right"/>
              <w:ind w:right="77"/>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411,160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428,145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1,221,626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1,260,858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57,888</w:t>
            </w: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Property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117,069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133,250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349,783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403,962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2015 net income was $5.0 million, compared to $15.7 million for the same period of 2014. This reduction was primarily driven by a 14.8% decline in casino revenues.</w:t>
      </w:r>
    </w:p>
    <w:p>
      <w:pPr>
        <w:spacing w:after="0" w:line="16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we experienced a net loss of $104.5 million, compared to net income of $57.9 million for the same period of 2014, primarily due to $126.3 million in losses on the extinguishment of debt for the purchase of first mortgage notes due 2020 pursuant to a cash tender offer and subsequent redemption of untendered notes.</w:t>
      </w:r>
    </w:p>
    <w:p>
      <w:pPr>
        <w:spacing w:after="0" w:line="176" w:lineRule="exact"/>
        <w:rPr>
          <w:sz w:val="20"/>
          <w:szCs w:val="20"/>
          <w:color w:val="auto"/>
        </w:rPr>
      </w:pPr>
    </w:p>
    <w:p>
      <w:pPr>
        <w:ind w:right="86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of $117.1 million for the three months ended September 30, 2015 and $349.8 million for the nine months ended September 30, 2015, each decreased year-over-year primarily due to declines in casino revenues.</w:t>
      </w:r>
    </w:p>
    <w:p>
      <w:pPr>
        <w:spacing w:after="0" w:line="16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 gaming customers who wager on credit, thus exposing us to increased credit risk. High-end gaming also increases the potential for variability in our results.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7"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September 30, 2015 compared to the three months ended September 30, 2014.</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0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152,149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178,623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259,011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249,522</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411,160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428,145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percentage of our net revenues from non-casino revenues was 63.0% for the three months ended September 30, 2015, compared to 58.3% for the same period of 2014. Casino revenues were 37.0% of total net revenues for the three months ended September 30, 2015, compared to 41.7% of total net revenues for the same period of 2014.</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Casino revenues decreased 14.8%, or $26.5 million, to $152.1 million for the three months ended September 30, 2015, from $178.6 million in the same period of 2014. The decrease in casino revenues is attributable to a 23.3% decrease in table drop, primarily from international customers, and a 2.0 percentage point decline in table games win percentage.</w:t>
      </w:r>
    </w:p>
    <w:p>
      <w:pPr>
        <w:spacing w:after="0" w:line="17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related to our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80" w:type="dxa"/>
            <w:vAlign w:val="bottom"/>
          </w:tcPr>
          <w:p>
            <w:pPr>
              <w:jc w:val="right"/>
              <w:ind w:right="41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491,616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640,941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116,655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164,932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764,263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788,131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54,614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47,446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increased 3.8%, or $9.5 million, to $259.0 million for the three months ended September 30, 2015, from $249.5 million for the same period of 2014, primarily due to a 4.5% increase in food and beverage revenues.</w:t>
      </w:r>
    </w:p>
    <w:p>
      <w:pPr>
        <w:spacing w:after="0" w:line="162"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Room revenues were relatively flat with $102.8 million for the three months ended September 30, 2015, compared to $102.5 million for the same period of 2014.</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7"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related to our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102,786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102,544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4.5%, or $6.1 million, to $142.6 million for the three months ended September 30, 2015, from $136.4 million for the same period of 2014, mainly due to increases in revenues at our nightclubs and an increase in revenues from catering and banquets.</w:t>
      </w:r>
    </w:p>
    <w:p>
      <w:pPr>
        <w:spacing w:after="0" w:line="162" w:lineRule="exact"/>
        <w:rPr>
          <w:sz w:val="20"/>
          <w:szCs w:val="20"/>
          <w:color w:val="auto"/>
        </w:rPr>
      </w:pPr>
    </w:p>
    <w:p>
      <w:pPr>
        <w:jc w:val="both"/>
        <w:ind w:right="1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2.0%, or $1.2 million, to $58.3 million for the three months ended September 30, 2015, from $59.4 million for the same period of 2014, primarily due to a decline in revenue from retail shops.</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Promotional allowances decreased 8.7%, or $4.3 million, to $44.6 million for the three months ended September 30, 2015, from $48.9 million for the same period of 2014, primarily as a result of less complimentaries due to the decrease in table drop.</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were relatively flat with $358.5 million for the three months ended September 30, 2015, compared to $358.2 million for the same period of 2014.</w:t>
      </w:r>
    </w:p>
    <w:p>
      <w:pPr>
        <w:spacing w:after="0" w:line="16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Casino expenses decreased 8.2%, or $6.4 million, to $71.2 million for the three months ended September 30, 2015, from $77.6 million for the same period of 2014, primarily due to a decrease in gaming tax and other expenses associated with the casino revenues decrease.</w:t>
      </w:r>
    </w:p>
    <w:p>
      <w:pPr>
        <w:spacing w:after="0" w:line="16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Room expenses decreased 6.0%, or $2.3 million, to $36.2 million for the three months ended September 30, 2015, from $38.5 million for the same period of 2014. The decrease was primarily due to a reduction in linen and other room related expenses.</w:t>
      </w:r>
    </w:p>
    <w:p>
      <w:pPr>
        <w:spacing w:after="0" w:line="16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9.2%, or $8.1 million, to $95.5 million for the three months ended September 30, 2015, from $87.4 million for the same period of 2014. The increase is primarily a result of higher costs in the current period for entertainment at our nightclubs.</w:t>
      </w:r>
    </w:p>
    <w:p>
      <w:pPr>
        <w:spacing w:after="0" w:line="16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5.8%, or $1.9 million, to $34.2 million for the three months ended September 30, 2015, from $32.3 million for the same period of 2014, primarily attributable to costs associated with Steve Wynn's ShowStoppers, which opened in December 2014.</w:t>
      </w:r>
    </w:p>
    <w:p>
      <w:pPr>
        <w:spacing w:after="0" w:line="16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9.3%, or $6.4 million, to $62.5 million for the three months ended September 30, 2015, from $68.9 million for the same period of 2014, primarily attributable to a decrease in corporate allocations.</w:t>
      </w:r>
    </w:p>
    <w:p>
      <w:pPr>
        <w:spacing w:after="0" w:line="162"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$1.8 million to $0.6 million for the three months ended September 30, 2015, from $2.3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Management and license fees increased 102.4%, or $6.6 million, to $13.0 million for the three months ended September 30, 2015, from $6.4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$6.8 million for the three months ended September 30, 2015, which were not experienced in the prior year period.</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7"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was relatively flat with $45.2 million for the three months ended September 30, 2015, compared to $45.1 million for the same period of 2014.</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Non-operating income and expenses</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Interest expense decreased 13.9%, or $7.1 million, to $43.8 million for the three months ended September 30, 2015, compared to $50.9 million for the three months ended September 30, 2014. In February 2015, we issued $1.8 billion of 5 1/2% senior notes due 2025 and used the proceeds for the purchase of $305.8 million of 7 7/8% first mortgage notes due 2020 and $1,146.5 million of 7 3/4% first mortgage notes due 2020 pursuant to a cash tender offer. In May 2015, we redeemed the remaining $71.1 million of the untendered 7 7/8% first mortgage notes due 2020 and in August 2015 redeemed the remaining $80.1 million principal amount of the untendered 7 3/4% first mortgage notes due 2020. As a result of these financing activities, our weighted average interest rate was lower for the three months ended September 30, 2015, compared to the same period of 2014.</w:t>
      </w:r>
    </w:p>
    <w:p>
      <w:pPr>
        <w:spacing w:after="0" w:line="18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2015, we recognized a $3.9 million loss on extinguishment of debt compared to $3.6 million for the same period of 2014. In connection with the August 2015 redemption of the untendered 7 3/4% first mortgage notes due 2020, we incurred a loss associated with the premium paid and the write-off of related unamortized deferred financing costs. During the three months ended September 30, 2014, the loss incurred was a result of premium paid on first mortgage notes due 2020 through open market transactions and the write-off of related unamortized deferred financing costs and original issue discount.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nine months ended September 30, 2015 compared to the nine months ended September 30, 2014.</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0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448,617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516,436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773,009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744,422</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1,221,626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1,260,858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percentage of our net revenues from non-casino revenues was 63.3% for the nine months ended September 30, 2015, compared to 59.0% for the same period of 2014. Casino revenues were 36.7% of total net revenues for the nine months ended September 30, 2015, compared to 41.0% of total net revenues for the same period of 2014.</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Casino revenues decreased 13.1%, or $67.8 million, to $448.6 million for the nine months ended September 30, 2015, from $516.4 million in the same period of 2014. The decrease in casino revenues is primarily attributable to a 17.9% decrease in table drop, primarily from international customers, and a 2.2 percentage point decline in table games win percentage.</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7"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related to our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80" w:type="dxa"/>
            <w:vAlign w:val="bottom"/>
          </w:tcPr>
          <w:p>
            <w:pPr>
              <w:jc w:val="right"/>
              <w:ind w:right="41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448,617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516,436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1,574,537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1,917,424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351,647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470,720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2,238,594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2,238,798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154,041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139,078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14,963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increased 3.8%, or $28.6 million, to $773.0 million for the nine months ended September 30, 2015, from $744.4 million for the same period of 2014, primarily due to a 4.6% increase in food and beverage revenues and a 6.6% decrease in promotional allowances.</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Room revenues decreased 0.7%, or $2.3 million, to $311.3 million for the nine months ended September 30, 2015, from $313.5 million for the same period of 2014. The decrease is a result of a year-over-year decrease in occupancy of 1.9 percentage points, partially offset by the impact of a 2.5% increase in ADR to $282 for the nine months ended September 30, 2015.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related to our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311,260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313,527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4.6%, or $18.5 million, to $419.1 million for the nine months ended September 30, 2015, from $400.6 million for the same period of 2014, mainly due to increases in revenues at our nightclubs and an increase in revenues from catering and banquets.</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increased 1.8%, or $3.1 million, to $173.7 million for the nine months ended September 30, 2015, from $170.6 million for the same period of 2014, primarily as a result of the opening of Steve Wynn's ShowStoppers in December 2014.</w:t>
      </w:r>
    </w:p>
    <w:p>
      <w:pPr>
        <w:spacing w:after="0" w:line="16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Promotional allowances decreased 6.6%, or $9.2 million, to $131.0 million for the nine months ended September 30, 2015, from $140.2 million for the same period of 2014, primarily as a result of less complimentaries due to the decrease in table drop.</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7"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2.0%, or $20.8 million, to $1,062.8 million for the nine months ended September 30, 2015, from $1,042.0 million for the same period of 2014.</w:t>
      </w:r>
    </w:p>
    <w:p>
      <w:pPr>
        <w:spacing w:after="0" w:line="16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Casino expenses decreased 6.5%, or $15.2 million, to $217.3 million for the nine months ended September 30, 2015, from $232.5 million for the same period of 2014, primarily due to a decrease in gaming tax and other expenses associated with the casino revenue decrease.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Room expenses were relatively flat with $108.0 million for the nine months ended September 30, 2015, compared to $108.8 million for the same period of 2014.</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7.7%, or $19.6 million, to $272.7 million for the nine months ended September 30, 2015, from $253.1 million for the same period of 2014. The increase is primarily a result of higher costs in the current period for entertainment at our nightclubs.</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5.0%, or $4.8 million, to $102.2 million for the nine months ended September 30, 2015, from $97.4 million for the same period of 2014, primarily attributable to costs associated with Steve Wynn's ShowStoppers, which opened in December 2014.</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4.3%, or $8.4 million, to $184.8 million for the nine months ended September 30, 2015, from $193.2 million for the same period of 2014, primarily attributable to a decrease in corporate allocations, partially offset by increased advertising expenses and other administrative expenses.</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was $5.4 million for the nine months ended September 30, 2015, compared to $4.8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76"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Management and license fees increased 82.1%, or $15.5 million, to $34.5 million for the nine months ended September 30, 2015, from $18.9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$16.1 million for the nine months ended September 30, 2015, which were not experienced in the prior year.</w:t>
      </w:r>
    </w:p>
    <w:p>
      <w:pPr>
        <w:spacing w:after="0" w:line="180"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2.1%, or $2.8 million, to $136.7 million for the nine months ended September 30, 2015, from $133.9 million for the same period of 2014.</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Non-operating income and expenses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Interest expense decreased 11.1%, or $17.1 million, to $137.0 million for the nine months ended September 30, 2015, compared to $154.1 million for the nine months ended September 30, 2014. In February 2015, we issued $1.8 billion of 5 1/2% senior notes due 2025 and used the proceeds for the purchase of $305.8 million of 7 7/8% first mortgage notes due 2020 and $1,146.5 million of 7 3/4% first mortgage notes due 2020 pursuant to a cash tender offer. In May 2015, we redeemed the remaining $71.1 million principal amount of the untendered 7 7/8% first mortgage notes due 2020 and in August 2015 redeemed the remaining $80.1 million principal amount of the untendered 7 3/4% first mortgage notes due 2020. As a result of these financing activities, our weighted average interest rate was lower for the nine months ended September 30, 2015, compared to the same period of 2014.</w:t>
      </w:r>
    </w:p>
    <w:p>
      <w:pPr>
        <w:spacing w:after="0" w:line="18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2015, we recognized a $126.3 million loss on extinguishment of debt compared to $7.4 million for the same period of 2014. During the nine months ended September 30, 2015, the loss was in connection with the cash tender offer and subsequent redemption of untendered 7 7/8% first mortgage notes due 2020 and 7 3/4% first mortgage notes due 2020. We incurred a loss associated with the premium paid and the write-off of related unamortized deferred financing costs and original issue discount. During the nine months ended September 30, 2014, the loss was for the premium paid on first mortgage notes due 2020 through open market transactions and the write-off of related unamortized deferred financing costs and original issue discount.</w:t>
      </w: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7" w:right="25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intercompany golf course and water rights leases, stock-based compensation, loss on extinguishment of debt,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Property EBITDA to net income (loss)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117,069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403,962</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5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133,864</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18,920</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29,759</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2,773</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412</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64,377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190,989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185,092</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52,692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69,932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158,794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218,870</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(154,060)</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5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(160,982)</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57,888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00"/>
          </w:cols>
          <w:pgMar w:left="240" w:top="277" w:right="25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Net cash used in operations for the nine months ended September 30, 2015 was $36.6 million, compared to $229.0 million provided by operations for the same period in 2014. During the nine months ended September 30, 2015, we paid $210.9 million in accrued management fees to Wynn Resorts as we no longer are subject to certain restrictive covenants under the 2020 indentures. These payments were partially offset by changes in ordinary working capital accounts. During the nine months ended September 30, 2014, our cash provided by operations was primarily from stronger casino operating results and changes in ordinary working capital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2015 was $73.0 million, compared to $36.4 million for the same period in 2014, and primarily consisted of capital expenditures, deposits and purchases of other assets. Cash used for the nine months ended September 30, 2015 was primarily for capital expenditures and deposits associated with general property maintenance and the remodel of guest rooms in our Encore hotel tower, which began late in the second quarter. We expect these room renovations to be completed by the end of 2015. Cash used for the nine months ended September 30, 2014 was primarily for capital expenditures associated with general property maintenance.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2015 was $106.0 million, compared to $76.0 million used in financing activities for the same period in 2014. During the nine months ended September 30, 2015, we issued $1.8 billion of 5 1/2% senior notes due 2025 with proceeds used for the purchase of $1.6 billion of our first mortgage notes due 2020 pursuant to a cash tender offer and subsequent redemptions of untendered notes. During the nine months ended September 30, 2015, the proceeds from the issuance were partially offset by payments of financing costs of $132.4 million and distributions to Wynn Resorts of $170.0 million. During the nine months ended September 30, 2014, net cash used in financing activities was primarily attributable to the repurchase of $68.4 million in principal plus interest of our first mortgage notes through open market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At September 30, 2015, we had $50.8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current debt maturities and planned capital expenditure requirements with future anticipated cash flow from operations and our existing cash balances.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We do not have any retained or contingent interest in assets transferred to an unconsolidated entity. At September 30, 2015, we had outstanding letters of credit totaling $10.0 million.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nine months ended September 30, 2015 to our contractual obligations or off balance sheet arrangements as disclosed in our Annual Report on Form 10-K for the year ended December 31, 2014, except as discussed above under "Financing Activities."</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7" w:right="25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financial and non-financial criteria have been satisfied.</w:t>
      </w:r>
    </w:p>
    <w:p>
      <w:pPr>
        <w:spacing w:after="0" w:line="176" w:lineRule="exact"/>
        <w:rPr>
          <w:sz w:val="20"/>
          <w:szCs w:val="20"/>
          <w:color w:val="auto"/>
        </w:rPr>
      </w:pPr>
    </w:p>
    <w:p>
      <w:pPr>
        <w:ind w:right="140" w:firstLine="432"/>
        <w:spacing w:after="0" w:line="289" w:lineRule="auto"/>
        <w:rPr>
          <w:sz w:val="20"/>
          <w:szCs w:val="20"/>
          <w:color w:val="auto"/>
        </w:rPr>
      </w:pPr>
      <w:r>
        <w:rPr>
          <w:rFonts w:ascii="Times New Roman" w:cs="Times New Roman" w:eastAsia="Times New Roman" w:hAnsi="Times New Roman"/>
          <w:sz w:val="17"/>
          <w:szCs w:val="17"/>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58" w:lineRule="exact"/>
        <w:rPr>
          <w:sz w:val="20"/>
          <w:szCs w:val="20"/>
          <w:color w:val="auto"/>
        </w:rPr>
      </w:pPr>
    </w:p>
    <w:p>
      <w:pPr>
        <w:ind w:right="44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8 "Commitments and Contingencies."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2014. There has been no significant change to these policies for the nine months ended September 30, 2015.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2014 and other factors we describe from time to time in our periodic filings with the Securities and Exchange Commission ("SEC"), such as:</w:t>
      </w:r>
    </w:p>
    <w:p>
      <w:pPr>
        <w:spacing w:after="0" w:line="176"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travel, leisure and consumer spending, particularly from our international customers;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macroeconomic conditions;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Wynn Las Vegas for all of our cash flow;</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debts;</w:t>
      </w:r>
    </w:p>
    <w:p>
      <w:pPr>
        <w:spacing w:after="0" w:line="9" w:lineRule="exact"/>
        <w:rPr>
          <w:rFonts w:ascii="Times New Roman" w:cs="Times New Roman" w:eastAsia="Times New Roman" w:hAnsi="Times New Roman"/>
          <w:sz w:val="18"/>
          <w:szCs w:val="18"/>
          <w:color w:val="auto"/>
        </w:rPr>
      </w:pPr>
    </w:p>
    <w:p>
      <w:pPr>
        <w:ind w:left="900" w:right="580" w:hanging="325"/>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terrorism, regional political events, outbreak of an infectious disease or natural disaster may have on the travel and leisure industry;</w:t>
      </w: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enforcement actions;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of gaming in certain jurisdictions);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277" w:right="27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tourism trends given the current domestic and international economic conditions;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 and construction activities of competitors;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under applicable jurisdictional laws and regulations (including gaming laws and regulations);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environmental regulation; and</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military conflicts and any future security alerts and/or terrorist attacks.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had $3.2 billion of fixed-rate debt outstanding as of September 30, 2015. As a result of our outstanding debt being based on fixed rates, we currently do not have exposure from adverse changes in market rates.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2015, our long-term debt was based on fixed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right="40" w:firstLine="413"/>
        <w:spacing w:after="0" w:line="300" w:lineRule="auto"/>
        <w:tabs>
          <w:tab w:leader="none" w:pos="8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principal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jc w:val="both"/>
        <w:ind w:right="280" w:firstLine="413"/>
        <w:spacing w:after="0" w:line="314" w:lineRule="auto"/>
        <w:tabs>
          <w:tab w:leader="none" w:pos="858"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were no changes in the Company's internal control over financial reporting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7"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2014. There were no material changes to those risk factors during the nine months ended September 30,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financial and non-financial criteria have been satisfied.</w:t>
      </w: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277" w:right="4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(a)</w:t>
            </w:r>
          </w:p>
        </w:tc>
        <w:tc>
          <w:tcPr>
            <w:tcW w:w="10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10"/>
        </w:trPr>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tcPr>
          <w:p>
            <w:pPr>
              <w:spacing w:after="0"/>
              <w:rPr>
                <w:sz w:val="24"/>
                <w:szCs w:val="24"/>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82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36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60" w:type="dxa"/>
            <w:vAlign w:val="bottom"/>
            <w:gridSpan w:val="3"/>
            <w:vMerge w:val="restart"/>
          </w:tcPr>
          <w:p>
            <w:pPr>
              <w:ind w:left="940"/>
              <w:spacing w:after="0"/>
              <w:rPr>
                <w:sz w:val="20"/>
                <w:szCs w:val="20"/>
                <w:color w:val="auto"/>
              </w:rPr>
            </w:pPr>
            <w:r>
              <w:rPr>
                <w:rFonts w:ascii="Times New Roman" w:cs="Times New Roman" w:eastAsia="Times New Roman" w:hAnsi="Times New Roman"/>
                <w:sz w:val="18"/>
                <w:szCs w:val="18"/>
                <w:color w:val="auto"/>
                <w:w w:val="99"/>
              </w:rPr>
              <w:t>Fourth Restated Articles of Organization of Wynn Las Vegas, LLC. (Incorporated by reference from the Current Report on Form 8-K</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05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filed by the Registrant on September 3, 2015.)</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9"/>
              </w:rPr>
              <w:t>Third Amended and Restated Operating Agreement of Wynn Las Vegas, LLC. (Incorporated by reference from the Current Report on</w:t>
            </w: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8-K filed by the Registrant on September 3, 2015.)</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September 30, 2015,</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filed with the SEC on November 6, 2015 formatted in Extensible Business Reporting Language (XBRL): (i) the Condensed</w:t>
            </w:r>
          </w:p>
        </w:tc>
        <w:tc>
          <w:tcPr>
            <w:tcW w:w="0" w:type="dxa"/>
            <w:vAlign w:val="bottom"/>
          </w:tcPr>
          <w:p>
            <w:pPr>
              <w:spacing w:after="0"/>
              <w:rPr>
                <w:sz w:val="1"/>
                <w:szCs w:val="1"/>
                <w:color w:val="auto"/>
              </w:rPr>
            </w:pPr>
          </w:p>
        </w:tc>
      </w:tr>
    </w:tbl>
    <w:p>
      <w:pPr>
        <w:ind w:left="1760" w:right="120"/>
        <w:spacing w:after="0" w:line="254" w:lineRule="auto"/>
        <w:rPr>
          <w:sz w:val="20"/>
          <w:szCs w:val="20"/>
          <w:color w:val="auto"/>
        </w:rPr>
      </w:pPr>
      <w:r>
        <w:rPr>
          <w:rFonts w:ascii="Times New Roman" w:cs="Times New Roman" w:eastAsia="Times New Roman" w:hAnsi="Times New Roman"/>
          <w:sz w:val="18"/>
          <w:szCs w:val="18"/>
          <w:color w:val="auto"/>
        </w:rPr>
        <w:t>Consolidated Balance Sheets at September 30, 2015 and December 31, 2014, (ii) the Condensed Consolidated Statements of Comprehensive Income (Loss) for the three and nine months ended September 30, 2015 and 2014, (iii) the Condensed Consolidated Statements of Cash Flows for the nine months ended September 30, 2015 and 2014,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7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7" w:right="27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Times New Roman" w:cs="Times New Roman" w:eastAsia="Times New Roman" w:hAnsi="Times New Roman"/>
          <w:sz w:val="18"/>
          <w:szCs w:val="18"/>
          <w:color w:val="auto"/>
        </w:rPr>
        <w:t>Dated: November 6,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80"/>
          </w:cols>
          <w:pgMar w:left="240" w:top="277"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460" w:right="14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460" w:right="22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460" w:right="22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right="46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460" w:right="16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2015</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460" w:right="14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460" w:right="22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460" w:right="22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right="46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460" w:right="16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2015</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Las Vegas, LLC (the “Company”) for the quarter ended September 30, 2015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19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2015</w:t>
            </w:r>
          </w:p>
        </w:tc>
      </w:tr>
      <w:tr>
        <w:trPr>
          <w:trHeight w:val="405"/>
        </w:trPr>
        <w:tc>
          <w:tcPr>
            <w:tcW w:w="6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2015</w:t>
            </w:r>
          </w:p>
        </w:tc>
      </w:tr>
    </w:tbl>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2019-12-29T14:38:35Z</dcterms:created>
  <dcterms:modified xsi:type="dcterms:W3CDTF">2019-12-29T14:38:35Z</dcterms:modified>
</cp:coreProperties>
</file>