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287020</wp:posOffset>
            </wp:positionV>
            <wp:extent cx="2897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178435</wp:posOffset>
            </wp:positionV>
            <wp:extent cx="28975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191135</wp:posOffset>
            </wp:positionV>
            <wp:extent cx="28975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86" w:lineRule="exact"/>
        <w:rPr>
          <w:sz w:val="24"/>
          <w:szCs w:val="24"/>
          <w:color w:val="auto"/>
        </w:rPr>
      </w:pPr>
    </w:p>
    <w:tbl>
      <w:tblPr>
        <w:tblLayout w:type="fixed"/>
        <w:tblInd w:w="540" w:type="dxa"/>
        <w:tblCellMar>
          <w:top w:w="0" w:type="dxa"/>
          <w:left w:w="0" w:type="dxa"/>
          <w:bottom w:w="0" w:type="dxa"/>
          <w:right w:w="0" w:type="dxa"/>
        </w:tblCellMar>
      </w:tblPr>
      <w:tr>
        <w:trPr>
          <w:trHeight w:val="225"/>
        </w:trPr>
        <w:tc>
          <w:tcPr>
            <w:tcW w:w="2800" w:type="dxa"/>
            <w:vAlign w:val="bottom"/>
          </w:tcPr>
          <w:p>
            <w:pPr>
              <w:jc w:val="center"/>
              <w:ind w:right="179"/>
              <w:spacing w:after="0"/>
              <w:rPr>
                <w:sz w:val="20"/>
                <w:szCs w:val="20"/>
                <w:color w:val="auto"/>
              </w:rPr>
            </w:pPr>
            <w:r>
              <w:rPr>
                <w:rFonts w:ascii="Arial" w:cs="Arial" w:eastAsia="Arial" w:hAnsi="Arial"/>
                <w:sz w:val="18"/>
                <w:szCs w:val="18"/>
                <w:b w:val="1"/>
                <w:bCs w:val="1"/>
                <w:color w:val="auto"/>
                <w:w w:val="90"/>
              </w:rPr>
              <w:t>Nevada</w:t>
            </w:r>
          </w:p>
        </w:tc>
        <w:tc>
          <w:tcPr>
            <w:tcW w:w="4560" w:type="dxa"/>
            <w:vAlign w:val="bottom"/>
          </w:tcPr>
          <w:p>
            <w:pPr>
              <w:ind w:left="1780"/>
              <w:spacing w:after="0"/>
              <w:rPr>
                <w:sz w:val="20"/>
                <w:szCs w:val="20"/>
                <w:color w:val="auto"/>
              </w:rPr>
            </w:pPr>
            <w:r>
              <w:rPr>
                <w:rFonts w:ascii="Arial" w:cs="Arial" w:eastAsia="Arial" w:hAnsi="Arial"/>
                <w:sz w:val="18"/>
                <w:szCs w:val="18"/>
                <w:b w:val="1"/>
                <w:bCs w:val="1"/>
                <w:color w:val="auto"/>
              </w:rPr>
              <w:t>000-50028</w:t>
            </w:r>
          </w:p>
        </w:tc>
        <w:tc>
          <w:tcPr>
            <w:tcW w:w="2000" w:type="dxa"/>
            <w:vAlign w:val="bottom"/>
          </w:tcPr>
          <w:p>
            <w:pPr>
              <w:jc w:val="right"/>
              <w:ind w:right="61"/>
              <w:spacing w:after="0"/>
              <w:rPr>
                <w:sz w:val="20"/>
                <w:szCs w:val="20"/>
                <w:color w:val="auto"/>
              </w:rPr>
            </w:pPr>
            <w:r>
              <w:rPr>
                <w:rFonts w:ascii="Arial" w:cs="Arial" w:eastAsia="Arial" w:hAnsi="Arial"/>
                <w:sz w:val="18"/>
                <w:szCs w:val="18"/>
                <w:b w:val="1"/>
                <w:bCs w:val="1"/>
                <w:color w:val="auto"/>
              </w:rPr>
              <w:t>46-0484987</w:t>
            </w:r>
          </w:p>
        </w:tc>
      </w:tr>
      <w:tr>
        <w:trPr>
          <w:trHeight w:val="144"/>
        </w:trPr>
        <w:tc>
          <w:tcPr>
            <w:tcW w:w="2800" w:type="dxa"/>
            <w:vAlign w:val="bottom"/>
          </w:tcPr>
          <w:p>
            <w:pPr>
              <w:jc w:val="center"/>
              <w:ind w:right="199"/>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4560" w:type="dxa"/>
            <w:vAlign w:val="bottom"/>
          </w:tcPr>
          <w:p>
            <w:pPr>
              <w:ind w:left="1760"/>
              <w:spacing w:after="0" w:line="145" w:lineRule="exact"/>
              <w:rPr>
                <w:sz w:val="20"/>
                <w:szCs w:val="20"/>
                <w:color w:val="auto"/>
              </w:rPr>
            </w:pPr>
            <w:r>
              <w:rPr>
                <w:rFonts w:ascii="Arial" w:cs="Arial" w:eastAsia="Arial" w:hAnsi="Arial"/>
                <w:sz w:val="14"/>
                <w:szCs w:val="14"/>
                <w:b w:val="1"/>
                <w:bCs w:val="1"/>
                <w:color w:val="auto"/>
              </w:rPr>
              <w:t>(Commission</w:t>
            </w:r>
          </w:p>
        </w:tc>
        <w:tc>
          <w:tcPr>
            <w:tcW w:w="2000" w:type="dxa"/>
            <w:vAlign w:val="bottom"/>
          </w:tcPr>
          <w:p>
            <w:pPr>
              <w:jc w:val="center"/>
              <w:ind w:left="781"/>
              <w:spacing w:after="0" w:line="145"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2800" w:type="dxa"/>
            <w:vAlign w:val="bottom"/>
          </w:tcPr>
          <w:p>
            <w:pPr>
              <w:jc w:val="center"/>
              <w:ind w:right="199"/>
              <w:spacing w:after="0"/>
              <w:rPr>
                <w:sz w:val="20"/>
                <w:szCs w:val="20"/>
                <w:color w:val="auto"/>
              </w:rPr>
            </w:pPr>
            <w:r>
              <w:rPr>
                <w:rFonts w:ascii="Arial" w:cs="Arial" w:eastAsia="Arial" w:hAnsi="Arial"/>
                <w:sz w:val="14"/>
                <w:szCs w:val="14"/>
                <w:b w:val="1"/>
                <w:bCs w:val="1"/>
                <w:color w:val="auto"/>
                <w:w w:val="92"/>
              </w:rPr>
              <w:t>of incorporation)</w:t>
            </w:r>
          </w:p>
        </w:tc>
        <w:tc>
          <w:tcPr>
            <w:tcW w:w="4560" w:type="dxa"/>
            <w:vAlign w:val="bottom"/>
          </w:tcPr>
          <w:p>
            <w:pPr>
              <w:ind w:left="1760"/>
              <w:spacing w:after="0"/>
              <w:rPr>
                <w:sz w:val="20"/>
                <w:szCs w:val="20"/>
                <w:color w:val="auto"/>
              </w:rPr>
            </w:pPr>
            <w:r>
              <w:rPr>
                <w:rFonts w:ascii="Arial" w:cs="Arial" w:eastAsia="Arial" w:hAnsi="Arial"/>
                <w:sz w:val="14"/>
                <w:szCs w:val="14"/>
                <w:b w:val="1"/>
                <w:bCs w:val="1"/>
                <w:color w:val="auto"/>
              </w:rPr>
              <w:t>File Number)</w:t>
            </w:r>
          </w:p>
        </w:tc>
        <w:tc>
          <w:tcPr>
            <w:tcW w:w="2000" w:type="dxa"/>
            <w:vAlign w:val="bottom"/>
          </w:tcPr>
          <w:p>
            <w:pPr>
              <w:jc w:val="center"/>
              <w:ind w:left="781"/>
              <w:spacing w:after="0"/>
              <w:rPr>
                <w:sz w:val="20"/>
                <w:szCs w:val="20"/>
                <w:color w:val="auto"/>
              </w:rPr>
            </w:pPr>
            <w:r>
              <w:rPr>
                <w:rFonts w:ascii="Arial" w:cs="Arial" w:eastAsia="Arial" w:hAnsi="Arial"/>
                <w:sz w:val="14"/>
                <w:szCs w:val="14"/>
                <w:b w:val="1"/>
                <w:bCs w:val="1"/>
                <w:color w:val="auto"/>
                <w:w w:val="96"/>
              </w:rPr>
              <w:t>Identification No.)</w:t>
            </w:r>
          </w:p>
        </w:tc>
      </w:tr>
      <w:tr>
        <w:trPr>
          <w:trHeight w:val="230"/>
        </w:trPr>
        <w:tc>
          <w:tcPr>
            <w:tcW w:w="2800" w:type="dxa"/>
            <w:vAlign w:val="bottom"/>
          </w:tcPr>
          <w:p>
            <w:pPr>
              <w:jc w:val="center"/>
              <w:ind w:right="199"/>
              <w:spacing w:after="0"/>
              <w:rPr>
                <w:sz w:val="20"/>
                <w:szCs w:val="20"/>
                <w:color w:val="auto"/>
              </w:rPr>
            </w:pPr>
            <w:r>
              <w:rPr>
                <w:rFonts w:ascii="Arial" w:cs="Arial" w:eastAsia="Arial" w:hAnsi="Arial"/>
                <w:sz w:val="18"/>
                <w:szCs w:val="18"/>
                <w:b w:val="1"/>
                <w:bCs w:val="1"/>
                <w:color w:val="auto"/>
                <w:w w:val="88"/>
              </w:rPr>
              <w:t>3131 Las Vegas Boulevard South</w:t>
            </w:r>
          </w:p>
        </w:tc>
        <w:tc>
          <w:tcPr>
            <w:tcW w:w="45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5"/>
        </w:trPr>
        <w:tc>
          <w:tcPr>
            <w:tcW w:w="2800" w:type="dxa"/>
            <w:vAlign w:val="bottom"/>
          </w:tcPr>
          <w:p>
            <w:pPr>
              <w:ind w:left="440"/>
              <w:spacing w:after="0"/>
              <w:rPr>
                <w:sz w:val="20"/>
                <w:szCs w:val="20"/>
                <w:color w:val="auto"/>
              </w:rPr>
            </w:pPr>
            <w:r>
              <w:rPr>
                <w:rFonts w:ascii="Arial" w:cs="Arial" w:eastAsia="Arial" w:hAnsi="Arial"/>
                <w:sz w:val="18"/>
                <w:szCs w:val="18"/>
                <w:b w:val="1"/>
                <w:bCs w:val="1"/>
                <w:color w:val="auto"/>
              </w:rPr>
              <w:t>Las Vegas, Nevada</w:t>
            </w:r>
          </w:p>
        </w:tc>
        <w:tc>
          <w:tcPr>
            <w:tcW w:w="4560" w:type="dxa"/>
            <w:vAlign w:val="bottom"/>
          </w:tcPr>
          <w:p>
            <w:pPr>
              <w:spacing w:after="0"/>
              <w:rPr>
                <w:sz w:val="19"/>
                <w:szCs w:val="19"/>
                <w:color w:val="auto"/>
              </w:rPr>
            </w:pPr>
          </w:p>
        </w:tc>
        <w:tc>
          <w:tcPr>
            <w:tcW w:w="20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186"/>
        </w:trPr>
        <w:tc>
          <w:tcPr>
            <w:tcW w:w="280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spacing w:after="0"/>
              <w:rPr>
                <w:sz w:val="16"/>
                <w:szCs w:val="16"/>
                <w:color w:val="auto"/>
              </w:rPr>
            </w:pPr>
          </w:p>
        </w:tc>
        <w:tc>
          <w:tcPr>
            <w:tcW w:w="2000" w:type="dxa"/>
            <w:vAlign w:val="bottom"/>
          </w:tcPr>
          <w:p>
            <w:pPr>
              <w:jc w:val="center"/>
              <w:ind w:left="781"/>
              <w:spacing w:after="0"/>
              <w:rPr>
                <w:sz w:val="20"/>
                <w:szCs w:val="20"/>
                <w:color w:val="auto"/>
              </w:rPr>
            </w:pPr>
            <w:r>
              <w:rPr>
                <w:rFonts w:ascii="Arial" w:cs="Arial" w:eastAsia="Arial" w:hAnsi="Arial"/>
                <w:sz w:val="14"/>
                <w:szCs w:val="14"/>
                <w:b w:val="1"/>
                <w:bCs w:val="1"/>
                <w:color w:val="auto"/>
                <w:w w:val="95"/>
              </w:rPr>
              <w:t>(Zip Code)</w:t>
            </w:r>
          </w:p>
        </w:tc>
      </w:tr>
      <w:tr>
        <w:trPr>
          <w:trHeight w:val="691"/>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200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00" w:type="dxa"/>
            <w:vAlign w:val="bottom"/>
          </w:tcPr>
          <w:p>
            <w:pPr>
              <w:spacing w:after="0"/>
              <w:rPr>
                <w:sz w:val="16"/>
                <w:szCs w:val="16"/>
                <w:color w:val="auto"/>
              </w:rPr>
            </w:pPr>
          </w:p>
        </w:tc>
      </w:tr>
      <w:tr>
        <w:trPr>
          <w:trHeight w:val="408"/>
        </w:trPr>
        <w:tc>
          <w:tcPr>
            <w:tcW w:w="280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2000" w:type="dxa"/>
            <w:vAlign w:val="bottom"/>
          </w:tcPr>
          <w:p>
            <w:pPr>
              <w:spacing w:after="0"/>
              <w:rPr>
                <w:sz w:val="24"/>
                <w:szCs w:val="24"/>
                <w:color w:val="auto"/>
              </w:rPr>
            </w:pPr>
          </w:p>
        </w:tc>
      </w:tr>
      <w:tr>
        <w:trPr>
          <w:trHeight w:val="186"/>
        </w:trPr>
        <w:tc>
          <w:tcPr>
            <w:tcW w:w="280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00" w:type="dxa"/>
            <w:vAlign w:val="bottom"/>
          </w:tcPr>
          <w:p>
            <w:pPr>
              <w:spacing w:after="0"/>
              <w:rPr>
                <w:sz w:val="16"/>
                <w:szCs w:val="16"/>
                <w:color w:val="auto"/>
              </w:rPr>
            </w:pPr>
          </w:p>
        </w:tc>
      </w:tr>
      <w:tr>
        <w:trPr>
          <w:trHeight w:val="25"/>
        </w:trPr>
        <w:tc>
          <w:tcPr>
            <w:tcW w:w="28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000" w:type="dxa"/>
            <w:vAlign w:val="bottom"/>
          </w:tcPr>
          <w:p>
            <w:pPr>
              <w:spacing w:after="0"/>
              <w:rPr>
                <w:sz w:val="2"/>
                <w:szCs w:val="2"/>
                <w:color w:val="auto"/>
              </w:rPr>
            </w:pPr>
          </w:p>
        </w:tc>
      </w:tr>
    </w:tbl>
    <w:p>
      <w:pPr>
        <w:spacing w:after="0" w:line="37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60" w:type="dxa"/>
            <w:vAlign w:val="bottom"/>
          </w:tcPr>
          <w:p>
            <w:pPr>
              <w:spacing w:after="0"/>
              <w:rPr>
                <w:sz w:val="18"/>
                <w:szCs w:val="18"/>
                <w:color w:val="auto"/>
              </w:rPr>
            </w:pPr>
          </w:p>
        </w:tc>
        <w:tc>
          <w:tcPr>
            <w:tcW w:w="29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Trading Symbol(s)</w:t>
            </w:r>
          </w:p>
        </w:tc>
        <w:tc>
          <w:tcPr>
            <w:tcW w:w="420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880" w:type="dxa"/>
            <w:vAlign w:val="bottom"/>
            <w:gridSpan w:val="3"/>
          </w:tcPr>
          <w:p>
            <w:pPr>
              <w:jc w:val="center"/>
              <w:ind w:right="600"/>
              <w:spacing w:after="0"/>
              <w:rPr>
                <w:sz w:val="20"/>
                <w:szCs w:val="20"/>
                <w:color w:val="auto"/>
              </w:rPr>
            </w:pPr>
            <w:r>
              <w:rPr>
                <w:rFonts w:ascii="Arial" w:cs="Arial" w:eastAsia="Arial" w:hAnsi="Arial"/>
                <w:sz w:val="18"/>
                <w:szCs w:val="18"/>
                <w:color w:val="auto"/>
                <w:w w:val="89"/>
              </w:rPr>
              <w:t>Common stock, par value $0.01</w:t>
            </w:r>
          </w:p>
        </w:tc>
        <w:tc>
          <w:tcPr>
            <w:tcW w:w="600" w:type="dxa"/>
            <w:vAlign w:val="bottom"/>
          </w:tcPr>
          <w:p>
            <w:pPr>
              <w:spacing w:after="0"/>
              <w:rPr>
                <w:sz w:val="21"/>
                <w:szCs w:val="21"/>
                <w:color w:val="auto"/>
              </w:rPr>
            </w:pPr>
          </w:p>
        </w:tc>
        <w:tc>
          <w:tcPr>
            <w:tcW w:w="2300" w:type="dxa"/>
            <w:vAlign w:val="bottom"/>
            <w:gridSpan w:val="2"/>
          </w:tcPr>
          <w:p>
            <w:pPr>
              <w:jc w:val="center"/>
              <w:ind w:right="860"/>
              <w:spacing w:after="0"/>
              <w:rPr>
                <w:sz w:val="20"/>
                <w:szCs w:val="20"/>
                <w:color w:val="auto"/>
              </w:rPr>
            </w:pPr>
            <w:r>
              <w:rPr>
                <w:rFonts w:ascii="Arial" w:cs="Arial" w:eastAsia="Arial" w:hAnsi="Arial"/>
                <w:sz w:val="18"/>
                <w:szCs w:val="18"/>
                <w:color w:val="auto"/>
              </w:rPr>
              <w:t>WYNN</w:t>
            </w:r>
          </w:p>
        </w:tc>
        <w:tc>
          <w:tcPr>
            <w:tcW w:w="86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20"/>
        <w:spacing w:after="0" w:line="249"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8"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May 10, 2021, Wynn Resorts, Limited issued a press release announcing its results of operations for the quarter ended March 31, 2021.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5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2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(d) Exhibits.</w:t>
            </w:r>
          </w:p>
        </w:tc>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2"/>
                <w:szCs w:val="22"/>
                <w:color w:val="auto"/>
              </w:rPr>
            </w:pPr>
          </w:p>
        </w:tc>
        <w:tc>
          <w:tcPr>
            <w:tcW w:w="990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May 10, 2021, of Wynn Resorts, Limited.</w:t>
              </w:r>
            </w:hyperlink>
          </w:p>
        </w:tc>
      </w:tr>
      <w:tr>
        <w:trPr>
          <w:trHeight w:val="20"/>
        </w:trPr>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60" w:type="dxa"/>
            <w:vAlign w:val="bottom"/>
            <w:gridSpan w:val="2"/>
            <w:shd w:val="clear" w:color="auto" w:fill="0000FF"/>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50"/>
        </w:trPr>
        <w:tc>
          <w:tcPr>
            <w:tcW w:w="7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1"/>
                <w:szCs w:val="21"/>
                <w:color w:val="auto"/>
              </w:rPr>
            </w:pPr>
          </w:p>
        </w:tc>
        <w:tc>
          <w:tcPr>
            <w:tcW w:w="990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36"/>
        </w:trPr>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91" w:right="339" w:bottom="1440" w:gutter="0" w:footer="0" w:header="0"/>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May 10, 2021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29210</wp:posOffset>
            </wp:positionV>
            <wp:extent cx="2631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5720" w:space="720"/>
            <w:col w:w="4800"/>
          </w:cols>
          <w:pgMar w:left="320" w:top="891" w:right="339" w:bottom="1440" w:gutter="0" w:footer="0" w:header="0"/>
          <w:type w:val="continuous"/>
        </w:sectPr>
      </w:pPr>
    </w:p>
    <w:p>
      <w:pPr>
        <w:ind w:left="6560"/>
        <w:spacing w:after="0"/>
        <w:rPr>
          <w:sz w:val="20"/>
          <w:szCs w:val="20"/>
          <w:color w:val="auto"/>
        </w:rPr>
      </w:pPr>
      <w:r>
        <w:rPr>
          <w:rFonts w:ascii="Arial" w:cs="Arial" w:eastAsia="Arial" w:hAnsi="Arial"/>
          <w:sz w:val="18"/>
          <w:szCs w:val="18"/>
          <w:color w:val="auto"/>
        </w:rPr>
        <w:t>Craig S. Billings</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President and Chief Financial Officer</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91" w:right="3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First Quarter 2021 Results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LAS VEGAS, May 10, 2021 — Wynn Resorts, Limited (NASDAQ: WYNN) (the "Company") today reported financial results for the quarter ended March 31, 2021.</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Operating revenues were $725.8 million for the first quarter of 2021, a decrease of 23.9%, or $227.9 million, from $953.7 million for the first quarter of 2020. Net loss attributable to Wynn Resorts, Limited was $281.0 million, or $2.53 per diluted share, for the first quarter of 2021, compared to net loss attributable to Wynn Resorts, Limited of $402.0 million, or $3.77 per diluted share, in the first quarter of 2020. Adjusted Property EBITDA (1) at our integrated resort properties increased $17.2 million, $50.2 million, and $43.0 million at Wynn Palace, our Las Vegas Operations, and Encore Boston Harbor, respectively, and decreased $2.7 million at Wynn Macau, when compared with the first quarter of 2020. Adjusted Property EBITDA at our Las Vegas Operations and Encore Boston Harbor for the first quarter of 2020 included the impact of $56.4 million and $19.3 million of expense, respectively, accrued during the quarter related to our commitment to pay salary, tips, and benefits continuation for all of our U.S. employees for the period from April 1 through May 15, 2020.</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first quarter results reflect continued progress in our business as consumers began to once again travel to their favorite leisure and gaming destinations," said Matt Maddox, CEO of Wynn Resorts, Limited. "Wynn Las Vegas showed continued strength in the casino segment, with the property remaining the destination of choice for high quality gaming customers, while forward bookings in the leisure segment improved throughout the quarter. Encore Boston Harbor again delivered record Adjusted Property EBITDA on the back of solid execution across the property. In Macau, we experienced continued gradual improvement in visitation trends driving particular strength in premium mass casino and luxury retail."</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pleased to announce our intention to fuel the growth of WynnBET through a merger of Wynn Interactive with Austerlitz Acquisition Corp I. We are proud to join forces with Bill Foley as we continue to aggressively scale in online sports betting and iGaming. With WynnBET now live in six states, we will be launching enhanced product features and expanding our market position in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revenues were $725.8 million for the first quarter of 2021, a decrease of 23.9%, or $227.9 million, from $953.7 million for the first quarter of 2020. Operating revenues decreased $22.2 million, $49.8 million, $145.1 million, and $10.8 million at Wynn Palace, Wynn Macau, our Las Vegas Operations, and Encore Boston Harbor, respectively, from the first quarter of 2020.</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a U.S. generally accepted accounting principles ("GAAP") basis, net loss attributable to Wynn Resorts, Limited was $281.0 million, or $2.53 per diluted share, for the first quarter of 2021, compared to net loss attributable to Wynn Resorts, Limited of $402.0 million, or $3.77 per diluted share, in the first quarter of 2020. Adjusted net loss attributable to Wynn Resorts, Limited (2) was $268.0 million, or $2.41 per diluted share, for the first quarter of 2021, compared to adjusted net loss attributable to Wynn Resorts, Limited of $377.9 million, or $3.54 per diluted share, for the first quarter of 2020.</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Property EBITDA was $58.9 million for the first quarter of 2021. Adjusted Property EBITDA was $(5.3) million for the first quarter of 2020, which included the impact of $75.7 million of expense accrued during the quarter related to our commitment to pay salary, tips and benefits continuation for all of our U.S. employees for the period from April 1 through May 15,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Results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response to the initial outbreak of COVID-19 in early 2020, each of our properties was subject to partial or full closure for varying lengths of time during 2020, and each has since reopened with certain COVID-19 specific protective measures in place. Although authorities around the world have eased COVID-19 protective measures and several vaccines have been granted authorization in numerous countries and are being rolled out to citizens based on availability and priority of need, certain travel restrictions, quarantine measures, testing requirements, and capacity limitations remain in effect, and the Company is currently unable to determine when protective measures will be lifted and when the Company will be able to resume certain offerings at our Macau Operations, Las Vegas Operations, and Encore Boston Harbor. On April 13, 2021, the Governor of Nevada announced that the statewide social distancing mandate will be removed and decisions on social distancing will be returned to local authority by May 1, with a goal to have all Nevada counties open to 100% of capacity by June 1. The Nevada Gaming Control Board will continue to maintain authority over gaming areas of licensed properties in Nevada. On May 3, 2021,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Gaming Control Board announced that, effective immediately, the Company's Las Vegas Operations are permitted to reopen all gaming areas to 100% of capacity, with no continuing table game or slot machine spacing restrictions. On April 27, 2021, the Governor of Massachusetts announced a phased plan for further reopening and increased capacity over the next several months. Effective August 1, 2021, subject to public health and vaccination data, all industry restrictions will be lifted and capacity limits will increase to 100%.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3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Operating revenues from Wynn Palace were $237.3 million for the first quarter of 2021, an 8.5% decrease from $259.5 million for the first quarter of 2020. Adjusted Property EBITDA from Wynn Palace was $27.4 million for the first quarter of 2021, compared with $10.2 million for the first quarter of 2020. VIP table games win as a percentage of turnover was 4.38%, above the property's expected range of 2.7% to 3.0% and above the 2.91% experienced in the first quarter of 2020. Table games win percentage in mass market operations was 21.7%, below the 27.5% experienced in the first quarter of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revenues from Wynn Macau were $179.7 million for the first quarter of 2021, a 21.7% decrease from $229.5 million for the first quarter of 2020. Adjusted Property EBITDA was $16.6 million for the first quarter of 2021, compared with $19.2 million for the first quarter of 2020. VIP Table games win as a percentage of turnover was 3.25%, above the property's expected range of 2.7% to 3.0% and below the 4.14% experienced in the first quarter of 2020. Table games win percentage in mass market operations was 17.8%, below the 20.4% experienced in the first quarter of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 Vegas Operations</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Operating revenues from our Las Vegas Operations were $178.7 million for the first quarter of 2021, a 44.8% decrease from $323.8 million for the first quarter of 2020. Adjusted Property EBITDA from our Las Vegas Operations for the first quarter of 2021 was $28.1 million. Adjusted Property EBITDA from our Las Vegas Operations for the first quarter of 2020 was $(22.1) million, which included the impact of $56.4 million of expense accrued during the quarter related to our commitment to pay salary, tips, and benefits continuation for all of our U.S. employees for the period from April 1 through May 15, 2020. Table games win percentage for the first quarter of 2021 was 23.6%, within the property's expected range of 22% to 26% and above the 19.9% experienced in the first quarter of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Encore Boston Harbor</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Operating revenues from Encore Boston Harbor were $130.1 million for the first quarter of 2021, a 7.7% decrease from $140.9 million for the first quarter of 2020. Adjusted Property EBITDA from Encore Boston Harbor for the first quarter of 2021 was $30.4 million. Adjusted Property EBITDA from Encore Boston Harbor for the first quarter of 2020 was $(12.6) million, which included the impact of $19.3 million of expense accrued during the quarter related to our commitment to pay salary, tips, and benefits continuation for all of our U.S. employees for the period from April 1 through May 15, 2020. Table games win percentage for the first quarter of 2021 was 21.1%, within the property's expected range of 18% to 22% and above the 20.8% experienced in the first quarter of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and cash equivalents as of March 31, 2021 totaled $2.89 billion, comprised of approximately $1.80 billion held by Wynn Macau, Limited ("WML") and subsidiaries, approximately $248.4 million held by Wynn Resorts Finance excluding WML, and approximately $839.1 million at Corporate and other.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 available borrowing capacity under the Wynn Resorts Finance Revolver was $833.9 million. As of March 31, 2021, the available borrowing capacity under the Wynn Macau Revolver was $293.0 million.</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current and long-term debt outstanding at March 31, 2021 was $11.95 billion, comprised of $5.96 billion of Macau related debt, $3.12 billion of Wynn Las Vegas debt, $2.26 billion of Wynn Resorts Finance debt, and $612.5 million of debt held by the retail joint venture which we consolidate.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previously disclosed, on February 11, 2021, the Company completed a registered public offering of 7,475,000 newly issued shares of its common stock, par value $0.01 per share, at a price of $115.00 per share for proceeds of $841.9 million, net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5" w:right="339" w:bottom="1440" w:gutter="0" w:footer="0" w:header="0"/>
        </w:sectPr>
      </w:pPr>
    </w:p>
    <w:bookmarkStart w:id="5" w:name="page6"/>
    <w:bookmarkEnd w:id="5"/>
    <w:p>
      <w:pPr>
        <w:jc w:val="both"/>
        <w:spacing w:after="0" w:line="263" w:lineRule="auto"/>
        <w:rPr>
          <w:sz w:val="20"/>
          <w:szCs w:val="20"/>
          <w:color w:val="auto"/>
        </w:rPr>
      </w:pPr>
      <w:r>
        <w:rPr>
          <w:rFonts w:ascii="Arial" w:cs="Arial" w:eastAsia="Arial" w:hAnsi="Arial"/>
          <w:sz w:val="18"/>
          <w:szCs w:val="18"/>
          <w:color w:val="auto"/>
        </w:rPr>
        <w:t>$17.7 million in underwriting discounts, commissions, and other expenses. The Company used $716.0 million of the net proceeds from this equity offering to repay the outstanding borrowings under the WRF Revolver in February 2021, and intends to use the remaining net proceeds for general corporate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will hold a conference call to discuss its results, including the results of Wynn Resorts Finance, LLC and Wynn Las Vegas, LLC, on May 10, 2021 at 1:30 p.m. PT (4:30 p.m. ET). Interested parties are invited to join the call by accessing a live audio webcast at http://www.wynnresorts.com.</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or before May 14, 2021, the Company will make Wynn Resorts Finance, LLC and Wynn Las Vegas, LLC financial information for the quarter ended March 31, 2021 available to noteholders, prospective investors, broker-dealers and securities analysts. Please contact our investor relations office at 702-770-7555 or at investorrelations@wynnresorts.com, to obtain access to such 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the recent global pandemic of COVID-19, caused by a novel strain of the coronavirus, and the continued impact of its consequences, extensive regulation of our business, pending or future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2020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jc w:val="both"/>
        <w:ind w:firstLine="8"/>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03" w:lineRule="exact"/>
        <w:rPr>
          <w:rFonts w:ascii="Arial" w:cs="Arial" w:eastAsia="Arial" w:hAnsi="Arial"/>
          <w:sz w:val="16"/>
          <w:szCs w:val="16"/>
          <w:color w:val="auto"/>
        </w:rPr>
      </w:pPr>
    </w:p>
    <w:p>
      <w:pPr>
        <w:jc w:val="both"/>
        <w:ind w:firstLine="8"/>
        <w:spacing w:after="0" w:line="296" w:lineRule="auto"/>
        <w:tabs>
          <w:tab w:leader="none" w:pos="279"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loss attributable to Wynn Resorts, Limited" is net loss attributable to Wynn Resorts, Limited before pre-opening expenses, property charges and other, change in derivatives fair value, loss on extinguishment of debt, and foreign currency remeasurement and other, net of noncontrolling interests and income taxes calculated using the specific tax treatment applicable to the adjustments based on their respective jurisdictions. Adjusted net loss attributable to Wynn Resorts, Limited and adjusted net loss attributable to Wynn Resorts, Limited per diluted share are presented as supplemental disclosures to financial measures in accordance with GAAP because management believes that these non-GAAP financial measures are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5" w:right="339" w:bottom="1440" w:gutter="0" w:footer="0" w:header="0"/>
        </w:sectPr>
      </w:pPr>
    </w:p>
    <w:bookmarkStart w:id="6" w:name="page7"/>
    <w:bookmarkEnd w:id="6"/>
    <w:p>
      <w:pPr>
        <w:jc w:val="both"/>
        <w:spacing w:after="0" w:line="301" w:lineRule="auto"/>
        <w:rPr>
          <w:sz w:val="20"/>
          <w:szCs w:val="20"/>
          <w:color w:val="auto"/>
        </w:rPr>
      </w:pPr>
      <w:r>
        <w:rPr>
          <w:rFonts w:ascii="Arial" w:cs="Arial" w:eastAsia="Arial" w:hAnsi="Arial"/>
          <w:sz w:val="16"/>
          <w:szCs w:val="16"/>
          <w:color w:val="auto"/>
        </w:rPr>
        <w:t>widely used to measure the performance, and as a principal basis for valuation, of gaming companies. These measures are used by management and/or evaluated by some investors, in addition to net income (loss) and earnings per share computed in accordance with GAAP, as an additional basis for assessing period-to-period results of our business. Adjusted net loss attributable to Wynn Resorts, Limited and adjusted net loss attributable to Wynn Resorts, Limited per diluted share may be different from the calculation methods used by other companies and, therefore, comparability may be limited.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included schedules in the tables that accompany this release that reconcile (i) net loss attributable to Wynn Resorts, Limited to adjusted net loss attributable to Wynn Resorts, Limited, (ii) operating income (loss) to Adjusted Property EBITDA, and (iii) net loss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5"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ind w:left="96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11"/>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516,218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570,789</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152,681</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149,414</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80,832</w:t>
            </w:r>
          </w:p>
        </w:tc>
      </w:tr>
      <w:tr>
        <w:trPr>
          <w:trHeight w:val="223"/>
        </w:trPr>
        <w:tc>
          <w:tcPr>
            <w:tcW w:w="8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operating revenues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725,783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953,716</w:t>
            </w: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Casino</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351,966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442,690</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73,480</w:t>
            </w: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175,910</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45,580</w:t>
            </w: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179,774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234,328</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20,613</w:t>
            </w: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Pre-opening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29"/>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178,746</w:t>
            </w:r>
          </w:p>
        </w:tc>
      </w:tr>
      <w:tr>
        <w:trPr>
          <w:trHeight w:val="230"/>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 charges and 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r>
      <w:tr>
        <w:trPr>
          <w:trHeight w:val="223"/>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901,515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1,201,127</w:t>
            </w:r>
          </w:p>
        </w:tc>
      </w:tr>
      <w:tr>
        <w:trPr>
          <w:trHeight w:val="22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(175,732)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(247,411)</w:t>
            </w: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6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7,953</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(128,827)</w:t>
            </w: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Change in derivatives fair value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(15,660)</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30"/>
        </w:trPr>
        <w:tc>
          <w:tcPr>
            <w:tcW w:w="8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10,335</w:t>
            </w:r>
          </w:p>
        </w:tc>
      </w:tr>
      <w:tr>
        <w:trPr>
          <w:trHeight w:val="223"/>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(159,954)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(127,042)</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(335,686)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(374,453)</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(75,800)</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(336,179)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(450,253)</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48,216</w:t>
            </w:r>
          </w:p>
        </w:tc>
      </w:tr>
      <w:tr>
        <w:trPr>
          <w:trHeight w:val="223"/>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(280,978)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(402,037)</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8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8600" w:type="dxa"/>
            <w:vAlign w:val="bottom"/>
          </w:tcPr>
          <w:p>
            <w:pPr>
              <w:ind w:left="360"/>
              <w:spacing w:after="0"/>
              <w:rPr>
                <w:sz w:val="20"/>
                <w:szCs w:val="20"/>
                <w:color w:val="auto"/>
              </w:rPr>
            </w:pPr>
            <w:r>
              <w:rPr>
                <w:rFonts w:ascii="Arial" w:cs="Arial" w:eastAsia="Arial" w:hAnsi="Arial"/>
                <w:sz w:val="18"/>
                <w:szCs w:val="18"/>
                <w:color w:val="auto"/>
              </w:rPr>
              <w:t>Net loss attributable to Wynn Resorts, Limited: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8600" w:type="dxa"/>
            <w:vAlign w:val="bottom"/>
          </w:tcPr>
          <w:p>
            <w:pPr>
              <w:ind w:left="6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600" w:type="dxa"/>
            <w:vAlign w:val="bottom"/>
          </w:tcPr>
          <w:p>
            <w:pPr>
              <w:ind w:left="6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111,020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106,663</w:t>
            </w:r>
          </w:p>
        </w:tc>
      </w:tr>
      <w:tr>
        <w:trPr>
          <w:trHeight w:val="230"/>
        </w:trPr>
        <w:tc>
          <w:tcPr>
            <w:tcW w:w="8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106,663</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line="261" w:lineRule="auto"/>
        <w:rPr>
          <w:sz w:val="20"/>
          <w:szCs w:val="20"/>
          <w:color w:val="auto"/>
        </w:rPr>
      </w:pPr>
      <w:r>
        <w:rPr>
          <w:rFonts w:ascii="Arial" w:cs="Arial" w:eastAsia="Arial" w:hAnsi="Arial"/>
          <w:sz w:val="18"/>
          <w:szCs w:val="18"/>
          <w:b w:val="1"/>
          <w:bCs w:val="1"/>
          <w:color w:val="auto"/>
        </w:rPr>
        <w:t>WYNN RESORTS, LIMITED AND SUBSIDIARIES RECONCILIATION OF NET LOSS ATTRIBUTABLE TO WYNN RESORTS, LIMITED TO ADJUSTED NET LOSS ATTRIBUTABLE TO WYNN RESORTS, LIMITED (in thousands, except per share data)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5"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Three Months Ended</w:t>
      </w:r>
    </w:p>
    <w:p>
      <w:pPr>
        <w:ind w:left="96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loss attributable to Wynn Resorts, Limited </w:t>
            </w:r>
            <w:r>
              <w:rPr>
                <w:rFonts w:ascii="Arial" w:cs="Arial" w:eastAsia="Arial" w:hAnsi="Arial"/>
                <w:sz w:val="14"/>
                <w:szCs w:val="14"/>
                <w:color w:val="auto"/>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(402,037)</w:t>
            </w:r>
          </w:p>
        </w:tc>
        <w:tc>
          <w:tcPr>
            <w:tcW w:w="0" w:type="dxa"/>
            <w:vAlign w:val="bottom"/>
          </w:tcPr>
          <w:p>
            <w:pPr>
              <w:spacing w:after="0"/>
              <w:rPr>
                <w:sz w:val="1"/>
                <w:szCs w:val="1"/>
                <w:color w:val="auto"/>
              </w:rPr>
            </w:pPr>
          </w:p>
        </w:tc>
      </w:tr>
      <w:tr>
        <w:trPr>
          <w:trHeight w:val="229"/>
        </w:trPr>
        <w:tc>
          <w:tcPr>
            <w:tcW w:w="8760" w:type="dxa"/>
            <w:vAlign w:val="bottom"/>
          </w:tcPr>
          <w:p>
            <w:pPr>
              <w:ind w:left="360"/>
              <w:spacing w:after="0"/>
              <w:rPr>
                <w:sz w:val="20"/>
                <w:szCs w:val="20"/>
                <w:color w:val="auto"/>
              </w:rPr>
            </w:pPr>
            <w:r>
              <w:rPr>
                <w:rFonts w:ascii="Arial" w:cs="Arial" w:eastAsia="Arial" w:hAnsi="Arial"/>
                <w:sz w:val="18"/>
                <w:szCs w:val="18"/>
                <w:color w:val="auto"/>
              </w:rPr>
              <w:t>Pre-opening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charges and other</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27,229</w:t>
            </w:r>
          </w:p>
        </w:tc>
        <w:tc>
          <w:tcPr>
            <w:tcW w:w="0" w:type="dxa"/>
            <w:vAlign w:val="bottom"/>
          </w:tcPr>
          <w:p>
            <w:pPr>
              <w:spacing w:after="0"/>
              <w:rPr>
                <w:sz w:val="1"/>
                <w:szCs w:val="1"/>
                <w:color w:val="auto"/>
              </w:rPr>
            </w:pPr>
          </w:p>
        </w:tc>
      </w:tr>
      <w:tr>
        <w:trPr>
          <w:trHeight w:val="229"/>
        </w:trPr>
        <w:tc>
          <w:tcPr>
            <w:tcW w:w="8760" w:type="dxa"/>
            <w:vAlign w:val="bottom"/>
          </w:tcPr>
          <w:p>
            <w:pPr>
              <w:ind w:left="36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15,660</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9"/>
        </w:trPr>
        <w:tc>
          <w:tcPr>
            <w:tcW w:w="8760" w:type="dxa"/>
            <w:vAlign w:val="bottom"/>
          </w:tcPr>
          <w:p>
            <w:pPr>
              <w:ind w:left="360"/>
              <w:spacing w:after="0"/>
              <w:rPr>
                <w:sz w:val="20"/>
                <w:szCs w:val="20"/>
                <w:color w:val="auto"/>
              </w:rPr>
            </w:pPr>
            <w:r>
              <w:rPr>
                <w:rFonts w:ascii="Arial" w:cs="Arial" w:eastAsia="Arial" w:hAnsi="Arial"/>
                <w:sz w:val="18"/>
                <w:szCs w:val="18"/>
                <w:color w:val="auto"/>
              </w:rPr>
              <w:t>Foreign currency remeasurement (gain) loss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(10,335)</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impact on adjustments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 impact on adjustments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(11,895)</w:t>
            </w:r>
          </w:p>
        </w:tc>
        <w:tc>
          <w:tcPr>
            <w:tcW w:w="0" w:type="dxa"/>
            <w:vAlign w:val="bottom"/>
          </w:tcPr>
          <w:p>
            <w:pPr>
              <w:spacing w:after="0"/>
              <w:rPr>
                <w:sz w:val="1"/>
                <w:szCs w:val="1"/>
                <w:color w:val="auto"/>
              </w:rPr>
            </w:pPr>
          </w:p>
        </w:tc>
      </w:tr>
      <w:tr>
        <w:trPr>
          <w:trHeight w:val="248"/>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loss attributable to Wynn Resorts, Limited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(267,996)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(377,920)</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net loss attributable to Wynn Resorts, Limited per diluted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76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(2.41)</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(3.54)</w:t>
            </w:r>
          </w:p>
        </w:tc>
        <w:tc>
          <w:tcPr>
            <w:tcW w:w="0" w:type="dxa"/>
            <w:vAlign w:val="bottom"/>
          </w:tcPr>
          <w:p>
            <w:pPr>
              <w:spacing w:after="0"/>
              <w:rPr>
                <w:sz w:val="1"/>
                <w:szCs w:val="1"/>
                <w:color w:val="auto"/>
              </w:rPr>
            </w:pP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106,663</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60" w:hanging="252"/>
        <w:spacing w:after="0" w:line="273" w:lineRule="auto"/>
        <w:tabs>
          <w:tab w:leader="none" w:pos="221"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months ended March 31, 2020, includes $75.7 million of expense accrued during the quarter related to our commitment to pay salary, tips, and benefits continuation for all of our U.S. employees for the period from April 1 through May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6"/>
              </w:rPr>
              <w:t>Three Months Ended March 31, 2021</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Pre-opening</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 and</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Property</w:t>
            </w: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1"/>
                <w:szCs w:val="11"/>
                <w:color w:val="auto"/>
              </w:rPr>
            </w:pPr>
          </w:p>
        </w:tc>
        <w:tc>
          <w:tcPr>
            <w:tcW w:w="820" w:type="dxa"/>
            <w:vAlign w:val="bottom"/>
          </w:tcPr>
          <w:p>
            <w:pPr>
              <w:jc w:val="right"/>
              <w:ind w:right="128"/>
              <w:spacing w:after="0" w:line="13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Operating loss</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charges and</w:t>
            </w: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expenses and</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48"/>
              <w:spacing w:after="0" w:line="135"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8"/>
        </w:trPr>
        <w:tc>
          <w:tcPr>
            <w:tcW w:w="20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and license fees</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7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(54,788)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414</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67,010</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2,174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8,178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3,203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27,369</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16,556</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2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(75,010)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414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89,582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2,436</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14,033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4,085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8,385</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43,925</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(40,006)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48,103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28,081</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30,363</w:t>
            </w:r>
          </w:p>
        </w:tc>
        <w:tc>
          <w:tcPr>
            <w:tcW w:w="0" w:type="dxa"/>
            <w:vAlign w:val="bottom"/>
          </w:tcPr>
          <w:p>
            <w:pPr>
              <w:spacing w:after="0"/>
              <w:rPr>
                <w:sz w:val="1"/>
                <w:szCs w:val="1"/>
                <w:color w:val="auto"/>
              </w:rPr>
            </w:pPr>
          </w:p>
        </w:tc>
      </w:tr>
      <w:tr>
        <w:trPr>
          <w:trHeight w:val="186"/>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(42,083)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(28,878)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(43,469)</w:t>
            </w:r>
          </w:p>
        </w:tc>
        <w:tc>
          <w:tcPr>
            <w:tcW w:w="0" w:type="dxa"/>
            <w:vAlign w:val="bottom"/>
          </w:tcPr>
          <w:p>
            <w:pPr>
              <w:spacing w:after="0"/>
              <w:rPr>
                <w:sz w:val="1"/>
                <w:szCs w:val="1"/>
                <w:color w:val="auto"/>
              </w:rPr>
            </w:pPr>
          </w:p>
        </w:tc>
      </w:tr>
      <w:tr>
        <w:trPr>
          <w:trHeight w:val="211"/>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(175,732)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1,627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185,121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5,617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17,921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24,346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58,900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5"/>
              </w:rPr>
              <w:t>Three Months Ended March 31, 2020</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Pre-opening</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 and</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Property</w:t>
            </w:r>
          </w:p>
        </w:tc>
        <w:tc>
          <w:tcPr>
            <w:tcW w:w="12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Management</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Stock-based</w:t>
            </w:r>
          </w:p>
        </w:tc>
        <w:tc>
          <w:tcPr>
            <w:tcW w:w="140" w:type="dxa"/>
            <w:vAlign w:val="bottom"/>
          </w:tcPr>
          <w:p>
            <w:pPr>
              <w:spacing w:after="0"/>
              <w:rPr>
                <w:sz w:val="11"/>
                <w:szCs w:val="11"/>
                <w:color w:val="auto"/>
              </w:rPr>
            </w:pPr>
          </w:p>
        </w:tc>
        <w:tc>
          <w:tcPr>
            <w:tcW w:w="820" w:type="dxa"/>
            <w:vAlign w:val="bottom"/>
          </w:tcPr>
          <w:p>
            <w:pPr>
              <w:jc w:val="right"/>
              <w:ind w:right="128"/>
              <w:spacing w:after="0" w:line="13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charges and</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6"/>
              </w:rPr>
              <w:t>expenses and</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28"/>
              <w:spacing w:after="0" w:line="135"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8"/>
        </w:trPr>
        <w:tc>
          <w:tcPr>
            <w:tcW w:w="200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income (loss) </w:t>
            </w:r>
            <w:r>
              <w:rPr>
                <w:rFonts w:ascii="Arial" w:cs="Arial" w:eastAsia="Arial" w:hAnsi="Arial"/>
                <w:sz w:val="10"/>
                <w:szCs w:val="10"/>
                <w:b w:val="1"/>
                <w:bCs w:val="1"/>
                <w:color w:val="auto"/>
              </w:rPr>
              <w:t>(1)</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expenses</w:t>
            </w:r>
          </w:p>
        </w:tc>
        <w:tc>
          <w:tcPr>
            <w:tcW w:w="1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other</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and license fees</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compensation</w:t>
            </w:r>
          </w:p>
        </w:tc>
        <w:tc>
          <w:tcPr>
            <w:tcW w:w="14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7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Macau Operations:</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Arial" w:cs="Arial" w:eastAsia="Arial" w:hAnsi="Arial"/>
                <w:sz w:val="14"/>
                <w:szCs w:val="14"/>
                <w:color w:val="auto"/>
              </w:rPr>
              <w:t>Wynn Palace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(91,662)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67,009</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22,299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9,425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1,571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10,176</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Macau</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19,208</w:t>
            </w:r>
          </w:p>
        </w:tc>
        <w:tc>
          <w:tcPr>
            <w:tcW w:w="0" w:type="dxa"/>
            <w:vAlign w:val="bottom"/>
          </w:tcPr>
          <w:p>
            <w:pPr>
              <w:spacing w:after="0"/>
              <w:rPr>
                <w:sz w:val="1"/>
                <w:szCs w:val="1"/>
                <w:color w:val="auto"/>
              </w:rPr>
            </w:pPr>
          </w:p>
        </w:tc>
      </w:tr>
      <w:tr>
        <w:trPr>
          <w:trHeight w:val="186"/>
        </w:trPr>
        <w:tc>
          <w:tcPr>
            <w:tcW w:w="20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(111,262)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92,004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24,153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5,395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29,384</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(93,437)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1,139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47,245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15,205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(22,077)</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(12,636)</w:t>
            </w:r>
          </w:p>
        </w:tc>
        <w:tc>
          <w:tcPr>
            <w:tcW w:w="0" w:type="dxa"/>
            <w:vAlign w:val="bottom"/>
          </w:tcPr>
          <w:p>
            <w:pPr>
              <w:spacing w:after="0"/>
              <w:rPr>
                <w:sz w:val="1"/>
                <w:szCs w:val="1"/>
                <w:color w:val="auto"/>
              </w:rPr>
            </w:pPr>
          </w:p>
        </w:tc>
      </w:tr>
      <w:tr>
        <w:trPr>
          <w:trHeight w:val="186"/>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(39,742)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(247,411)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2,551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178,746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27,229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24,192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9,364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(5,329)</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60" w:right="220" w:hanging="252"/>
        <w:spacing w:after="0" w:line="273" w:lineRule="auto"/>
        <w:tabs>
          <w:tab w:leader="none" w:pos="221"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$56.4 million and $19.3 million of expense accrued during the quarter related to our commitment to pay salary, tips, and benefits continuation for all of our U.S. employees for the period from April 1 through May 15, 2020, for our Las Vegas Operations and Encore Boston Harbor,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ATTRIBUTABLE TO WYNN RESORTS, LIMITED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224"/>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loss attributable to Wynn Resorts, Limited </w:t>
            </w:r>
            <w:r>
              <w:rPr>
                <w:rFonts w:ascii="Arial" w:cs="Arial" w:eastAsia="Arial" w:hAnsi="Arial"/>
                <w:sz w:val="14"/>
                <w:szCs w:val="14"/>
                <w:color w:val="auto"/>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(402,037)</w:t>
            </w: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Net loss attributable to noncontrolling interests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(48,216)</w:t>
            </w: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Pre-opening expenses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185,121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178,746</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charges and other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27,229</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Corporate expenses and other</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24,192</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9,364</w:t>
            </w: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(7,953)</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128,827</w:t>
            </w: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15,660</w:t>
            </w: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(10,335)</w:t>
            </w: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58,900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(5,329)</w:t>
            </w:r>
          </w:p>
        </w:tc>
      </w:tr>
      <w:tr>
        <w:trPr>
          <w:trHeight w:val="21"/>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2"/>
        <w:spacing w:after="0" w:line="273" w:lineRule="auto"/>
        <w:tabs>
          <w:tab w:leader="none" w:pos="221"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months ended March 31, 2020, includes $75.7 million of expense accrued during the quarter related to our commitment to pay salary, tips, and benefits continuation for all of our U.S. employees for the period from April 1 through May 15, 2020.</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1" w:right="339" w:bottom="1440" w:gutter="0" w:footer="0" w:header="0"/>
        </w:sectPr>
      </w:pPr>
    </w:p>
    <w:bookmarkStart w:id="11" w:name="page12"/>
    <w:bookmarkEnd w:id="11"/>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1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780" w:type="dxa"/>
            <w:vAlign w:val="bottom"/>
            <w:tcBorders>
              <w:top w:val="single" w:sz="8" w:color="auto"/>
            </w:tcBorders>
          </w:tcPr>
          <w:p>
            <w:pPr>
              <w:jc w:val="right"/>
              <w:ind w:right="80"/>
              <w:spacing w:after="0" w:line="135"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7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Wynn Palace Supplemental Information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Casino</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185,909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207,576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Rooms</w:t>
            </w:r>
          </w:p>
        </w:tc>
        <w:tc>
          <w:tcPr>
            <w:tcW w:w="36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17,012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19,710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Food and beverage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13,298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Entertainment, retail and 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22,733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18,929</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3"/>
        </w:trPr>
        <w:tc>
          <w:tcPr>
            <w:tcW w:w="71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237,326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259,513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257"/>
        </w:trPr>
        <w:tc>
          <w:tcPr>
            <w:tcW w:w="7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27,369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10,176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169.0</w:t>
            </w:r>
          </w:p>
        </w:tc>
        <w:tc>
          <w:tcPr>
            <w:tcW w:w="0" w:type="dxa"/>
            <w:vAlign w:val="bottom"/>
          </w:tcPr>
          <w:p>
            <w:pPr>
              <w:spacing w:after="0"/>
              <w:rPr>
                <w:sz w:val="1"/>
                <w:szCs w:val="1"/>
                <w:color w:val="auto"/>
              </w:rPr>
            </w:pPr>
          </w:p>
        </w:tc>
      </w:tr>
      <w:tr>
        <w:trPr>
          <w:trHeight w:val="257"/>
        </w:trPr>
        <w:tc>
          <w:tcPr>
            <w:tcW w:w="7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VIP:</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VIP turnover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2,200,182</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4,792,454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96,456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139,569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VIP table games win as a % of turnover</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4.38 %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2.91 %</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Table games win per unit per day</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20,257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Mass market: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607,518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475,223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131,649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130,714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Table games win %</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21.7 %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Table games win per unit per day</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9,507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Average number of slot machines</w:t>
            </w:r>
          </w:p>
        </w:tc>
        <w:tc>
          <w:tcPr>
            <w:tcW w:w="36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Slot machine handle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358,772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424,714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14,243</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18,405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Slot machine win per unit per day</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Occupancy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for travelers seeking entry to Macau remain in effect at the present time. We are currently unable to determine when these measures will be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1" w:right="339" w:bottom="1440" w:gutter="0" w:footer="0" w:header="0"/>
        </w:sectPr>
      </w:pPr>
    </w:p>
    <w:bookmarkStart w:id="12" w:name="page13"/>
    <w:bookmarkEnd w:id="12"/>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71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780" w:type="dxa"/>
            <w:vAlign w:val="bottom"/>
          </w:tcPr>
          <w:p>
            <w:pPr>
              <w:jc w:val="right"/>
              <w:ind w:right="80"/>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7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Wynn Macau Supplemental Information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Casino</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138,927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190,128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Rooms</w:t>
            </w:r>
          </w:p>
        </w:tc>
        <w:tc>
          <w:tcPr>
            <w:tcW w:w="36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14,702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15,911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Food and beverage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9,531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3"/>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Entertainment, retail and 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18,589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13,919</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3"/>
        </w:trPr>
        <w:tc>
          <w:tcPr>
            <w:tcW w:w="71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179,651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229,489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(21.7)</w:t>
            </w:r>
          </w:p>
        </w:tc>
        <w:tc>
          <w:tcPr>
            <w:tcW w:w="0" w:type="dxa"/>
            <w:vAlign w:val="bottom"/>
          </w:tcPr>
          <w:p>
            <w:pPr>
              <w:spacing w:after="0"/>
              <w:rPr>
                <w:sz w:val="1"/>
                <w:szCs w:val="1"/>
                <w:color w:val="auto"/>
              </w:rPr>
            </w:pPr>
          </w:p>
        </w:tc>
      </w:tr>
      <w:tr>
        <w:trPr>
          <w:trHeight w:val="270"/>
        </w:trPr>
        <w:tc>
          <w:tcPr>
            <w:tcW w:w="7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16,556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19,208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w:t>
            </w:r>
          </w:p>
        </w:tc>
        <w:tc>
          <w:tcPr>
            <w:tcW w:w="0" w:type="dxa"/>
            <w:vAlign w:val="bottom"/>
          </w:tcPr>
          <w:p>
            <w:pPr>
              <w:spacing w:after="0"/>
              <w:rPr>
                <w:sz w:val="1"/>
                <w:szCs w:val="1"/>
                <w:color w:val="auto"/>
              </w:rPr>
            </w:pPr>
          </w:p>
        </w:tc>
      </w:tr>
      <w:tr>
        <w:trPr>
          <w:trHeight w:val="270"/>
        </w:trPr>
        <w:tc>
          <w:tcPr>
            <w:tcW w:w="7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VIP:</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VIP turnover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1,804,382</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2,964,146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58,635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122,625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VIP table games win as a % of turnover</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4.14 %</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Table games win per unit per day</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19,702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Mass market: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Average number of table games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590,890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578,235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105,183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117,941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Table games win %</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17.8 %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20.4 %</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Table games win per unit per day</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8,372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Average number of slot machines</w:t>
            </w:r>
          </w:p>
        </w:tc>
        <w:tc>
          <w:tcPr>
            <w:tcW w:w="36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Slot machine handle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301,271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366,537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10,208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13,295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Slot machine win per unit per day</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Poker rake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2,083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Room statistics: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560"/>
              <w:spacing w:after="0"/>
              <w:rPr>
                <w:sz w:val="20"/>
                <w:szCs w:val="20"/>
                <w:color w:val="auto"/>
              </w:rPr>
            </w:pPr>
            <w:r>
              <w:rPr>
                <w:rFonts w:ascii="Arial" w:cs="Arial" w:eastAsia="Arial" w:hAnsi="Arial"/>
                <w:sz w:val="16"/>
                <w:szCs w:val="16"/>
                <w:color w:val="auto"/>
              </w:rPr>
              <w:t>Occupancy</w:t>
            </w:r>
          </w:p>
        </w:tc>
        <w:tc>
          <w:tcPr>
            <w:tcW w:w="36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0"/>
        </w:trPr>
        <w:tc>
          <w:tcPr>
            <w:tcW w:w="7140" w:type="dxa"/>
            <w:vAlign w:val="bottom"/>
          </w:tcPr>
          <w:p>
            <w:pPr>
              <w:ind w:left="56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for travelers seeking entry to Macau remain in effect at the present time. We are currently unable to determine when these measures will be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1" w:right="339" w:bottom="1440" w:gutter="0" w:footer="0" w:header="0"/>
        </w:sectPr>
      </w:pPr>
    </w:p>
    <w:bookmarkStart w:id="13" w:name="page14"/>
    <w:bookmarkEnd w:id="13"/>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73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780" w:type="dxa"/>
            <w:vAlign w:val="bottom"/>
          </w:tcPr>
          <w:p>
            <w:pPr>
              <w:jc w:val="right"/>
              <w:ind w:right="80"/>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 Supplemental Information</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Casino</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79,903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71,295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3"/>
        </w:trPr>
        <w:tc>
          <w:tcPr>
            <w:tcW w:w="7380" w:type="dxa"/>
            <w:vAlign w:val="bottom"/>
          </w:tcPr>
          <w:p>
            <w:pPr>
              <w:ind w:left="360"/>
              <w:spacing w:after="0"/>
              <w:rPr>
                <w:sz w:val="20"/>
                <w:szCs w:val="20"/>
                <w:color w:val="auto"/>
              </w:rPr>
            </w:pPr>
            <w:r>
              <w:rPr>
                <w:rFonts w:ascii="Arial" w:cs="Arial" w:eastAsia="Arial" w:hAnsi="Arial"/>
                <w:sz w:val="16"/>
                <w:szCs w:val="16"/>
                <w:color w:val="auto"/>
              </w:rPr>
              <w:t>Rooms</w:t>
            </w: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39,761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106,105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Food and beverage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40,077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105,979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Entertainment, retail and other</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18,975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40,445</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178,716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323,824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(44.8)</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28,081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(22,077)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(227.2)</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560"/>
              <w:spacing w:after="0"/>
              <w:rPr>
                <w:sz w:val="20"/>
                <w:szCs w:val="20"/>
                <w:color w:val="auto"/>
              </w:rPr>
            </w:pPr>
            <w:r>
              <w:rPr>
                <w:rFonts w:ascii="Arial" w:cs="Arial" w:eastAsia="Arial" w:hAnsi="Arial"/>
                <w:sz w:val="16"/>
                <w:szCs w:val="16"/>
                <w:color w:val="auto"/>
              </w:rPr>
              <w:t>Average number of table games</w:t>
            </w: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324,531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414,933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3"/>
        </w:trPr>
        <w:tc>
          <w:tcPr>
            <w:tcW w:w="7380" w:type="dxa"/>
            <w:vAlign w:val="bottom"/>
          </w:tcPr>
          <w:p>
            <w:pPr>
              <w:ind w:left="56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76,653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82,666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Table games win %</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56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4,957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4,530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Average number of slot machines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3"/>
        </w:trPr>
        <w:tc>
          <w:tcPr>
            <w:tcW w:w="7380" w:type="dxa"/>
            <w:vAlign w:val="bottom"/>
          </w:tcPr>
          <w:p>
            <w:pPr>
              <w:ind w:left="560"/>
              <w:spacing w:after="0"/>
              <w:rPr>
                <w:sz w:val="20"/>
                <w:szCs w:val="20"/>
                <w:color w:val="auto"/>
              </w:rPr>
            </w:pPr>
            <w:r>
              <w:rPr>
                <w:rFonts w:ascii="Arial" w:cs="Arial" w:eastAsia="Arial" w:hAnsi="Arial"/>
                <w:sz w:val="16"/>
                <w:szCs w:val="16"/>
                <w:color w:val="auto"/>
              </w:rPr>
              <w:t>Slot machine handle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791,260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664,834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50,489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46,674</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7380" w:type="dxa"/>
            <w:vAlign w:val="bottom"/>
          </w:tcPr>
          <w:p>
            <w:pPr>
              <w:ind w:left="560"/>
              <w:spacing w:after="0"/>
              <w:rPr>
                <w:sz w:val="20"/>
                <w:szCs w:val="20"/>
                <w:color w:val="auto"/>
              </w:rPr>
            </w:pPr>
            <w:r>
              <w:rPr>
                <w:rFonts w:ascii="Arial" w:cs="Arial" w:eastAsia="Arial" w:hAnsi="Arial"/>
                <w:sz w:val="16"/>
                <w:szCs w:val="16"/>
                <w:color w:val="auto"/>
              </w:rPr>
              <w:t>Slot machine win per unit per day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Poker rake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2,175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3"/>
        </w:trPr>
        <w:tc>
          <w:tcPr>
            <w:tcW w:w="738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Occupancy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56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Note: Wynn Las Vegas ceased all operations and closed to the public on March 17, 2020 and reopened on June 4, 2020 with certain COVID-19 specific protective measures in place, such as limiting the number of seats per table game, slot machine spacing, temperature checks, mask protection, and suspension of certain entertainment and nightlife offerings. We are currently unable to determine when these measures will be lifted. In addition, on October 19, 2020, Encore at Wynn Las Vegas adjusted its operating schedule to five days/four nights each week due to reduced customer demand levels. This adjusted operating schedule remained in effect through the first quarter of 2021, and on April 8, 2021, Encore at Wynn Las Vegas resumed full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1" w:right="339" w:bottom="1440" w:gutter="0" w:footer="0" w:header="0"/>
        </w:sectPr>
      </w:pPr>
    </w:p>
    <w:bookmarkStart w:id="14" w:name="page15"/>
    <w:bookmarkEnd w:id="14"/>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73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780" w:type="dxa"/>
            <w:vAlign w:val="bottom"/>
          </w:tcPr>
          <w:p>
            <w:pPr>
              <w:jc w:val="right"/>
              <w:ind w:right="80"/>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Encore Boston Harbor Supplemental Information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Casino</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111,479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101,790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7380" w:type="dxa"/>
            <w:vAlign w:val="bottom"/>
          </w:tcPr>
          <w:p>
            <w:pPr>
              <w:ind w:left="360"/>
              <w:spacing w:after="0"/>
              <w:rPr>
                <w:sz w:val="20"/>
                <w:szCs w:val="20"/>
                <w:color w:val="auto"/>
              </w:rPr>
            </w:pPr>
            <w:r>
              <w:rPr>
                <w:rFonts w:ascii="Arial" w:cs="Arial" w:eastAsia="Arial" w:hAnsi="Arial"/>
                <w:sz w:val="16"/>
                <w:szCs w:val="16"/>
                <w:color w:val="auto"/>
              </w:rPr>
              <w:t>Rooms</w:t>
            </w: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4,715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10,955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Food and beverage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9,327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20,606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Entertainment, retail and other</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4,569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7,539</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130,090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140,890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30,363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(12,636)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(340.3)</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560"/>
              <w:spacing w:after="0"/>
              <w:rPr>
                <w:sz w:val="20"/>
                <w:szCs w:val="20"/>
                <w:color w:val="auto"/>
              </w:rPr>
            </w:pPr>
            <w:r>
              <w:rPr>
                <w:rFonts w:ascii="Arial" w:cs="Arial" w:eastAsia="Arial" w:hAnsi="Arial"/>
                <w:sz w:val="16"/>
                <w:szCs w:val="16"/>
                <w:color w:val="auto"/>
              </w:rPr>
              <w:t>Average number of table games</w:t>
            </w:r>
          </w:p>
        </w:tc>
        <w:tc>
          <w:tcPr>
            <w:tcW w:w="30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234,562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275,631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3"/>
        </w:trPr>
        <w:tc>
          <w:tcPr>
            <w:tcW w:w="7380" w:type="dxa"/>
            <w:vAlign w:val="bottom"/>
          </w:tcPr>
          <w:p>
            <w:pPr>
              <w:ind w:left="56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49,377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57,286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Table games win %</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56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2,752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4,826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Average number of slot machines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3"/>
        </w:trPr>
        <w:tc>
          <w:tcPr>
            <w:tcW w:w="7380" w:type="dxa"/>
            <w:vAlign w:val="bottom"/>
          </w:tcPr>
          <w:p>
            <w:pPr>
              <w:ind w:left="560"/>
              <w:spacing w:after="0"/>
              <w:rPr>
                <w:sz w:val="20"/>
                <w:szCs w:val="20"/>
                <w:color w:val="auto"/>
              </w:rPr>
            </w:pPr>
            <w:r>
              <w:rPr>
                <w:rFonts w:ascii="Arial" w:cs="Arial" w:eastAsia="Arial" w:hAnsi="Arial"/>
                <w:sz w:val="16"/>
                <w:szCs w:val="16"/>
                <w:color w:val="auto"/>
              </w:rPr>
              <w:t>Slot machine handle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913,795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767,739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74,820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59,448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3"/>
        </w:trPr>
        <w:tc>
          <w:tcPr>
            <w:tcW w:w="7380" w:type="dxa"/>
            <w:vAlign w:val="bottom"/>
          </w:tcPr>
          <w:p>
            <w:pPr>
              <w:ind w:left="560"/>
              <w:spacing w:after="0"/>
              <w:rPr>
                <w:sz w:val="20"/>
                <w:szCs w:val="20"/>
                <w:color w:val="auto"/>
              </w:rPr>
            </w:pPr>
            <w:r>
              <w:rPr>
                <w:rFonts w:ascii="Arial" w:cs="Arial" w:eastAsia="Arial" w:hAnsi="Arial"/>
                <w:sz w:val="16"/>
                <w:szCs w:val="16"/>
                <w:color w:val="auto"/>
              </w:rPr>
              <w:t>Slot machine win per unit per day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Poker rake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5,105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7380" w:type="dxa"/>
            <w:vAlign w:val="bottom"/>
          </w:tcPr>
          <w:p>
            <w:pPr>
              <w:ind w:left="360"/>
              <w:spacing w:after="0"/>
              <w:rPr>
                <w:sz w:val="20"/>
                <w:szCs w:val="20"/>
                <w:color w:val="auto"/>
              </w:rPr>
            </w:pPr>
            <w:r>
              <w:rPr>
                <w:rFonts w:ascii="Arial" w:cs="Arial" w:eastAsia="Arial" w:hAnsi="Arial"/>
                <w:sz w:val="16"/>
                <w:szCs w:val="16"/>
                <w:color w:val="auto"/>
              </w:rPr>
              <w:t>Room statistics: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Occupancy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80" w:type="dxa"/>
            <w:vAlign w:val="bottom"/>
          </w:tcPr>
          <w:p>
            <w:pPr>
              <w:ind w:left="56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Note: Encore Boston Harbor ceased all operations and closed to the public on March 15, 2020, for the remainder of the first and second quarters of 2020. On July 12, 2020, Encore Boston Harbor reopened with certain COVID-19 specific protective measures in place, such as limiting the number of seats per table game, slot machine spacing, temperature checks, and mask protection. In addition, upon reopening, certain food and beverage outlets remained closed, and hotel reservations were limited to Thursday through Sunday due to reduced customer demand levels. On November 6, 2020, Encore Boston Harbor temporarily suspended hotel operations and overnight casino operations pursuant to a state directive limiting the operating hours of certain businesses, including restaurants and casinos. On January 25, 2021, the limitations on operating hours were lifted, and Encore Boston Harbor restored 24-hour casino operations and reopened its hotel tower on a Thursday through Sunday weekly schedule. Accordingly, Encore Boston Harbor's room statistics have been computed based on 36 days of operations for the three months ended March 31, 2021 and 74 days of operations for the three months ended March 31, 2020, respectively.</w:t>
      </w:r>
    </w:p>
    <w:p>
      <w:pPr>
        <w:spacing w:after="0" w:line="200" w:lineRule="exact"/>
        <w:rPr>
          <w:sz w:val="20"/>
          <w:szCs w:val="20"/>
          <w:color w:val="auto"/>
        </w:rPr>
      </w:pPr>
    </w:p>
    <w:p>
      <w:pPr>
        <w:ind w:left="260" w:right="20" w:hanging="252"/>
        <w:spacing w:after="0" w:line="250" w:lineRule="auto"/>
        <w:tabs>
          <w:tab w:leader="none" w:pos="222" w:val="left"/>
        </w:tabs>
        <w:numPr>
          <w:ilvl w:val="0"/>
          <w:numId w:val="6"/>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60" w:hanging="252"/>
        <w:spacing w:after="0" w:line="260" w:lineRule="auto"/>
        <w:tabs>
          <w:tab w:leader="none" w:pos="221"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Refer to accompanying reconciliations of Operating Income (Loss) to Adjusted Property EBITDA and Net Loss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34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sectPr>
      <w:pgSz w:w="11900" w:h="16838" w:orient="portrait"/>
      <w:cols w:equalWidth="0" w:num="1">
        <w:col w:w="10139"/>
      </w:cols>
      <w:pgMar w:left="320" w:top="1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2021-05-10T15:16:48Z</dcterms:created>
  <dcterms:modified xsi:type="dcterms:W3CDTF">2021-05-10T15:16:48Z</dcterms:modified>
</cp:coreProperties>
</file>