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22, 2010</w:t>
      </w:r>
    </w:p>
    <w:p>
      <w:pPr>
        <w:spacing w:after="0" w:line="18" w:lineRule="exact"/>
        <w:rPr>
          <w:sz w:val="24"/>
          <w:szCs w:val="24"/>
          <w:color w:val="auto"/>
        </w:rPr>
      </w:pPr>
    </w:p>
    <w:p>
      <w:pPr>
        <w:ind w:left="90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89535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80645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RESORTS, LIMITED</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78105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7"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4000" w:type="dxa"/>
            <w:vAlign w:val="bottom"/>
          </w:tcPr>
          <w:p>
            <w:pPr>
              <w:jc w:val="center"/>
              <w:ind w:right="1986"/>
              <w:spacing w:after="0"/>
              <w:rPr>
                <w:sz w:val="20"/>
                <w:szCs w:val="20"/>
                <w:color w:val="auto"/>
              </w:rPr>
            </w:pPr>
            <w:r>
              <w:rPr>
                <w:rFonts w:ascii="Arial" w:cs="Arial" w:eastAsia="Arial" w:hAnsi="Arial"/>
                <w:sz w:val="18"/>
                <w:szCs w:val="18"/>
                <w:b w:val="1"/>
                <w:bCs w:val="1"/>
                <w:color w:val="auto"/>
                <w:w w:val="96"/>
              </w:rPr>
              <w:t>Nevada</w:t>
            </w:r>
          </w:p>
        </w:tc>
        <w:tc>
          <w:tcPr>
            <w:tcW w:w="3500" w:type="dxa"/>
            <w:vAlign w:val="bottom"/>
          </w:tcPr>
          <w:p>
            <w:pPr>
              <w:jc w:val="center"/>
              <w:ind w:left="2006"/>
              <w:spacing w:after="0"/>
              <w:rPr>
                <w:sz w:val="20"/>
                <w:szCs w:val="20"/>
                <w:color w:val="auto"/>
              </w:rPr>
            </w:pPr>
            <w:r>
              <w:rPr>
                <w:rFonts w:ascii="Arial" w:cs="Arial" w:eastAsia="Arial" w:hAnsi="Arial"/>
                <w:sz w:val="18"/>
                <w:szCs w:val="18"/>
                <w:b w:val="1"/>
                <w:bCs w:val="1"/>
                <w:color w:val="auto"/>
                <w:w w:val="97"/>
              </w:rPr>
              <w:t>46-0484987</w:t>
            </w:r>
          </w:p>
        </w:tc>
      </w:tr>
      <w:tr>
        <w:trPr>
          <w:trHeight w:val="149"/>
        </w:trPr>
        <w:tc>
          <w:tcPr>
            <w:tcW w:w="4000" w:type="dxa"/>
            <w:vAlign w:val="bottom"/>
          </w:tcPr>
          <w:p>
            <w:pPr>
              <w:jc w:val="center"/>
              <w:ind w:right="1986"/>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3500" w:type="dxa"/>
            <w:vAlign w:val="bottom"/>
          </w:tcPr>
          <w:p>
            <w:pPr>
              <w:jc w:val="center"/>
              <w:ind w:left="198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8"/>
        </w:trPr>
        <w:tc>
          <w:tcPr>
            <w:tcW w:w="4000" w:type="dxa"/>
            <w:vAlign w:val="bottom"/>
          </w:tcPr>
          <w:p>
            <w:pPr>
              <w:jc w:val="center"/>
              <w:ind w:right="2006"/>
              <w:spacing w:after="0"/>
              <w:rPr>
                <w:sz w:val="20"/>
                <w:szCs w:val="20"/>
                <w:color w:val="auto"/>
              </w:rPr>
            </w:pPr>
            <w:r>
              <w:rPr>
                <w:rFonts w:ascii="Arial" w:cs="Arial" w:eastAsia="Arial" w:hAnsi="Arial"/>
                <w:sz w:val="14"/>
                <w:szCs w:val="14"/>
                <w:b w:val="1"/>
                <w:bCs w:val="1"/>
                <w:color w:val="auto"/>
                <w:w w:val="96"/>
              </w:rPr>
              <w:t>incorporation or organization)</w:t>
            </w:r>
          </w:p>
        </w:tc>
        <w:tc>
          <w:tcPr>
            <w:tcW w:w="3500" w:type="dxa"/>
            <w:vAlign w:val="bottom"/>
          </w:tcPr>
          <w:p>
            <w:pPr>
              <w:jc w:val="center"/>
              <w:ind w:left="1986"/>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Vegas, Nevada 89109</w:t>
      </w:r>
    </w:p>
    <w:p>
      <w:pPr>
        <w:jc w:val="center"/>
        <w:spacing w:after="0" w:line="230" w:lineRule="auto"/>
        <w:rPr>
          <w:sz w:val="20"/>
          <w:szCs w:val="20"/>
          <w:color w:val="auto"/>
        </w:rPr>
      </w:pPr>
      <w:r>
        <w:rPr>
          <w:rFonts w:ascii="Arial" w:cs="Arial" w:eastAsia="Arial" w:hAnsi="Arial"/>
          <w:sz w:val="18"/>
          <w:szCs w:val="18"/>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Kim Sinatra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and Secretary</w:t>
      </w:r>
    </w:p>
    <w:p>
      <w:pPr>
        <w:jc w:val="center"/>
        <w:spacing w:after="0" w:line="234" w:lineRule="auto"/>
        <w:rPr>
          <w:sz w:val="20"/>
          <w:szCs w:val="20"/>
          <w:color w:val="auto"/>
        </w:rPr>
      </w:pPr>
      <w:r>
        <w:rPr>
          <w:rFonts w:ascii="Arial" w:cs="Arial" w:eastAsia="Arial" w:hAnsi="Arial"/>
          <w:sz w:val="18"/>
          <w:szCs w:val="18"/>
          <w:b w:val="1"/>
          <w:bCs w:val="1"/>
          <w:color w:val="auto"/>
        </w:rPr>
        <w:t>Wynn Resorts, Limited</w:t>
      </w:r>
    </w:p>
    <w:p>
      <w:pPr>
        <w:jc w:val="center"/>
        <w:spacing w:after="0" w:line="235" w:lineRule="auto"/>
        <w:rPr>
          <w:sz w:val="20"/>
          <w:szCs w:val="20"/>
          <w:color w:val="auto"/>
        </w:rPr>
      </w:pPr>
      <w:r>
        <w:rPr>
          <w:rFonts w:ascii="Arial" w:cs="Arial" w:eastAsia="Arial" w:hAnsi="Arial"/>
          <w:sz w:val="18"/>
          <w:szCs w:val="18"/>
          <w:b w:val="1"/>
          <w:bCs w:val="1"/>
          <w:color w:val="auto"/>
        </w:rPr>
        <w:t>3131 Las Vegas Boulevard South</w:t>
      </w:r>
    </w:p>
    <w:p>
      <w:pPr>
        <w:jc w:val="center"/>
        <w:spacing w:after="0" w:line="235" w:lineRule="auto"/>
        <w:rPr>
          <w:sz w:val="20"/>
          <w:szCs w:val="20"/>
          <w:color w:val="auto"/>
        </w:rPr>
      </w:pPr>
      <w:r>
        <w:rPr>
          <w:rFonts w:ascii="Arial" w:cs="Arial" w:eastAsia="Arial" w:hAnsi="Arial"/>
          <w:sz w:val="18"/>
          <w:szCs w:val="18"/>
          <w:b w:val="1"/>
          <w:bCs w:val="1"/>
          <w:color w:val="auto"/>
        </w:rPr>
        <w:t>Las Vegas, Nevada 89109</w:t>
      </w:r>
    </w:p>
    <w:p>
      <w:pPr>
        <w:jc w:val="center"/>
        <w:spacing w:after="0" w:line="231" w:lineRule="auto"/>
        <w:rPr>
          <w:sz w:val="20"/>
          <w:szCs w:val="20"/>
          <w:color w:val="auto"/>
        </w:rPr>
      </w:pPr>
      <w:r>
        <w:rPr>
          <w:rFonts w:ascii="Arial" w:cs="Arial" w:eastAsia="Arial" w:hAnsi="Arial"/>
          <w:sz w:val="18"/>
          <w:szCs w:val="18"/>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86995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of all communications to:</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Casey T. Fleck, Esq.</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Skadden, Arps, Slate, Meagher &amp; Flom LLP</w:t>
      </w:r>
    </w:p>
    <w:p>
      <w:pPr>
        <w:jc w:val="center"/>
        <w:spacing w:after="0" w:line="234" w:lineRule="auto"/>
        <w:rPr>
          <w:sz w:val="20"/>
          <w:szCs w:val="20"/>
          <w:color w:val="auto"/>
        </w:rPr>
      </w:pPr>
      <w:r>
        <w:rPr>
          <w:rFonts w:ascii="Arial" w:cs="Arial" w:eastAsia="Arial" w:hAnsi="Arial"/>
          <w:sz w:val="18"/>
          <w:szCs w:val="18"/>
          <w:b w:val="1"/>
          <w:bCs w:val="1"/>
          <w:color w:val="auto"/>
        </w:rPr>
        <w:t>300 South Grand Avenue, Suite 3400</w:t>
      </w:r>
    </w:p>
    <w:p>
      <w:pPr>
        <w:jc w:val="center"/>
        <w:spacing w:after="0" w:line="235" w:lineRule="auto"/>
        <w:rPr>
          <w:sz w:val="20"/>
          <w:szCs w:val="20"/>
          <w:color w:val="auto"/>
        </w:rPr>
      </w:pPr>
      <w:r>
        <w:rPr>
          <w:rFonts w:ascii="Arial" w:cs="Arial" w:eastAsia="Arial" w:hAnsi="Arial"/>
          <w:sz w:val="18"/>
          <w:szCs w:val="18"/>
          <w:b w:val="1"/>
          <w:bCs w:val="1"/>
          <w:color w:val="auto"/>
        </w:rPr>
        <w:t>Los Angeles, California 90071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(213) 687-5000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80645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From time to time after this registration statement becomes effective.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78105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ind w:right="420" w:firstLine="342"/>
        <w:spacing w:after="0" w:line="217"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67" w:lineRule="exact"/>
        <w:rPr>
          <w:sz w:val="24"/>
          <w:szCs w:val="24"/>
          <w:color w:val="auto"/>
        </w:rPr>
      </w:pPr>
    </w:p>
    <w:p>
      <w:pPr>
        <w:ind w:right="340" w:firstLine="342"/>
        <w:spacing w:after="0" w:line="217"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67" w:lineRule="exact"/>
        <w:rPr>
          <w:sz w:val="24"/>
          <w:szCs w:val="24"/>
          <w:color w:val="auto"/>
        </w:rPr>
      </w:pPr>
    </w:p>
    <w:p>
      <w:pPr>
        <w:ind w:right="140" w:firstLine="342"/>
        <w:spacing w:after="0" w:line="21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7" w:lineRule="exact"/>
        <w:rPr>
          <w:sz w:val="24"/>
          <w:szCs w:val="24"/>
          <w:color w:val="auto"/>
        </w:rPr>
      </w:pPr>
    </w:p>
    <w:p>
      <w:pPr>
        <w:ind w:firstLine="342"/>
        <w:spacing w:after="0" w:line="217"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pacing w:after="0" w:line="67" w:lineRule="exact"/>
        <w:rPr>
          <w:sz w:val="24"/>
          <w:szCs w:val="24"/>
          <w:color w:val="auto"/>
        </w:rPr>
      </w:pPr>
    </w:p>
    <w:p>
      <w:pPr>
        <w:ind w:right="220" w:firstLine="342"/>
        <w:spacing w:after="0" w:line="217"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67" w:lineRule="exact"/>
        <w:rPr>
          <w:sz w:val="24"/>
          <w:szCs w:val="24"/>
          <w:color w:val="auto"/>
        </w:rPr>
      </w:pPr>
    </w:p>
    <w:p>
      <w:pPr>
        <w:ind w:right="580" w:firstLine="342"/>
        <w:spacing w:after="0" w:line="217"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67" w:lineRule="exact"/>
        <w:rPr>
          <w:sz w:val="24"/>
          <w:szCs w:val="24"/>
          <w:color w:val="auto"/>
        </w:rPr>
      </w:pPr>
    </w:p>
    <w:p>
      <w:pPr>
        <w:jc w:val="both"/>
        <w:ind w:right="320" w:firstLine="342"/>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90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19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500" w:type="dxa"/>
            <w:vAlign w:val="bottom"/>
            <w:gridSpan w:val="2"/>
          </w:tcPr>
          <w:p>
            <w:pPr>
              <w:ind w:left="1200"/>
              <w:spacing w:after="0"/>
              <w:rPr>
                <w:sz w:val="20"/>
                <w:szCs w:val="20"/>
                <w:color w:val="auto"/>
              </w:rPr>
            </w:pPr>
            <w:r>
              <w:rPr>
                <w:rFonts w:ascii="Arial" w:cs="Arial" w:eastAsia="Arial" w:hAnsi="Arial"/>
                <w:sz w:val="18"/>
                <w:szCs w:val="18"/>
                <w:color w:val="auto"/>
                <w:w w:val="99"/>
              </w:rPr>
              <w:t>Accelerated filer</w:t>
            </w:r>
          </w:p>
        </w:tc>
        <w:tc>
          <w:tcPr>
            <w:tcW w:w="1240" w:type="dxa"/>
            <w:vAlign w:val="bottom"/>
          </w:tcPr>
          <w:p>
            <w:pPr>
              <w:spacing w:after="0"/>
              <w:rPr>
                <w:sz w:val="23"/>
                <w:szCs w:val="23"/>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3960" w:type="dxa"/>
            <w:vAlign w:val="bottom"/>
            <w:gridSpan w:val="4"/>
          </w:tcPr>
          <w:p>
            <w:pPr>
              <w:ind w:left="14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(do not check if a smaller reporting company)</w:t>
            </w:r>
          </w:p>
        </w:tc>
        <w:tc>
          <w:tcPr>
            <w:tcW w:w="1600" w:type="dxa"/>
            <w:vAlign w:val="bottom"/>
          </w:tcPr>
          <w:p>
            <w:pPr>
              <w:spacing w:after="0"/>
              <w:rPr>
                <w:sz w:val="24"/>
                <w:szCs w:val="24"/>
                <w:color w:val="auto"/>
              </w:rPr>
            </w:pPr>
          </w:p>
        </w:tc>
        <w:tc>
          <w:tcPr>
            <w:tcW w:w="3740" w:type="dxa"/>
            <w:vAlign w:val="bottom"/>
            <w:gridSpan w:val="3"/>
          </w:tcPr>
          <w:p>
            <w:pPr>
              <w:ind w:left="12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40" w:type="dxa"/>
            <w:vAlign w:val="bottom"/>
            <w:gridSpan w:val="4"/>
          </w:tcPr>
          <w:p>
            <w:pPr>
              <w:ind w:left="240"/>
              <w:spacing w:after="0"/>
              <w:rPr>
                <w:sz w:val="20"/>
                <w:szCs w:val="20"/>
                <w:color w:val="auto"/>
              </w:rPr>
            </w:pPr>
            <w:r>
              <w:rPr>
                <w:rFonts w:ascii="Arial" w:cs="Arial" w:eastAsia="Arial" w:hAnsi="Arial"/>
                <w:sz w:val="18"/>
                <w:szCs w:val="18"/>
                <w:b w:val="1"/>
                <w:bCs w:val="1"/>
                <w:color w:val="auto"/>
                <w:w w:val="98"/>
              </w:rPr>
              <w:t>CALCULATION OF REGISTRATION FEE</w:t>
            </w:r>
          </w:p>
        </w:tc>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0"/>
        </w:trPr>
        <w:tc>
          <w:tcPr>
            <w:tcW w:w="3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12"/>
        </w:trPr>
        <w:tc>
          <w:tcPr>
            <w:tcW w:w="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0" w:type="dxa"/>
            <w:vAlign w:val="bottom"/>
            <w:tcBorders>
              <w:right w:val="single" w:sz="8" w:color="auto"/>
            </w:tcBorders>
          </w:tcPr>
          <w:p>
            <w:pPr>
              <w:jc w:val="center"/>
              <w:ind w:right="169"/>
              <w:spacing w:after="0" w:line="113" w:lineRule="exact"/>
              <w:rPr>
                <w:sz w:val="20"/>
                <w:szCs w:val="20"/>
                <w:color w:val="auto"/>
              </w:rPr>
            </w:pPr>
            <w:r>
              <w:rPr>
                <w:rFonts w:ascii="Arial" w:cs="Arial" w:eastAsia="Arial" w:hAnsi="Arial"/>
                <w:sz w:val="12"/>
                <w:szCs w:val="12"/>
                <w:b w:val="1"/>
                <w:bCs w:val="1"/>
                <w:color w:val="auto"/>
              </w:rPr>
              <w:t>Proposed maximum</w:t>
            </w:r>
          </w:p>
        </w:tc>
        <w:tc>
          <w:tcPr>
            <w:tcW w:w="218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Proposed maximum</w:t>
            </w: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49"/>
        </w:trPr>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center"/>
              <w:ind w:left="26"/>
              <w:spacing w:after="0" w:line="149" w:lineRule="exact"/>
              <w:rPr>
                <w:sz w:val="20"/>
                <w:szCs w:val="20"/>
                <w:color w:val="auto"/>
              </w:rPr>
            </w:pPr>
            <w:r>
              <w:rPr>
                <w:rFonts w:ascii="Arial" w:cs="Arial" w:eastAsia="Arial" w:hAnsi="Arial"/>
                <w:sz w:val="14"/>
                <w:szCs w:val="14"/>
                <w:b w:val="1"/>
                <w:bCs w:val="1"/>
                <w:color w:val="auto"/>
                <w:w w:val="97"/>
              </w:rPr>
              <w:t>Amount to be</w:t>
            </w:r>
          </w:p>
        </w:tc>
        <w:tc>
          <w:tcPr>
            <w:tcW w:w="340" w:type="dxa"/>
            <w:vAlign w:val="bottom"/>
          </w:tcPr>
          <w:p>
            <w:pPr>
              <w:spacing w:after="0"/>
              <w:rPr>
                <w:sz w:val="12"/>
                <w:szCs w:val="12"/>
                <w:color w:val="auto"/>
              </w:rPr>
            </w:pPr>
          </w:p>
        </w:tc>
        <w:tc>
          <w:tcPr>
            <w:tcW w:w="1600" w:type="dxa"/>
            <w:vAlign w:val="bottom"/>
            <w:tcBorders>
              <w:right w:val="single" w:sz="8" w:color="auto"/>
            </w:tcBorders>
          </w:tcPr>
          <w:p>
            <w:pPr>
              <w:jc w:val="center"/>
              <w:ind w:right="169"/>
              <w:spacing w:after="0" w:line="149" w:lineRule="exact"/>
              <w:rPr>
                <w:sz w:val="20"/>
                <w:szCs w:val="20"/>
                <w:color w:val="auto"/>
              </w:rPr>
            </w:pPr>
            <w:r>
              <w:rPr>
                <w:rFonts w:ascii="Arial" w:cs="Arial" w:eastAsia="Arial" w:hAnsi="Arial"/>
                <w:sz w:val="14"/>
                <w:szCs w:val="14"/>
                <w:b w:val="1"/>
                <w:bCs w:val="1"/>
                <w:color w:val="auto"/>
                <w:w w:val="97"/>
              </w:rPr>
              <w:t>offering price per</w:t>
            </w:r>
          </w:p>
        </w:tc>
        <w:tc>
          <w:tcPr>
            <w:tcW w:w="2180" w:type="dxa"/>
            <w:vAlign w:val="bottom"/>
            <w:tcBorders>
              <w:right w:val="single" w:sz="8" w:color="auto"/>
            </w:tcBorders>
          </w:tcPr>
          <w:p>
            <w:pPr>
              <w:jc w:val="center"/>
              <w:ind w:left="3"/>
              <w:spacing w:after="0" w:line="149" w:lineRule="exact"/>
              <w:rPr>
                <w:sz w:val="20"/>
                <w:szCs w:val="20"/>
                <w:color w:val="auto"/>
              </w:rPr>
            </w:pPr>
            <w:r>
              <w:rPr>
                <w:rFonts w:ascii="Arial" w:cs="Arial" w:eastAsia="Arial" w:hAnsi="Arial"/>
                <w:sz w:val="14"/>
                <w:szCs w:val="14"/>
                <w:b w:val="1"/>
                <w:bCs w:val="1"/>
                <w:color w:val="auto"/>
                <w:w w:val="95"/>
              </w:rPr>
              <w:t>aggregate offering</w:t>
            </w:r>
          </w:p>
        </w:tc>
        <w:tc>
          <w:tcPr>
            <w:tcW w:w="3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 of</w:t>
            </w:r>
          </w:p>
        </w:tc>
        <w:tc>
          <w:tcPr>
            <w:tcW w:w="220" w:type="dxa"/>
            <w:vAlign w:val="bottom"/>
          </w:tcPr>
          <w:p>
            <w:pPr>
              <w:spacing w:after="0"/>
              <w:rPr>
                <w:sz w:val="12"/>
                <w:szCs w:val="12"/>
                <w:color w:val="auto"/>
              </w:rPr>
            </w:pPr>
          </w:p>
        </w:tc>
      </w:tr>
      <w:tr>
        <w:trPr>
          <w:trHeight w:val="165"/>
        </w:trPr>
        <w:tc>
          <w:tcPr>
            <w:tcW w:w="3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2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6"/>
              </w:rPr>
              <w:t>registered(1)</w:t>
            </w: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5"/>
              </w:rPr>
              <w:t>share(1)</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price(1)</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registration fee(2)</w:t>
            </w:r>
          </w:p>
        </w:tc>
        <w:tc>
          <w:tcPr>
            <w:tcW w:w="220" w:type="dxa"/>
            <w:vAlign w:val="bottom"/>
            <w:tcBorders>
              <w:bottom w:val="single" w:sz="8" w:color="auto"/>
            </w:tcBorders>
          </w:tcPr>
          <w:p>
            <w:pPr>
              <w:spacing w:after="0"/>
              <w:rPr>
                <w:sz w:val="14"/>
                <w:szCs w:val="14"/>
                <w:color w:val="auto"/>
              </w:rPr>
            </w:pPr>
          </w:p>
        </w:tc>
      </w:tr>
      <w:tr>
        <w:trPr>
          <w:trHeight w:val="196"/>
        </w:trPr>
        <w:tc>
          <w:tcPr>
            <w:tcW w:w="3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Common Stock, par value $.01 per share</w:t>
            </w:r>
          </w:p>
        </w:tc>
        <w:tc>
          <w:tcPr>
            <w:tcW w:w="3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ind w:left="540"/>
              <w:spacing w:after="0" w:line="196" w:lineRule="exact"/>
              <w:rPr>
                <w:sz w:val="20"/>
                <w:szCs w:val="20"/>
                <w:color w:val="auto"/>
              </w:rPr>
            </w:pPr>
            <w:r>
              <w:rPr>
                <w:rFonts w:ascii="Arial" w:cs="Arial" w:eastAsia="Arial" w:hAnsi="Arial"/>
                <w:sz w:val="18"/>
                <w:szCs w:val="18"/>
                <w:color w:val="auto"/>
              </w:rPr>
              <w:t>—</w:t>
            </w:r>
          </w:p>
        </w:tc>
        <w:tc>
          <w:tcPr>
            <w:tcW w:w="2180" w:type="dxa"/>
            <w:vAlign w:val="bottom"/>
            <w:tcBorders>
              <w:bottom w:val="single" w:sz="8" w:color="auto"/>
              <w:right w:val="single" w:sz="8" w:color="auto"/>
            </w:tcBorders>
          </w:tcPr>
          <w:p>
            <w:pPr>
              <w:ind w:left="98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48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r>
      <w:tr>
        <w:trPr>
          <w:trHeight w:val="155"/>
        </w:trPr>
        <w:tc>
          <w:tcPr>
            <w:tcW w:w="320" w:type="dxa"/>
            <w:vAlign w:val="bottom"/>
          </w:tcPr>
          <w:p>
            <w:pPr>
              <w:spacing w:after="0" w:line="155" w:lineRule="exact"/>
              <w:rPr>
                <w:sz w:val="20"/>
                <w:szCs w:val="20"/>
                <w:color w:val="auto"/>
              </w:rPr>
            </w:pPr>
            <w:r>
              <w:rPr>
                <w:rFonts w:ascii="Arial" w:cs="Arial" w:eastAsia="Arial" w:hAnsi="Arial"/>
                <w:sz w:val="14"/>
                <w:szCs w:val="14"/>
                <w:color w:val="auto"/>
              </w:rPr>
              <w:t>(1)</w:t>
            </w:r>
          </w:p>
        </w:tc>
        <w:tc>
          <w:tcPr>
            <w:tcW w:w="5540" w:type="dxa"/>
            <w:vAlign w:val="bottom"/>
            <w:gridSpan w:val="5"/>
          </w:tcPr>
          <w:p>
            <w:pPr>
              <w:ind w:left="140"/>
              <w:spacing w:after="0" w:line="155" w:lineRule="exact"/>
              <w:rPr>
                <w:sz w:val="20"/>
                <w:szCs w:val="20"/>
                <w:color w:val="auto"/>
              </w:rPr>
            </w:pPr>
            <w:r>
              <w:rPr>
                <w:rFonts w:ascii="Arial" w:cs="Arial" w:eastAsia="Arial" w:hAnsi="Arial"/>
                <w:sz w:val="14"/>
                <w:szCs w:val="14"/>
                <w:color w:val="auto"/>
              </w:rPr>
              <w:t>Not specified pursuant to General Instruction II.E. of Form S-3.</w:t>
            </w:r>
          </w:p>
        </w:tc>
        <w:tc>
          <w:tcPr>
            <w:tcW w:w="16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2"/>
        </w:trPr>
        <w:tc>
          <w:tcPr>
            <w:tcW w:w="320" w:type="dxa"/>
            <w:vAlign w:val="bottom"/>
          </w:tcPr>
          <w:p>
            <w:pPr>
              <w:spacing w:after="0"/>
              <w:rPr>
                <w:sz w:val="20"/>
                <w:szCs w:val="20"/>
                <w:color w:val="auto"/>
              </w:rPr>
            </w:pPr>
            <w:r>
              <w:rPr>
                <w:rFonts w:ascii="Arial" w:cs="Arial" w:eastAsia="Arial" w:hAnsi="Arial"/>
                <w:sz w:val="14"/>
                <w:szCs w:val="14"/>
                <w:color w:val="auto"/>
              </w:rPr>
              <w:t>(2)</w:t>
            </w:r>
          </w:p>
        </w:tc>
        <w:tc>
          <w:tcPr>
            <w:tcW w:w="7140" w:type="dxa"/>
            <w:vAlign w:val="bottom"/>
            <w:gridSpan w:val="6"/>
          </w:tcPr>
          <w:p>
            <w:pPr>
              <w:ind w:left="140"/>
              <w:spacing w:after="0"/>
              <w:rPr>
                <w:sz w:val="20"/>
                <w:szCs w:val="20"/>
                <w:color w:val="auto"/>
              </w:rPr>
            </w:pPr>
            <w:r>
              <w:rPr>
                <w:rFonts w:ascii="Arial" w:cs="Arial" w:eastAsia="Arial" w:hAnsi="Arial"/>
                <w:sz w:val="14"/>
                <w:szCs w:val="14"/>
                <w:color w:val="auto"/>
              </w:rPr>
              <w:t>In accordance with Rules 456(b) and 457(r), Wynn Resorts, Limited is deferring payment of the registration fee.</w:t>
            </w:r>
          </w:p>
        </w:tc>
        <w:tc>
          <w:tcPr>
            <w:tcW w:w="2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68"/>
        </w:trPr>
        <w:tc>
          <w:tcPr>
            <w:tcW w:w="3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r>
      <w:tr>
        <w:trPr>
          <w:trHeight w:val="34"/>
        </w:trPr>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765"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3009900" cy="128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0990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Under this prospectus, we may offer from time to time shares of our common stock to the public.</w:t>
      </w:r>
    </w:p>
    <w:p>
      <w:pPr>
        <w:spacing w:after="0" w:line="266"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Prospectus supplements will be filed and other offering material may be provided at later dates that will contain specific terms of each offering of shares of our common stock.</w:t>
      </w:r>
    </w:p>
    <w:p>
      <w:pPr>
        <w:spacing w:after="0" w:line="26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common stock is quoted on The NASDAQ Global Select Market under the symbol “WYNN.” Our principal executive offices are located at 3131 Las Vegas Boulevard South, Las Vegas, Nevada 89109.</w:t>
      </w:r>
    </w:p>
    <w:p>
      <w:pPr>
        <w:spacing w:after="0" w:line="245"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i w:val="1"/>
          <w:iCs w:val="1"/>
          <w:color w:val="auto"/>
        </w:rPr>
        <w:t>We urge you to read carefully this prospectus and any prospectus supplement and any other offering material filed or provided by us before you make your investment decision.</w:t>
      </w:r>
    </w:p>
    <w:p>
      <w:pPr>
        <w:spacing w:after="0" w:line="209" w:lineRule="exact"/>
        <w:rPr>
          <w:sz w:val="20"/>
          <w:szCs w:val="20"/>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1.</w:t>
      </w:r>
    </w:p>
    <w:p>
      <w:pPr>
        <w:spacing w:after="0" w:line="274"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common stock offered hereby. Any representation to the contrary is unlawful.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sell securities unless accompanied by a prospectus supplement.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date of this prospectus is October 22, 2010.</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2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367"/>
        </w:trPr>
        <w:tc>
          <w:tcPr>
            <w:tcW w:w="232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ABOUT THIS PROSPECTUS</w:t>
              </w:r>
            </w:hyperlink>
          </w:p>
        </w:tc>
        <w:tc>
          <w:tcPr>
            <w:tcW w:w="1980" w:type="dxa"/>
            <w:vAlign w:val="bottom"/>
            <w:gridSpan w:val="5"/>
          </w:tcPr>
          <w:p>
            <w:pPr>
              <w:spacing w:after="0"/>
              <w:rPr>
                <w:sz w:val="24"/>
                <w:szCs w:val="24"/>
                <w:color w:val="auto"/>
              </w:rPr>
            </w:pPr>
          </w:p>
        </w:tc>
        <w:tc>
          <w:tcPr>
            <w:tcW w:w="7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3">
              <w:r>
                <w:rPr>
                  <w:rFonts w:ascii="Arial" w:cs="Arial" w:eastAsia="Arial" w:hAnsi="Arial"/>
                  <w:sz w:val="18"/>
                  <w:szCs w:val="18"/>
                  <w:color w:val="0000EE"/>
                  <w:w w:val="96"/>
                </w:rPr>
                <w:t>RISK FACTORS</w:t>
              </w:r>
            </w:hyperlink>
          </w:p>
        </w:tc>
        <w:tc>
          <w:tcPr>
            <w:tcW w:w="3000" w:type="dxa"/>
            <w:vAlign w:val="bottom"/>
            <w:gridSpan w:val="8"/>
          </w:tcPr>
          <w:p>
            <w:pPr>
              <w:spacing w:after="0"/>
              <w:rPr>
                <w:sz w:val="15"/>
                <w:szCs w:val="15"/>
                <w:color w:val="auto"/>
              </w:rPr>
            </w:pPr>
          </w:p>
        </w:tc>
        <w:tc>
          <w:tcPr>
            <w:tcW w:w="70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4300" w:type="dxa"/>
            <w:vAlign w:val="bottom"/>
            <w:gridSpan w:val="11"/>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70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9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3"/>
          </w:tcPr>
          <w:p>
            <w:pPr>
              <w:spacing w:after="0"/>
              <w:rPr>
                <w:sz w:val="15"/>
                <w:szCs w:val="15"/>
                <w:color w:val="auto"/>
              </w:rPr>
            </w:pPr>
          </w:p>
        </w:tc>
        <w:tc>
          <w:tcPr>
            <w:tcW w:w="500" w:type="dxa"/>
            <w:vAlign w:val="bottom"/>
          </w:tcPr>
          <w:p>
            <w:pPr>
              <w:spacing w:after="0"/>
              <w:rPr>
                <w:sz w:val="15"/>
                <w:szCs w:val="15"/>
                <w:color w:val="auto"/>
              </w:rPr>
            </w:pPr>
          </w:p>
        </w:tc>
        <w:tc>
          <w:tcPr>
            <w:tcW w:w="70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4300" w:type="dxa"/>
            <w:vAlign w:val="bottom"/>
            <w:gridSpan w:val="11"/>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70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9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THE COMPANY</w:t>
              </w:r>
            </w:hyperlink>
          </w:p>
        </w:tc>
        <w:tc>
          <w:tcPr>
            <w:tcW w:w="1340" w:type="dxa"/>
            <w:vAlign w:val="bottom"/>
            <w:gridSpan w:val="3"/>
          </w:tcPr>
          <w:p>
            <w:pPr>
              <w:spacing w:after="0"/>
              <w:rPr>
                <w:sz w:val="15"/>
                <w:szCs w:val="15"/>
                <w:color w:val="auto"/>
              </w:rPr>
            </w:pPr>
          </w:p>
        </w:tc>
        <w:tc>
          <w:tcPr>
            <w:tcW w:w="702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183"/>
        </w:trPr>
        <w:tc>
          <w:tcPr>
            <w:tcW w:w="170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USE OF PROCEEDS</w:t>
              </w:r>
            </w:hyperlink>
          </w:p>
        </w:tc>
        <w:tc>
          <w:tcPr>
            <w:tcW w:w="2600" w:type="dxa"/>
            <w:vAlign w:val="bottom"/>
            <w:gridSpan w:val="6"/>
          </w:tcPr>
          <w:p>
            <w:pPr>
              <w:spacing w:after="0"/>
              <w:rPr>
                <w:sz w:val="15"/>
                <w:szCs w:val="15"/>
                <w:color w:val="auto"/>
              </w:rPr>
            </w:pPr>
          </w:p>
        </w:tc>
        <w:tc>
          <w:tcPr>
            <w:tcW w:w="70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342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DESCRIPTION OF THE COMMON STOCK</w:t>
              </w:r>
            </w:hyperlink>
          </w:p>
        </w:tc>
        <w:tc>
          <w:tcPr>
            <w:tcW w:w="880" w:type="dxa"/>
            <w:vAlign w:val="bottom"/>
            <w:gridSpan w:val="2"/>
          </w:tcPr>
          <w:p>
            <w:pPr>
              <w:spacing w:after="0"/>
              <w:rPr>
                <w:sz w:val="15"/>
                <w:szCs w:val="15"/>
                <w:color w:val="auto"/>
              </w:rPr>
            </w:pPr>
          </w:p>
        </w:tc>
        <w:tc>
          <w:tcPr>
            <w:tcW w:w="70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4300" w:type="dxa"/>
            <w:vAlign w:val="bottom"/>
            <w:gridSpan w:val="11"/>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LEGAL MATTERS</w:t>
              </w:r>
            </w:hyperlink>
          </w:p>
        </w:tc>
        <w:tc>
          <w:tcPr>
            <w:tcW w:w="70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144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EXPERTS</w:t>
              </w:r>
            </w:hyperlink>
          </w:p>
        </w:tc>
        <w:tc>
          <w:tcPr>
            <w:tcW w:w="2860" w:type="dxa"/>
            <w:vAlign w:val="bottom"/>
            <w:gridSpan w:val="7"/>
          </w:tcPr>
          <w:p>
            <w:pPr>
              <w:spacing w:after="0"/>
              <w:rPr>
                <w:sz w:val="15"/>
                <w:szCs w:val="15"/>
                <w:color w:val="auto"/>
              </w:rPr>
            </w:pPr>
          </w:p>
        </w:tc>
        <w:tc>
          <w:tcPr>
            <w:tcW w:w="70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and its consolidated subsidiaries.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80"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using a “shelf” registration process. Under this shelf process, we may sell the common stock described in this prospectus in one or more offerings. This prospectus provides you with a general description of the common stock we may offer. Each time we sell common stock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Investing in our common stock involves risks. You are urged to read and carefully consider the information under the heading “Risk Factors” in our Annual Report on Form 10-K for the year ended December 31, 2009,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 this prospectus. The risks and uncertainties that we have described are not the only ones facing us. The prospectus supplement applicable to each offering of common stock will contain additional information about risks applicable to an investment in us and shares of our common stock.</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SEC’s Public Reference Room at 100 F Street, N.E., Washington, D.C. 20549. You may obtain information on the operation of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 xml:space="preserve">Public Reference Room by calling the SEC at 1-800-SEC-0330. The SEC also maintains an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(not an active hyperlink) that contains reports, proxy and information statements, and other information regarding issuers, like Wynn Resorts, that file electronically with the SEC. Our filings with the SEC also may be accessed through our Internet website at </w:t>
      </w:r>
      <w:r>
        <w:rPr>
          <w:rFonts w:ascii="Arial" w:cs="Arial" w:eastAsia="Arial" w:hAnsi="Arial"/>
          <w:sz w:val="18"/>
          <w:szCs w:val="18"/>
          <w:i w:val="1"/>
          <w:iCs w:val="1"/>
          <w:color w:val="auto"/>
        </w:rPr>
        <w:t>http://www.wynnresorts.com</w:t>
      </w:r>
      <w:r>
        <w:rPr>
          <w:rFonts w:ascii="Arial" w:cs="Arial" w:eastAsia="Arial" w:hAnsi="Arial"/>
          <w:sz w:val="18"/>
          <w:szCs w:val="18"/>
          <w:color w:val="auto"/>
        </w:rPr>
        <w:t xml:space="preserve"> (not an active hyperlink). Our website, and the information contained in, accessible from or connected to our website, shall not be deemed to be incorporated into, or otherwise constitute a part of, this prospectus.</w:t>
      </w:r>
    </w:p>
    <w:p>
      <w:pPr>
        <w:spacing w:after="0" w:line="29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780" w:right="140" w:hanging="326"/>
        <w:spacing w:after="0" w:line="239"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2009;</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2010 and June 30, 2010;</w:t>
      </w:r>
    </w:p>
    <w:p>
      <w:pPr>
        <w:spacing w:after="0" w:line="76" w:lineRule="exact"/>
        <w:rPr>
          <w:rFonts w:ascii="Arial" w:cs="Arial" w:eastAsia="Arial" w:hAnsi="Arial"/>
          <w:sz w:val="18"/>
          <w:szCs w:val="18"/>
          <w:color w:val="auto"/>
        </w:rPr>
      </w:pPr>
    </w:p>
    <w:p>
      <w:pPr>
        <w:ind w:left="780" w:right="340" w:hanging="326"/>
        <w:spacing w:after="0" w:line="264"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current reports on Form 8-K filed on January 6, 2010, February 5, 2010, February 25, 2010 (with respect to the current report on Form 8-K dated February 23, 2010 only), March 19, 2010, March 29, 2010, April 8, 2010, April 9, 2010, April 28, 2010, May 13,</w:t>
      </w:r>
    </w:p>
    <w:p>
      <w:pPr>
        <w:ind w:left="780"/>
        <w:spacing w:after="0" w:line="239" w:lineRule="auto"/>
        <w:rPr>
          <w:rFonts w:ascii="Arial" w:cs="Arial" w:eastAsia="Arial" w:hAnsi="Arial"/>
          <w:sz w:val="16"/>
          <w:szCs w:val="16"/>
          <w:color w:val="auto"/>
        </w:rPr>
      </w:pPr>
      <w:r>
        <w:rPr>
          <w:rFonts w:ascii="Arial" w:cs="Arial" w:eastAsia="Arial" w:hAnsi="Arial"/>
          <w:sz w:val="18"/>
          <w:szCs w:val="18"/>
          <w:color w:val="auto"/>
        </w:rPr>
        <w:t>2010, May 18, 2010, July 21, 2010 (with respect to Item 8.01 only), July 21, 2010, July 29, 2010 (with respect to Item 8.01 only), July 29, 2010, August 5, 2010, August 19, 2010 and September 3, 2010;</w:t>
      </w:r>
    </w:p>
    <w:p>
      <w:pPr>
        <w:spacing w:after="0" w:line="73" w:lineRule="exact"/>
        <w:rPr>
          <w:rFonts w:ascii="Arial" w:cs="Arial" w:eastAsia="Arial" w:hAnsi="Arial"/>
          <w:sz w:val="16"/>
          <w:szCs w:val="16"/>
          <w:color w:val="auto"/>
        </w:rPr>
      </w:pPr>
    </w:p>
    <w:p>
      <w:pPr>
        <w:ind w:left="780" w:right="60" w:hanging="326"/>
        <w:spacing w:after="0" w:line="299"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2002 (File No. 000-50028), including any amendment or reports filed for the purpose of updating the description of our common stock contained therein; and</w:t>
      </w:r>
    </w:p>
    <w:p>
      <w:pPr>
        <w:spacing w:after="0" w:line="27" w:lineRule="exact"/>
        <w:rPr>
          <w:rFonts w:ascii="Arial" w:cs="Arial" w:eastAsia="Arial" w:hAnsi="Arial"/>
          <w:sz w:val="16"/>
          <w:szCs w:val="16"/>
          <w:color w:val="auto"/>
        </w:rPr>
      </w:pPr>
    </w:p>
    <w:p>
      <w:pPr>
        <w:ind w:left="780" w:right="400" w:hanging="326"/>
        <w:spacing w:after="0" w:line="23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documents that we file with the SEC pursuant to Section 13(a), 13(c), 14 or 15(d) of the Exchange Act after the date of this prospectus and prior to termination of the offering of the securities hereunder.</w:t>
      </w:r>
    </w:p>
    <w:p>
      <w:pPr>
        <w:spacing w:after="0" w:line="155" w:lineRule="exact"/>
        <w:rPr>
          <w:sz w:val="20"/>
          <w:szCs w:val="20"/>
          <w:color w:val="auto"/>
        </w:rPr>
      </w:pPr>
    </w:p>
    <w:p>
      <w:pPr>
        <w:ind w:right="300" w:firstLine="456"/>
        <w:spacing w:after="0" w:line="239"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 this prospectus.</w:t>
      </w:r>
    </w:p>
    <w:p>
      <w:pPr>
        <w:spacing w:after="0" w:line="15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Copies of the documents incorporated by reference in this prospectus are available from us upon request. We will provide to each person, including any beneficial owner, to whom a prospectus is delivered, a copy of any or all of the information that has been incorporated by reference in this prospectus, but not delivered with this prospectus, without charge to the requester, upon written or oral request. Exhibits to information incorporated by reference in this prospectus will not be sent, however, unless those exhibits have specifically been incorporated by reference in such information. Requests for such copies should be directed to the following:</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Limited</w:t>
      </w:r>
    </w:p>
    <w:p>
      <w:pPr>
        <w:ind w:left="900"/>
        <w:spacing w:after="0" w:line="234" w:lineRule="auto"/>
        <w:rPr>
          <w:sz w:val="20"/>
          <w:szCs w:val="20"/>
          <w:color w:val="auto"/>
        </w:rPr>
      </w:pPr>
      <w:r>
        <w:rPr>
          <w:rFonts w:ascii="Arial" w:cs="Arial" w:eastAsia="Arial" w:hAnsi="Arial"/>
          <w:sz w:val="18"/>
          <w:szCs w:val="18"/>
          <w:color w:val="auto"/>
        </w:rPr>
        <w:t>3131 Las Vegas Boulevard South</w:t>
      </w:r>
    </w:p>
    <w:p>
      <w:pPr>
        <w:ind w:left="900"/>
        <w:spacing w:after="0" w:line="235" w:lineRule="auto"/>
        <w:rPr>
          <w:sz w:val="20"/>
          <w:szCs w:val="20"/>
          <w:color w:val="auto"/>
        </w:rPr>
      </w:pPr>
      <w:r>
        <w:rPr>
          <w:rFonts w:ascii="Arial" w:cs="Arial" w:eastAsia="Arial" w:hAnsi="Arial"/>
          <w:sz w:val="18"/>
          <w:szCs w:val="18"/>
          <w:color w:val="auto"/>
        </w:rPr>
        <w:t>Las Vegas, Nevada 89109</w:t>
      </w:r>
    </w:p>
    <w:p>
      <w:pPr>
        <w:ind w:left="900"/>
        <w:spacing w:after="0" w:line="235" w:lineRule="auto"/>
        <w:rPr>
          <w:sz w:val="20"/>
          <w:szCs w:val="20"/>
          <w:color w:val="auto"/>
        </w:rPr>
      </w:pPr>
      <w:r>
        <w:rPr>
          <w:rFonts w:ascii="Arial" w:cs="Arial" w:eastAsia="Arial" w:hAnsi="Arial"/>
          <w:sz w:val="18"/>
          <w:szCs w:val="18"/>
          <w:color w:val="auto"/>
        </w:rPr>
        <w:t>(702) 770-7000</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Vice President—Investor Relations</w:t>
      </w:r>
    </w:p>
    <w:p>
      <w:pPr>
        <w:spacing w:after="0" w:line="158"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This prospectus, including the documents incorporated by reference in this prospectus, contains forward-looking statements,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prospectus, including the documents incorporated by reference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80"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tourism and consumer spending trends reflecting current domestic and international economic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76" w:lineRule="exact"/>
        <w:rPr>
          <w:rFonts w:ascii="Arial" w:cs="Arial" w:eastAsia="Arial" w:hAnsi="Arial"/>
          <w:sz w:val="18"/>
          <w:szCs w:val="18"/>
          <w:color w:val="auto"/>
        </w:rPr>
      </w:pPr>
    </w:p>
    <w:p>
      <w:pPr>
        <w:ind w:left="780" w:right="540" w:hanging="326"/>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borrowings under our credit facilities;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 reaction to adverse economic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developing gaming regulatory frameworks);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limited number of properties and locations for all of our cash flow;</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laws regarding health care;</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ind w:left="780" w:right="2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58"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the sections entitled “Risk Factors” in our Annual Report on Form 10-K for the year ended December 31, 2009,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COMPANY</w:t>
      </w:r>
    </w:p>
    <w:p>
      <w:pPr>
        <w:spacing w:after="0" w:line="180"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are a developer, owner and operator of destination casino resorts. We currently own and operate two casino resort complexes. In Las Vegas, Nevada, we own and operate Wynn Las Vegas, a destination casino resort which opened on April 28, 2005. In December 2008, we expanded Wynn Las Vegas with the opening of Encore at Wynn Las Vegas. We refer to the fully integrated Wynn Las Vegas and Encore at Wynn Las Vegas as our Las Vegas Operations. In the Macau Special Administrative Region of the People’s Republic of China (“Macau”), we own and operate Wynn Macau, which opened on September 6, 2006. On April 21, 2010 we opened Encore at Wynn Macau, a further expansion of Wynn Macau. We refer to the fully integrated Wynn Macau and Encore at Wynn Macau as our Macau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operations as of October 2010:</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Approximate</w:t>
            </w:r>
          </w:p>
        </w:tc>
        <w:tc>
          <w:tcPr>
            <w:tcW w:w="7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Approximate</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600" w:type="dxa"/>
            <w:vAlign w:val="bottom"/>
          </w:tcPr>
          <w:p>
            <w:pPr>
              <w:jc w:val="right"/>
              <w:ind w:right="44"/>
              <w:spacing w:after="0" w:line="149" w:lineRule="exact"/>
              <w:rPr>
                <w:sz w:val="20"/>
                <w:szCs w:val="20"/>
                <w:color w:val="auto"/>
              </w:rPr>
            </w:pPr>
            <w:r>
              <w:rPr>
                <w:rFonts w:ascii="Arial" w:cs="Arial" w:eastAsia="Arial" w:hAnsi="Arial"/>
                <w:sz w:val="14"/>
                <w:szCs w:val="14"/>
                <w:b w:val="1"/>
                <w:bCs w:val="1"/>
                <w:color w:val="auto"/>
              </w:rPr>
              <w:t>Hotel</w:t>
            </w:r>
          </w:p>
        </w:tc>
        <w:tc>
          <w:tcPr>
            <w:tcW w:w="740" w:type="dxa"/>
            <w:vAlign w:val="bottom"/>
          </w:tcPr>
          <w:p>
            <w:pPr>
              <w:spacing w:after="0"/>
              <w:rPr>
                <w:sz w:val="12"/>
                <w:szCs w:val="12"/>
                <w:color w:val="auto"/>
              </w:rPr>
            </w:pPr>
          </w:p>
        </w:tc>
        <w:tc>
          <w:tcPr>
            <w:tcW w:w="8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Casino</w:t>
            </w:r>
          </w:p>
        </w:tc>
        <w:tc>
          <w:tcPr>
            <w:tcW w:w="7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7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Approximate</w:t>
            </w:r>
          </w:p>
        </w:tc>
      </w:tr>
      <w:tr>
        <w:trPr>
          <w:trHeight w:val="149"/>
        </w:trPr>
        <w:tc>
          <w:tcPr>
            <w:tcW w:w="50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Rooms &amp;</w:t>
            </w:r>
          </w:p>
        </w:tc>
        <w:tc>
          <w:tcPr>
            <w:tcW w:w="740" w:type="dxa"/>
            <w:vAlign w:val="bottom"/>
          </w:tcPr>
          <w:p>
            <w:pPr>
              <w:spacing w:after="0"/>
              <w:rPr>
                <w:sz w:val="12"/>
                <w:szCs w:val="12"/>
                <w:color w:val="auto"/>
              </w:rPr>
            </w:pPr>
          </w:p>
        </w:tc>
        <w:tc>
          <w:tcPr>
            <w:tcW w:w="8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Square</w:t>
            </w:r>
          </w:p>
        </w:tc>
        <w:tc>
          <w:tcPr>
            <w:tcW w:w="7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Table</w:t>
            </w:r>
          </w:p>
        </w:tc>
        <w:tc>
          <w:tcPr>
            <w:tcW w:w="76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Number of</w:t>
            </w:r>
          </w:p>
        </w:tc>
      </w:tr>
      <w:tr>
        <w:trPr>
          <w:trHeight w:val="165"/>
        </w:trPr>
        <w:tc>
          <w:tcPr>
            <w:tcW w:w="5040" w:type="dxa"/>
            <w:vAlign w:val="bottom"/>
          </w:tcPr>
          <w:p>
            <w:pPr>
              <w:spacing w:after="0"/>
              <w:rPr>
                <w:sz w:val="14"/>
                <w:szCs w:val="14"/>
                <w:color w:val="auto"/>
              </w:rPr>
            </w:pPr>
          </w:p>
        </w:tc>
        <w:tc>
          <w:tcPr>
            <w:tcW w:w="6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Suites</w:t>
            </w:r>
          </w:p>
        </w:tc>
        <w:tc>
          <w:tcPr>
            <w:tcW w:w="7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Footage</w:t>
            </w:r>
          </w:p>
        </w:tc>
        <w:tc>
          <w:tcPr>
            <w:tcW w:w="7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Games</w:t>
            </w:r>
          </w:p>
        </w:tc>
        <w:tc>
          <w:tcPr>
            <w:tcW w:w="760" w:type="dxa"/>
            <w:vAlign w:val="bottom"/>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Slots</w:t>
            </w:r>
          </w:p>
        </w:tc>
        <w:tc>
          <w:tcPr>
            <w:tcW w:w="100" w:type="dxa"/>
            <w:vAlign w:val="bottom"/>
          </w:tcPr>
          <w:p>
            <w:pPr>
              <w:spacing w:after="0"/>
              <w:rPr>
                <w:sz w:val="14"/>
                <w:szCs w:val="14"/>
                <w:color w:val="auto"/>
              </w:rPr>
            </w:pPr>
          </w:p>
        </w:tc>
      </w:tr>
      <w:tr>
        <w:trPr>
          <w:trHeight w:val="196"/>
        </w:trPr>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Las Vegas</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4,750</w:t>
            </w:r>
          </w:p>
        </w:tc>
        <w:tc>
          <w:tcPr>
            <w:tcW w:w="1580" w:type="dxa"/>
            <w:vAlign w:val="bottom"/>
            <w:gridSpan w:val="2"/>
            <w:shd w:val="clear" w:color="auto" w:fill="CCEEFF"/>
          </w:tcPr>
          <w:p>
            <w:pPr>
              <w:ind w:left="940"/>
              <w:spacing w:after="0" w:line="196" w:lineRule="exact"/>
              <w:rPr>
                <w:sz w:val="20"/>
                <w:szCs w:val="20"/>
                <w:color w:val="auto"/>
              </w:rPr>
            </w:pPr>
            <w:r>
              <w:rPr>
                <w:rFonts w:ascii="Arial" w:cs="Arial" w:eastAsia="Arial" w:hAnsi="Arial"/>
                <w:sz w:val="18"/>
                <w:szCs w:val="18"/>
                <w:color w:val="auto"/>
                <w:w w:val="95"/>
              </w:rPr>
              <w:t>186,000</w:t>
            </w:r>
          </w:p>
        </w:tc>
        <w:tc>
          <w:tcPr>
            <w:tcW w:w="1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220</w:t>
            </w:r>
          </w:p>
        </w:tc>
        <w:tc>
          <w:tcPr>
            <w:tcW w:w="16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17"/>
                <w:szCs w:val="17"/>
                <w:color w:val="auto"/>
              </w:rPr>
            </w:pPr>
          </w:p>
        </w:tc>
      </w:tr>
      <w:tr>
        <w:trPr>
          <w:trHeight w:val="214"/>
        </w:trPr>
        <w:tc>
          <w:tcPr>
            <w:tcW w:w="5040" w:type="dxa"/>
            <w:vAlign w:val="bottom"/>
          </w:tcPr>
          <w:p>
            <w:pPr>
              <w:spacing w:after="0"/>
              <w:rPr>
                <w:sz w:val="20"/>
                <w:szCs w:val="20"/>
                <w:color w:val="auto"/>
              </w:rPr>
            </w:pPr>
            <w:r>
              <w:rPr>
                <w:rFonts w:ascii="Arial" w:cs="Arial" w:eastAsia="Arial" w:hAnsi="Arial"/>
                <w:sz w:val="18"/>
                <w:szCs w:val="18"/>
                <w:color w:val="auto"/>
              </w:rPr>
              <w:t>Macau</w:t>
            </w:r>
          </w:p>
        </w:tc>
        <w:tc>
          <w:tcPr>
            <w:tcW w:w="600" w:type="dxa"/>
            <w:vAlign w:val="bottom"/>
          </w:tcPr>
          <w:p>
            <w:pPr>
              <w:jc w:val="right"/>
              <w:spacing w:after="0"/>
              <w:rPr>
                <w:sz w:val="20"/>
                <w:szCs w:val="20"/>
                <w:color w:val="auto"/>
              </w:rPr>
            </w:pPr>
            <w:r>
              <w:rPr>
                <w:rFonts w:ascii="Arial" w:cs="Arial" w:eastAsia="Arial" w:hAnsi="Arial"/>
                <w:sz w:val="18"/>
                <w:szCs w:val="18"/>
                <w:color w:val="auto"/>
              </w:rPr>
              <w:t>1,014</w:t>
            </w:r>
          </w:p>
        </w:tc>
        <w:tc>
          <w:tcPr>
            <w:tcW w:w="1580" w:type="dxa"/>
            <w:vAlign w:val="bottom"/>
            <w:gridSpan w:val="2"/>
          </w:tcPr>
          <w:p>
            <w:pPr>
              <w:ind w:left="940"/>
              <w:spacing w:after="0"/>
              <w:rPr>
                <w:sz w:val="20"/>
                <w:szCs w:val="20"/>
                <w:color w:val="auto"/>
              </w:rPr>
            </w:pPr>
            <w:r>
              <w:rPr>
                <w:rFonts w:ascii="Arial" w:cs="Arial" w:eastAsia="Arial" w:hAnsi="Arial"/>
                <w:sz w:val="18"/>
                <w:szCs w:val="18"/>
                <w:color w:val="auto"/>
                <w:w w:val="95"/>
              </w:rPr>
              <w:t>256,000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8"/>
                <w:szCs w:val="18"/>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99"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217 acres of land fronting the Las Vegas Strip. In addition, we own approximately 18 acres across Sands Avenue, a portion which is utilized for employee parking and approximately 5 acres adjacent to the golf course on which an office building is located.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features:</w:t>
      </w:r>
    </w:p>
    <w:p>
      <w:pPr>
        <w:spacing w:after="0" w:line="77" w:lineRule="exact"/>
        <w:rPr>
          <w:sz w:val="20"/>
          <w:szCs w:val="20"/>
          <w:color w:val="auto"/>
        </w:rPr>
      </w:pPr>
    </w:p>
    <w:p>
      <w:pPr>
        <w:ind w:left="780" w:right="36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gaming salons, a poker room, and a race and sports book;</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21 food and beverage outlets featuring signature chefs;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76" w:lineRule="exact"/>
        <w:rPr>
          <w:rFonts w:ascii="Arial" w:cs="Arial" w:eastAsia="Arial" w:hAnsi="Arial"/>
          <w:sz w:val="18"/>
          <w:szCs w:val="18"/>
          <w:color w:val="auto"/>
        </w:rPr>
      </w:pPr>
    </w:p>
    <w:p>
      <w:pPr>
        <w:ind w:left="780" w:right="38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 full service spa and salon; and</w:t>
      </w:r>
    </w:p>
    <w:p>
      <w:pPr>
        <w:spacing w:after="0" w:line="99"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Encore at Wynn Las Vegas features:</w:t>
      </w:r>
    </w:p>
    <w:p>
      <w:pPr>
        <w:spacing w:after="0" w:line="7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approximately 76,000 square foot casino offering 24-hour gaming and a full range of games, including private gaming salons;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luxury hotel accommodations in 2,034 all-suite rooms;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 food and beverage outlets;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ind w:left="780" w:right="36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27,000 square feet of high-end brand name retail shopping, including stores and boutiques by Hermes, Chanel and others;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 full service spa and salon;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beach club, showroom, two nightclubs and lounges.</w:t>
      </w:r>
    </w:p>
    <w:p>
      <w:pPr>
        <w:spacing w:after="0" w:line="158"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In response to our evaluation of our Las Vegas Operations and the reactions of our guests, we have made and expect to continue to make enhancements and refinements to this resort complex.</w:t>
      </w:r>
    </w:p>
    <w:p>
      <w:pPr>
        <w:spacing w:after="0" w:line="155" w:lineRule="exact"/>
        <w:rPr>
          <w:sz w:val="20"/>
          <w:szCs w:val="20"/>
          <w:color w:val="auto"/>
        </w:rPr>
      </w:pPr>
    </w:p>
    <w:p>
      <w:pPr>
        <w:jc w:val="both"/>
        <w:ind w:right="420" w:firstLine="456"/>
        <w:spacing w:after="0" w:line="238" w:lineRule="auto"/>
        <w:rPr>
          <w:sz w:val="20"/>
          <w:szCs w:val="20"/>
          <w:color w:val="auto"/>
        </w:rPr>
      </w:pPr>
      <w:r>
        <w:rPr>
          <w:rFonts w:ascii="Arial" w:cs="Arial" w:eastAsia="Arial" w:hAnsi="Arial"/>
          <w:sz w:val="18"/>
          <w:szCs w:val="18"/>
          <w:color w:val="auto"/>
        </w:rPr>
        <w:t>In July 2010, we commenced a project to refurbish and upgrade the rooms and suites at Wynn Las Vegas. The total project budget is approximately $83 million and is expected to be completed early in the second quarter of 2011. As a part of this project, we are temporarily removing floors from service which reduces our total number of rooms available during the construction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99" w:lineRule="exact"/>
        <w:rPr>
          <w:sz w:val="20"/>
          <w:szCs w:val="20"/>
          <w:color w:val="auto"/>
        </w:rPr>
      </w:pPr>
    </w:p>
    <w:p>
      <w:pPr>
        <w:ind w:right="340" w:firstLine="456"/>
        <w:spacing w:after="0" w:line="239" w:lineRule="auto"/>
        <w:rPr>
          <w:sz w:val="20"/>
          <w:szCs w:val="20"/>
          <w:color w:val="auto"/>
        </w:rPr>
      </w:pPr>
      <w:r>
        <w:rPr>
          <w:rFonts w:ascii="Arial" w:cs="Arial" w:eastAsia="Arial" w:hAnsi="Arial"/>
          <w:sz w:val="18"/>
          <w:szCs w:val="18"/>
          <w:color w:val="auto"/>
        </w:rPr>
        <w:t>We opened Wynn Macau on September 6, 2006 and completed expansions of this resort in December 2007 and November 2009. We operate our Macau Operations under a 20-year casino concession agreement granted by the Macau government in June 2002.</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Macau features:</w:t>
      </w:r>
    </w:p>
    <w:p>
      <w:pPr>
        <w:spacing w:after="0" w:line="7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approximately 222,000 square foot casino offering 24-hour gaming and a full range of games, including private gaming salons;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casual and fine dining in six restaurants;</w:t>
      </w:r>
    </w:p>
    <w:p>
      <w:pPr>
        <w:spacing w:after="0" w:line="76" w:lineRule="exact"/>
        <w:rPr>
          <w:rFonts w:ascii="Arial" w:cs="Arial" w:eastAsia="Arial" w:hAnsi="Arial"/>
          <w:sz w:val="18"/>
          <w:szCs w:val="18"/>
          <w:color w:val="auto"/>
        </w:rPr>
      </w:pPr>
    </w:p>
    <w:p>
      <w:pPr>
        <w:ind w:left="780" w:right="100" w:hanging="326"/>
        <w:spacing w:after="0" w:line="23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48,000 square feet of high-end, brand-name retail shopping, including stores and boutiques by Bvlgari, Chanel, Dior, Dunhill, Fendi, Ferrari, Giorgio Armani, Gucci, Hermes, Hugo Boss, Louis Vuitton, Miu Miu, Piaget, Prada, Rolex, Tiffany, Van Cleef &amp; Arpels, Versace, Vertu, Zegna and others;</w:t>
      </w:r>
    </w:p>
    <w:p>
      <w:pPr>
        <w:spacing w:after="0" w:line="72"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Encore at Wynn Macau features:</w:t>
      </w:r>
    </w:p>
    <w:p>
      <w:pPr>
        <w:spacing w:after="0" w:line="7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approximately 22,000 square foot casino offering 24-hour gaming and a full range of games, including private gaming salons;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sky casino of approximately 12,000 square feet;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luxury hotel accommodations in 414 spacious suites and villas;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3,200 square feet of high-end brand name retail space featuring Chanel, Piaget and Cartier;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restaurants;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full service luxury spa facilities.</w:t>
      </w:r>
    </w:p>
    <w:p>
      <w:pPr>
        <w:spacing w:after="0" w:line="158" w:lineRule="exact"/>
        <w:rPr>
          <w:sz w:val="20"/>
          <w:szCs w:val="20"/>
          <w:color w:val="auto"/>
        </w:rPr>
      </w:pPr>
    </w:p>
    <w:p>
      <w:pPr>
        <w:ind w:right="300" w:firstLine="456"/>
        <w:spacing w:after="0" w:line="239" w:lineRule="auto"/>
        <w:rPr>
          <w:sz w:val="20"/>
          <w:szCs w:val="20"/>
          <w:color w:val="auto"/>
        </w:rPr>
      </w:pPr>
      <w:r>
        <w:rPr>
          <w:rFonts w:ascii="Arial" w:cs="Arial" w:eastAsia="Arial" w:hAnsi="Arial"/>
          <w:sz w:val="18"/>
          <w:szCs w:val="18"/>
          <w:color w:val="auto"/>
        </w:rPr>
        <w:t>In response to our evaluation of our Macau Operations and the reactions of our guests, we have made and expect to continue to make enhancements and refinements to this resort complex.</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Development</w:t>
      </w:r>
    </w:p>
    <w:p>
      <w:pPr>
        <w:spacing w:after="0" w:line="99" w:lineRule="exact"/>
        <w:rPr>
          <w:sz w:val="20"/>
          <w:szCs w:val="20"/>
          <w:color w:val="auto"/>
        </w:rPr>
      </w:pPr>
    </w:p>
    <w:p>
      <w:pPr>
        <w:ind w:firstLine="456"/>
        <w:spacing w:after="0" w:line="299" w:lineRule="auto"/>
        <w:rPr>
          <w:sz w:val="20"/>
          <w:szCs w:val="20"/>
          <w:color w:val="auto"/>
        </w:rPr>
      </w:pPr>
      <w:r>
        <w:rPr>
          <w:rFonts w:ascii="Arial" w:cs="Arial" w:eastAsia="Arial" w:hAnsi="Arial"/>
          <w:sz w:val="16"/>
          <w:szCs w:val="16"/>
          <w:color w:val="auto"/>
        </w:rPr>
        <w:t>Approximately 142 acres of land comprising Wynn Las Vegas is currently improved with a golf course. While we may develop this property in the future, due to the current economic environment and certain restrictions in our credit facilities, we have no immediate plans to do so.</w:t>
      </w:r>
    </w:p>
    <w:p>
      <w:pPr>
        <w:spacing w:after="0" w:line="109"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The Company has applied to the government of Macau for a land concession on approximately 52 aces of land on Cotai and is awaiting final government approval on the concession. We continue work on the concept and design of this property, but cannot prepare a final timeline or budget until government approval of the land concession has been received.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Operating Environment</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Due to a number of factors affecting the U.S., including a slowdown in global economies, high unemployment and reduced consumer spending, the outlook for Las Vegas continues to remain highly uncertain. This slowdown began in 2008, continued throughout 2009 and into the first nine months of 2010. Based on our experience over this past year and current market conditions, we believe that our Las Vegas Operations will continue to experience lower than historical room rates, casino volumes and departmental profitability. Significant new supply in Las Vegas has and will continue to put additional pressure on occupancy and room rates during 2010.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770-7000.</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Unless otherwise stated in the applicable prospectus supplement, we intend to use the net proceeds of any securities sold by us for general corporate purposes.</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COMMON STOCK</w:t>
      </w:r>
    </w:p>
    <w:p>
      <w:pPr>
        <w:spacing w:after="0" w:line="180" w:lineRule="exact"/>
        <w:rPr>
          <w:sz w:val="20"/>
          <w:szCs w:val="20"/>
          <w:color w:val="auto"/>
        </w:rPr>
      </w:pPr>
    </w:p>
    <w:p>
      <w:pPr>
        <w:ind w:right="800" w:firstLine="456"/>
        <w:spacing w:after="0" w:line="239" w:lineRule="auto"/>
        <w:rPr>
          <w:sz w:val="20"/>
          <w:szCs w:val="20"/>
          <w:color w:val="auto"/>
        </w:rPr>
      </w:pPr>
      <w:r>
        <w:rPr>
          <w:rFonts w:ascii="Arial" w:cs="Arial" w:eastAsia="Arial" w:hAnsi="Arial"/>
          <w:sz w:val="18"/>
          <w:szCs w:val="18"/>
          <w:color w:val="auto"/>
        </w:rPr>
        <w:t>For a full description of our common stock, please see the documents identified in the section “Incorporation by Reference” in this prospectus.</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Unless otherwise specified in connection with the particular offering of common stock, certain legal matters regarding the offering of the common stock pursuant to this prospectus will be passed upon for us by Brownstein Hyatt Farber Schreck, LLP, Las Vegas, Nevada.</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consolidated financial statements of Wynn Resorts, Limited appearing in Wynn Resorts, Limited’s Annual Report (Form 10-K) for the year ended December 31, 2009 including schedules appearing therein, and the effectiveness of Wynn Resorts, Limited’s internal control over financial reporting as of December 31, 2009,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9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The following table sets forth the fees and expenses payable by the Registrant in connection with the registration and sale of the securities being registered hereby. All of such fees and expenses are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12890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 registration fee</w:t>
      </w:r>
    </w:p>
    <w:p>
      <w:pPr>
        <w:ind w:left="460"/>
        <w:spacing w:after="0" w:line="234" w:lineRule="auto"/>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28905"/>
                    </a:xfrm>
                    <a:prstGeom prst="rect">
                      <a:avLst/>
                    </a:prstGeom>
                    <a:noFill/>
                  </pic:spPr>
                </pic:pic>
              </a:graphicData>
            </a:graphic>
          </wp:anchor>
        </w:drawing>
      </w:r>
    </w:p>
    <w:p>
      <w:pPr>
        <w:ind w:left="460"/>
        <w:spacing w:after="0" w:line="235" w:lineRule="auto"/>
        <w:rPr>
          <w:sz w:val="20"/>
          <w:szCs w:val="20"/>
          <w:color w:val="auto"/>
        </w:rPr>
      </w:pPr>
      <w:r>
        <w:rPr>
          <w:rFonts w:ascii="Arial" w:cs="Arial" w:eastAsia="Arial" w:hAnsi="Arial"/>
          <w:sz w:val="18"/>
          <w:szCs w:val="18"/>
          <w:color w:val="auto"/>
        </w:rPr>
        <w:t>Legal fees and expenses</w:t>
      </w:r>
    </w:p>
    <w:p>
      <w:pPr>
        <w:ind w:left="460"/>
        <w:spacing w:after="0" w:line="235" w:lineRule="auto"/>
        <w:rPr>
          <w:sz w:val="20"/>
          <w:szCs w:val="20"/>
          <w:color w:val="auto"/>
        </w:rPr>
      </w:pPr>
      <w:r>
        <w:rPr>
          <w:rFonts w:ascii="Arial" w:cs="Arial" w:eastAsia="Arial" w:hAnsi="Arial"/>
          <w:sz w:val="18"/>
          <w:szCs w:val="18"/>
          <w:color w:val="auto"/>
        </w:rPr>
        <w:t>Printing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-1270</wp:posOffset>
            </wp:positionV>
            <wp:extent cx="666369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28905"/>
                    </a:xfrm>
                    <a:prstGeom prst="rect">
                      <a:avLst/>
                    </a:prstGeom>
                    <a:noFill/>
                  </pic:spPr>
                </pic:pic>
              </a:graphicData>
            </a:graphic>
          </wp:anchor>
        </w:drawing>
      </w:r>
    </w:p>
    <w:p>
      <w:pPr>
        <w:ind w:left="460"/>
        <w:spacing w:after="0" w:line="235" w:lineRule="auto"/>
        <w:rPr>
          <w:sz w:val="20"/>
          <w:szCs w:val="20"/>
          <w:color w:val="auto"/>
        </w:rPr>
      </w:pPr>
      <w:r>
        <w:rPr>
          <w:rFonts w:ascii="Arial" w:cs="Arial" w:eastAsia="Arial" w:hAnsi="Arial"/>
          <w:sz w:val="18"/>
          <w:szCs w:val="18"/>
          <w:color w:val="auto"/>
        </w:rPr>
        <w:t>Nasdaq listing fee</w:t>
      </w:r>
    </w:p>
    <w:p>
      <w:pPr>
        <w:ind w:left="46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wp:posOffset>
            </wp:positionV>
            <wp:extent cx="666369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28905"/>
                    </a:xfrm>
                    <a:prstGeom prst="rect">
                      <a:avLst/>
                    </a:prstGeom>
                    <a:noFill/>
                  </pic:spPr>
                </pic:pic>
              </a:graphicData>
            </a:graphic>
          </wp:anchor>
        </w:drawing>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right="4830" w:firstLine="8"/>
        <w:spacing w:after="0" w:line="299" w:lineRule="auto"/>
        <w:tabs>
          <w:tab w:leader="none" w:pos="4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Payable in accordance with Rules 456(b) and 457(r). ** This information is unknown at the time of filing.</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670" w:hanging="670"/>
        <w:spacing w:after="0"/>
        <w:tabs>
          <w:tab w:leader="none" w:pos="6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p>
    <w:p>
      <w:pPr>
        <w:ind w:left="210"/>
        <w:spacing w:after="0"/>
        <w:rPr>
          <w:rFonts w:ascii="Arial" w:cs="Arial" w:eastAsia="Arial" w:hAnsi="Arial"/>
          <w:sz w:val="18"/>
          <w:szCs w:val="18"/>
          <w:color w:val="auto"/>
        </w:rPr>
      </w:pPr>
      <w:r>
        <w:rPr>
          <w:rFonts w:ascii="Arial" w:cs="Arial" w:eastAsia="Arial" w:hAnsi="Arial"/>
          <w:sz w:val="16"/>
          <w:szCs w:val="16"/>
          <w:color w:val="auto"/>
        </w:rPr>
        <w:t>50,000</w:t>
      </w:r>
    </w:p>
    <w:p>
      <w:pPr>
        <w:spacing w:after="0" w:line="14"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200,000</w:t>
      </w:r>
    </w:p>
    <w:p>
      <w:pPr>
        <w:jc w:val="right"/>
        <w:ind w:right="540"/>
        <w:spacing w:after="0" w:line="234" w:lineRule="auto"/>
        <w:rPr>
          <w:sz w:val="20"/>
          <w:szCs w:val="20"/>
          <w:color w:val="auto"/>
        </w:rPr>
      </w:pPr>
      <w:r>
        <w:rPr>
          <w:rFonts w:ascii="Arial" w:cs="Arial" w:eastAsia="Arial" w:hAnsi="Arial"/>
          <w:sz w:val="18"/>
          <w:szCs w:val="18"/>
          <w:color w:val="auto"/>
        </w:rPr>
        <w:t>25,000</w:t>
      </w:r>
    </w:p>
    <w:p>
      <w:pPr>
        <w:jc w:val="right"/>
        <w:ind w:right="540"/>
        <w:spacing w:after="0" w:line="235"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4718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3" w:lineRule="exact"/>
        <w:rPr>
          <w:sz w:val="20"/>
          <w:szCs w:val="20"/>
          <w:color w:val="auto"/>
        </w:rPr>
      </w:pPr>
    </w:p>
    <w:p>
      <w:pPr>
        <w:ind w:left="610" w:hanging="610"/>
        <w:spacing w:after="0"/>
        <w:tabs>
          <w:tab w:leader="none" w:pos="61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4718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26670</wp:posOffset>
            </wp:positionV>
            <wp:extent cx="4718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847" w:lineRule="exact"/>
        <w:rPr>
          <w:sz w:val="20"/>
          <w:szCs w:val="20"/>
          <w:color w:val="auto"/>
        </w:rPr>
      </w:pPr>
    </w:p>
    <w:p>
      <w:pPr>
        <w:sectPr>
          <w:pgSz w:w="11900" w:h="16838" w:orient="portrait"/>
          <w:cols w:equalWidth="0" w:num="2">
            <w:col w:w="9390" w:space="720"/>
            <w:col w:w="129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9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w:t>
      </w:r>
    </w:p>
    <w:p>
      <w:pPr>
        <w:spacing w:after="0" w:line="1" w:lineRule="exact"/>
        <w:rPr>
          <w:sz w:val="20"/>
          <w:szCs w:val="20"/>
          <w:color w:val="auto"/>
        </w:rPr>
      </w:pPr>
    </w:p>
    <w:p>
      <w:pPr>
        <w:ind w:firstLine="8"/>
        <w:spacing w:after="0" w:line="235" w:lineRule="auto"/>
        <w:tabs>
          <w:tab w:leader="none" w:pos="2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61"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Exhibit No.</w:t>
            </w:r>
          </w:p>
        </w:tc>
        <w:tc>
          <w:tcPr>
            <w:tcW w:w="1100" w:type="dxa"/>
            <w:vAlign w:val="bottom"/>
          </w:tcPr>
          <w:p>
            <w:pPr>
              <w:spacing w:after="0"/>
              <w:rPr>
                <w:sz w:val="15"/>
                <w:szCs w:val="15"/>
                <w:color w:val="auto"/>
              </w:rPr>
            </w:pPr>
          </w:p>
        </w:tc>
        <w:tc>
          <w:tcPr>
            <w:tcW w:w="9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9"/>
        </w:trPr>
        <w:tc>
          <w:tcPr>
            <w:tcW w:w="1960" w:type="dxa"/>
            <w:vAlign w:val="bottom"/>
            <w:gridSpan w:val="2"/>
          </w:tcPr>
          <w:p>
            <w:pPr>
              <w:jc w:val="right"/>
              <w:ind w:right="1100"/>
              <w:spacing w:after="0" w:line="200" w:lineRule="exact"/>
              <w:rPr>
                <w:sz w:val="20"/>
                <w:szCs w:val="20"/>
                <w:color w:val="auto"/>
              </w:rPr>
            </w:pPr>
            <w:r>
              <w:rPr>
                <w:rFonts w:ascii="Arial" w:cs="Arial" w:eastAsia="Arial" w:hAnsi="Arial"/>
                <w:sz w:val="18"/>
                <w:szCs w:val="18"/>
                <w:color w:val="auto"/>
              </w:rPr>
              <w:t>4.1</w:t>
            </w:r>
          </w:p>
        </w:tc>
        <w:tc>
          <w:tcPr>
            <w:tcW w:w="9460" w:type="dxa"/>
            <w:vAlign w:val="bottom"/>
          </w:tcPr>
          <w:p>
            <w:pPr>
              <w:spacing w:after="0" w:line="200" w:lineRule="exact"/>
              <w:rPr>
                <w:sz w:val="20"/>
                <w:szCs w:val="20"/>
                <w:color w:val="auto"/>
              </w:rPr>
            </w:pPr>
            <w:r>
              <w:rPr>
                <w:rFonts w:ascii="Arial" w:cs="Arial" w:eastAsia="Arial" w:hAnsi="Arial"/>
                <w:sz w:val="18"/>
                <w:szCs w:val="18"/>
                <w:color w:val="auto"/>
              </w:rPr>
              <w:t>Second Amended and Restated Articles of Incorporation of the Registrant (incorporated by reference to Amendment</w:t>
            </w:r>
          </w:p>
        </w:tc>
      </w:tr>
      <w:tr>
        <w:trPr>
          <w:trHeight w:val="211"/>
        </w:trPr>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No. 4 to the Form S-1 filed by the Registrant on October 7, 2002 (File No. 333-90600))</w:t>
            </w:r>
          </w:p>
        </w:tc>
      </w:tr>
      <w:tr>
        <w:trPr>
          <w:trHeight w:val="302"/>
        </w:trPr>
        <w:tc>
          <w:tcPr>
            <w:tcW w:w="1960" w:type="dxa"/>
            <w:vAlign w:val="bottom"/>
            <w:gridSpan w:val="2"/>
          </w:tcPr>
          <w:p>
            <w:pPr>
              <w:jc w:val="right"/>
              <w:ind w:right="1100"/>
              <w:spacing w:after="0"/>
              <w:rPr>
                <w:sz w:val="20"/>
                <w:szCs w:val="20"/>
                <w:color w:val="auto"/>
              </w:rPr>
            </w:pPr>
            <w:r>
              <w:rPr>
                <w:rFonts w:ascii="Arial" w:cs="Arial" w:eastAsia="Arial" w:hAnsi="Arial"/>
                <w:sz w:val="18"/>
                <w:szCs w:val="18"/>
                <w:color w:val="auto"/>
              </w:rPr>
              <w:t>4.2</w:t>
            </w:r>
          </w:p>
        </w:tc>
        <w:tc>
          <w:tcPr>
            <w:tcW w:w="9460" w:type="dxa"/>
            <w:vAlign w:val="bottom"/>
          </w:tcPr>
          <w:p>
            <w:pPr>
              <w:spacing w:after="0"/>
              <w:rPr>
                <w:sz w:val="20"/>
                <w:szCs w:val="20"/>
                <w:color w:val="auto"/>
              </w:rPr>
            </w:pPr>
            <w:r>
              <w:rPr>
                <w:rFonts w:ascii="Arial" w:cs="Arial" w:eastAsia="Arial" w:hAnsi="Arial"/>
                <w:sz w:val="18"/>
                <w:szCs w:val="18"/>
                <w:color w:val="auto"/>
                <w:w w:val="97"/>
              </w:rPr>
              <w:t>Fourth Amended and Restated Bylaws of the Registrant (incorporated by reference to the Quarterly Report on Form 10-Q</w:t>
            </w:r>
          </w:p>
        </w:tc>
      </w:tr>
      <w:tr>
        <w:trPr>
          <w:trHeight w:val="211"/>
        </w:trPr>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filed by the Registrant on August 9, 2007)</w:t>
            </w:r>
          </w:p>
        </w:tc>
      </w:tr>
      <w:tr>
        <w:trPr>
          <w:trHeight w:val="311"/>
        </w:trPr>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10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Opinion of Brownstein Hyatt Farber Schreck, LLP</w:t>
            </w:r>
          </w:p>
        </w:tc>
      </w:tr>
      <w:tr>
        <w:trPr>
          <w:trHeight w:val="311"/>
        </w:trPr>
        <w:tc>
          <w:tcPr>
            <w:tcW w:w="860" w:type="dxa"/>
            <w:vAlign w:val="bottom"/>
          </w:tcPr>
          <w:p>
            <w:pPr>
              <w:jc w:val="right"/>
              <w:spacing w:after="0"/>
              <w:rPr>
                <w:sz w:val="20"/>
                <w:szCs w:val="20"/>
                <w:color w:val="auto"/>
              </w:rPr>
            </w:pPr>
            <w:r>
              <w:rPr>
                <w:rFonts w:ascii="Arial" w:cs="Arial" w:eastAsia="Arial" w:hAnsi="Arial"/>
                <w:sz w:val="18"/>
                <w:szCs w:val="18"/>
                <w:color w:val="auto"/>
              </w:rPr>
              <w:t>*23.1</w:t>
            </w:r>
          </w:p>
        </w:tc>
        <w:tc>
          <w:tcPr>
            <w:tcW w:w="110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Consent of Ernst &amp; Young LLP</w:t>
            </w:r>
          </w:p>
        </w:tc>
      </w:tr>
      <w:tr>
        <w:trPr>
          <w:trHeight w:val="311"/>
        </w:trPr>
        <w:tc>
          <w:tcPr>
            <w:tcW w:w="860" w:type="dxa"/>
            <w:vAlign w:val="bottom"/>
          </w:tcPr>
          <w:p>
            <w:pPr>
              <w:jc w:val="right"/>
              <w:spacing w:after="0"/>
              <w:rPr>
                <w:sz w:val="20"/>
                <w:szCs w:val="20"/>
                <w:color w:val="auto"/>
              </w:rPr>
            </w:pPr>
            <w:r>
              <w:rPr>
                <w:rFonts w:ascii="Arial" w:cs="Arial" w:eastAsia="Arial" w:hAnsi="Arial"/>
                <w:sz w:val="18"/>
                <w:szCs w:val="18"/>
                <w:color w:val="auto"/>
              </w:rPr>
              <w:t>*23.2</w:t>
            </w:r>
          </w:p>
        </w:tc>
        <w:tc>
          <w:tcPr>
            <w:tcW w:w="110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Consent of Brownstein Hyatt Farber Schreck, LLP (included in Exhibit 5.1)</w:t>
            </w:r>
          </w:p>
        </w:tc>
      </w:tr>
      <w:tr>
        <w:trPr>
          <w:trHeight w:val="302"/>
        </w:trPr>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10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Powers of Attorney of officers and directors of Wynn Resorts, Limited (included on signature page of this Registration</w:t>
            </w:r>
          </w:p>
        </w:tc>
      </w:tr>
      <w:tr>
        <w:trPr>
          <w:trHeight w:val="211"/>
        </w:trPr>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99" w:lineRule="exact"/>
        <w:rPr>
          <w:sz w:val="20"/>
          <w:szCs w:val="20"/>
          <w:color w:val="auto"/>
        </w:rPr>
      </w:pPr>
    </w:p>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540" w:hanging="199"/>
        <w:spacing w:after="0"/>
        <w:tabs>
          <w:tab w:leader="none" w:pos="15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right="40" w:firstLine="421"/>
        <w:spacing w:after="0" w:line="236" w:lineRule="auto"/>
        <w:tabs>
          <w:tab w:leader="none" w:pos="1584"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74" w:lineRule="exact"/>
        <w:rPr>
          <w:rFonts w:ascii="Arial" w:cs="Arial" w:eastAsia="Arial" w:hAnsi="Arial"/>
          <w:sz w:val="18"/>
          <w:szCs w:val="18"/>
          <w:color w:val="auto"/>
        </w:rPr>
      </w:pPr>
    </w:p>
    <w:p>
      <w:pPr>
        <w:ind w:left="920" w:firstLine="421"/>
        <w:spacing w:after="0" w:line="239" w:lineRule="auto"/>
        <w:tabs>
          <w:tab w:leader="none" w:pos="1623"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6" w:lineRule="exact"/>
        <w:rPr>
          <w:sz w:val="20"/>
          <w:szCs w:val="20"/>
          <w:color w:val="auto"/>
        </w:rPr>
      </w:pPr>
    </w:p>
    <w:p>
      <w:pPr>
        <w:ind w:left="920" w:right="220"/>
        <w:spacing w:after="0" w:line="24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w:t>
      </w:r>
      <w:r>
        <w:rPr>
          <w:rFonts w:ascii="Arial" w:cs="Arial" w:eastAsia="Arial" w:hAnsi="Arial"/>
          <w:sz w:val="18"/>
          <w:szCs w:val="18"/>
          <w:i w:val="1"/>
          <w:iCs w:val="1"/>
          <w:color w:val="auto"/>
        </w:rPr>
        <w:t xml:space="preserve"> </w:t>
      </w:r>
      <w:r>
        <w:rPr>
          <w:rFonts w:ascii="Arial" w:cs="Arial" w:eastAsia="Arial" w:hAnsi="Arial"/>
          <w:sz w:val="18"/>
          <w:szCs w:val="18"/>
          <w:color w:val="auto"/>
        </w:rPr>
        <w:t>post-effective amendment by those paragraphs is contained in reports filed with or furnished to the SEC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71" w:lineRule="exact"/>
        <w:rPr>
          <w:sz w:val="20"/>
          <w:szCs w:val="20"/>
          <w:color w:val="auto"/>
        </w:rPr>
      </w:pPr>
    </w:p>
    <w:p>
      <w:pPr>
        <w:ind w:left="460" w:right="260" w:firstLine="443"/>
        <w:spacing w:after="0" w:line="238" w:lineRule="auto"/>
        <w:tabs>
          <w:tab w:leader="none" w:pos="11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41" w:lineRule="exact"/>
        <w:rPr>
          <w:sz w:val="20"/>
          <w:szCs w:val="20"/>
          <w:color w:val="auto"/>
        </w:rPr>
      </w:pPr>
    </w:p>
    <w:p>
      <w:pPr>
        <w:ind w:left="460" w:right="100" w:firstLine="443"/>
        <w:spacing w:after="0" w:line="239"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76" w:lineRule="exact"/>
        <w:rPr>
          <w:rFonts w:ascii="Arial" w:cs="Arial" w:eastAsia="Arial" w:hAnsi="Arial"/>
          <w:sz w:val="18"/>
          <w:szCs w:val="18"/>
          <w:color w:val="auto"/>
        </w:rPr>
      </w:pPr>
    </w:p>
    <w:p>
      <w:pPr>
        <w:ind w:left="920" w:right="80" w:firstLine="421"/>
        <w:spacing w:after="0" w:line="239" w:lineRule="auto"/>
        <w:tabs>
          <w:tab w:leader="none" w:pos="1623"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3" w:lineRule="exact"/>
        <w:rPr>
          <w:rFonts w:ascii="Arial" w:cs="Arial" w:eastAsia="Arial" w:hAnsi="Arial"/>
          <w:sz w:val="18"/>
          <w:szCs w:val="18"/>
          <w:color w:val="auto"/>
        </w:rPr>
      </w:pPr>
    </w:p>
    <w:p>
      <w:pPr>
        <w:ind w:left="920" w:right="20" w:firstLine="421"/>
        <w:spacing w:after="0" w:line="235" w:lineRule="auto"/>
        <w:tabs>
          <w:tab w:leader="none" w:pos="1623"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79" w:lineRule="exact"/>
        <w:rPr>
          <w:rFonts w:ascii="Arial" w:cs="Arial" w:eastAsia="Arial" w:hAnsi="Arial"/>
          <w:sz w:val="18"/>
          <w:szCs w:val="18"/>
          <w:color w:val="auto"/>
        </w:rPr>
      </w:pPr>
    </w:p>
    <w:p>
      <w:pPr>
        <w:ind w:left="460" w:right="740" w:firstLine="443"/>
        <w:spacing w:after="0" w:line="239"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74" w:lineRule="exact"/>
        <w:rPr>
          <w:sz w:val="20"/>
          <w:szCs w:val="20"/>
          <w:color w:val="auto"/>
        </w:rPr>
      </w:pPr>
    </w:p>
    <w:p>
      <w:pPr>
        <w:ind w:left="460" w:right="80" w:firstLine="438"/>
        <w:spacing w:after="0" w:line="237"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4" w:lineRule="exact"/>
        <w:rPr>
          <w:sz w:val="20"/>
          <w:szCs w:val="20"/>
          <w:color w:val="auto"/>
        </w:rPr>
      </w:pPr>
    </w:p>
    <w:p>
      <w:pPr>
        <w:ind w:left="920" w:right="140" w:firstLine="421"/>
        <w:spacing w:after="0" w:line="239" w:lineRule="auto"/>
        <w:tabs>
          <w:tab w:leader="none" w:pos="1545"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3" w:lineRule="exact"/>
        <w:rPr>
          <w:rFonts w:ascii="Arial" w:cs="Arial" w:eastAsia="Arial" w:hAnsi="Arial"/>
          <w:sz w:val="18"/>
          <w:szCs w:val="18"/>
          <w:color w:val="auto"/>
        </w:rPr>
      </w:pPr>
    </w:p>
    <w:p>
      <w:pPr>
        <w:ind w:left="920" w:firstLine="421"/>
        <w:spacing w:after="0" w:line="239" w:lineRule="auto"/>
        <w:tabs>
          <w:tab w:leader="none" w:pos="1584"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3" w:lineRule="exact"/>
        <w:rPr>
          <w:rFonts w:ascii="Arial" w:cs="Arial" w:eastAsia="Arial" w:hAnsi="Arial"/>
          <w:sz w:val="18"/>
          <w:szCs w:val="18"/>
          <w:color w:val="auto"/>
        </w:rPr>
      </w:pPr>
    </w:p>
    <w:p>
      <w:pPr>
        <w:ind w:left="920" w:right="100" w:firstLine="421"/>
        <w:spacing w:after="0" w:line="239" w:lineRule="auto"/>
        <w:tabs>
          <w:tab w:leader="none" w:pos="1623"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w:t>
      </w:r>
    </w:p>
    <w:p>
      <w:pPr>
        <w:spacing w:after="0" w:line="76" w:lineRule="exact"/>
        <w:rPr>
          <w:rFonts w:ascii="Arial" w:cs="Arial" w:eastAsia="Arial" w:hAnsi="Arial"/>
          <w:sz w:val="18"/>
          <w:szCs w:val="18"/>
          <w:color w:val="auto"/>
        </w:rPr>
      </w:pPr>
    </w:p>
    <w:p>
      <w:pPr>
        <w:ind w:left="460" w:right="80" w:firstLine="443"/>
        <w:spacing w:after="0" w:line="299" w:lineRule="auto"/>
        <w:tabs>
          <w:tab w:leader="none" w:pos="1162"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160"/>
        <w:spacing w:after="0" w:line="238" w:lineRule="auto"/>
        <w:rPr>
          <w:sz w:val="20"/>
          <w:szCs w:val="20"/>
          <w:color w:val="auto"/>
        </w:rPr>
      </w:pPr>
      <w:r>
        <w:rPr>
          <w:rFonts w:ascii="Arial" w:cs="Arial" w:eastAsia="Arial" w:hAnsi="Arial"/>
          <w:sz w:val="18"/>
          <w:szCs w:val="18"/>
          <w:color w:val="auto"/>
        </w:rPr>
        <w:t>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3" w:lineRule="exact"/>
        <w:rPr>
          <w:sz w:val="20"/>
          <w:szCs w:val="20"/>
          <w:color w:val="auto"/>
        </w:rPr>
      </w:pPr>
    </w:p>
    <w:p>
      <w:pPr>
        <w:ind w:left="460" w:firstLine="443"/>
        <w:spacing w:after="0" w:line="269" w:lineRule="auto"/>
        <w:tabs>
          <w:tab w:leader="none" w:pos="1162"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Las Vegas, State of Nevada, on this 22nd day of October, 2010.</w:t>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YNN</w:t>
      </w:r>
      <w:r>
        <w:rPr>
          <w:rFonts w:ascii="Arial" w:cs="Arial" w:eastAsia="Arial" w:hAnsi="Arial"/>
          <w:sz w:val="18"/>
          <w:szCs w:val="18"/>
          <w:color w:val="auto"/>
        </w:rPr>
        <w:t xml:space="preserve"> R</w:t>
      </w:r>
      <w:r>
        <w:rPr>
          <w:rFonts w:ascii="Arial" w:cs="Arial" w:eastAsia="Arial" w:hAnsi="Arial"/>
          <w:sz w:val="14"/>
          <w:szCs w:val="14"/>
          <w:color w:val="auto"/>
        </w:rPr>
        <w:t>ESORTS</w:t>
      </w:r>
      <w:r>
        <w:rPr>
          <w:rFonts w:ascii="Arial" w:cs="Arial" w:eastAsia="Arial" w:hAnsi="Arial"/>
          <w:sz w:val="18"/>
          <w:szCs w:val="18"/>
          <w:color w:val="auto"/>
        </w:rPr>
        <w:t>, L</w:t>
      </w:r>
      <w:r>
        <w:rPr>
          <w:rFonts w:ascii="Arial" w:cs="Arial" w:eastAsia="Arial" w:hAnsi="Arial"/>
          <w:sz w:val="14"/>
          <w:szCs w:val="14"/>
          <w:color w:val="auto"/>
        </w:rPr>
        <w:t>IMITED</w:t>
      </w:r>
    </w:p>
    <w:p>
      <w:pPr>
        <w:spacing w:after="0" w:line="212" w:lineRule="exact"/>
        <w:rPr>
          <w:sz w:val="20"/>
          <w:szCs w:val="20"/>
          <w:color w:val="auto"/>
        </w:rPr>
      </w:pPr>
    </w:p>
    <w:p>
      <w:pPr>
        <w:ind w:left="6860"/>
        <w:spacing w:after="0"/>
        <w:tabs>
          <w:tab w:leader="none" w:pos="8380" w:val="left"/>
          <w:tab w:leader="none" w:pos="8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-4445</wp:posOffset>
            </wp:positionV>
            <wp:extent cx="26587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4"/>
          <w:szCs w:val="14"/>
          <w:b w:val="1"/>
          <w:bCs w:val="1"/>
          <w:color w:val="auto"/>
        </w:rPr>
        <w:t>Matt Maddox</w:t>
      </w:r>
    </w:p>
    <w:p>
      <w:pPr>
        <w:spacing w:after="0" w:line="2"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80"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Stephen A. Wynn, Kim Sinatra and Matt Maddox, and each of them acting individually, with full power to act without the others, as his or her true and lawful attorney-in-fact and agent with full power of substitution and resubstitution, for him or her and in his or her name, place and stead, in any and all capacities, to sign any or all amendments to this registration statement (including post-effective amendments, or any abbreviated registration statement and any amendments thereto filed pursuant to Rule 462 under the Securities Act of 1933 and otherwise),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said attorney-in-fact and agent or his or her substitute or substitutes, may lawfully do or cause to be done by virtue hereof.</w:t>
      </w:r>
    </w:p>
    <w:p>
      <w:pPr>
        <w:spacing w:after="0" w:line="16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5"/>
              </w:rPr>
              <w:t>Signature</w:t>
            </w:r>
          </w:p>
        </w:tc>
        <w:tc>
          <w:tcPr>
            <w:tcW w:w="1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0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15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4840" w:type="dxa"/>
            <w:vAlign w:val="bottom"/>
            <w:gridSpan w:val="3"/>
          </w:tcPr>
          <w:p>
            <w:pPr>
              <w:ind w:left="240"/>
              <w:spacing w:after="0"/>
              <w:rPr>
                <w:sz w:val="20"/>
                <w:szCs w:val="20"/>
                <w:color w:val="auto"/>
              </w:rPr>
            </w:pPr>
            <w:r>
              <w:rPr>
                <w:rFonts w:ascii="Arial" w:cs="Arial" w:eastAsia="Arial" w:hAnsi="Arial"/>
                <w:sz w:val="18"/>
                <w:szCs w:val="18"/>
                <w:color w:val="auto"/>
              </w:rPr>
              <w:t>Chairman of the Board and Chief Executive Officer</w:t>
            </w:r>
          </w:p>
        </w:tc>
        <w:tc>
          <w:tcPr>
            <w:tcW w:w="1540" w:type="dxa"/>
            <w:vAlign w:val="bottom"/>
            <w:gridSpan w:val="3"/>
          </w:tcPr>
          <w:p>
            <w:pPr>
              <w:ind w:left="180"/>
              <w:spacing w:after="0"/>
              <w:rPr>
                <w:sz w:val="20"/>
                <w:szCs w:val="20"/>
                <w:color w:val="auto"/>
              </w:rPr>
            </w:pPr>
            <w:r>
              <w:rPr>
                <w:rFonts w:ascii="Arial" w:cs="Arial" w:eastAsia="Arial" w:hAnsi="Arial"/>
                <w:sz w:val="18"/>
                <w:szCs w:val="18"/>
                <w:color w:val="auto"/>
                <w:w w:val="96"/>
              </w:rPr>
              <w:t>October 22, 2010</w:t>
            </w:r>
          </w:p>
        </w:tc>
      </w:tr>
      <w:tr>
        <w:trPr>
          <w:trHeight w:val="194"/>
        </w:trPr>
        <w:tc>
          <w:tcPr>
            <w:tcW w:w="1540" w:type="dxa"/>
            <w:vAlign w:val="bottom"/>
          </w:tcPr>
          <w:p>
            <w:pPr>
              <w:spacing w:after="0"/>
              <w:rPr>
                <w:sz w:val="16"/>
                <w:szCs w:val="16"/>
                <w:color w:val="auto"/>
              </w:rPr>
            </w:pPr>
          </w:p>
        </w:tc>
        <w:tc>
          <w:tcPr>
            <w:tcW w:w="292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97"/>
              </w:rPr>
              <w:t>Stephen A. Wynn</w:t>
            </w:r>
          </w:p>
        </w:tc>
        <w:tc>
          <w:tcPr>
            <w:tcW w:w="4840" w:type="dxa"/>
            <w:vAlign w:val="bottom"/>
            <w:gridSpan w:val="3"/>
          </w:tcPr>
          <w:p>
            <w:pPr>
              <w:ind w:left="460"/>
              <w:spacing w:after="0" w:line="195" w:lineRule="exact"/>
              <w:rPr>
                <w:sz w:val="20"/>
                <w:szCs w:val="20"/>
                <w:color w:val="auto"/>
              </w:rPr>
            </w:pPr>
            <w:r>
              <w:rPr>
                <w:rFonts w:ascii="Arial" w:cs="Arial" w:eastAsia="Arial" w:hAnsi="Arial"/>
                <w:sz w:val="18"/>
                <w:szCs w:val="18"/>
                <w:color w:val="auto"/>
              </w:rPr>
              <w:t>(Principal Executive Officer)</w:t>
            </w: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407"/>
        </w:trPr>
        <w:tc>
          <w:tcPr>
            <w:tcW w:w="154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4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c>
          <w:tcPr>
            <w:tcW w:w="484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and Treasurer (Principal Financial</w:t>
            </w:r>
          </w:p>
        </w:tc>
        <w:tc>
          <w:tcPr>
            <w:tcW w:w="1540" w:type="dxa"/>
            <w:vAlign w:val="bottom"/>
            <w:gridSpan w:val="3"/>
          </w:tcPr>
          <w:p>
            <w:pPr>
              <w:ind w:left="180"/>
              <w:spacing w:after="0"/>
              <w:rPr>
                <w:sz w:val="20"/>
                <w:szCs w:val="20"/>
                <w:color w:val="auto"/>
              </w:rPr>
            </w:pPr>
            <w:r>
              <w:rPr>
                <w:rFonts w:ascii="Arial" w:cs="Arial" w:eastAsia="Arial" w:hAnsi="Arial"/>
                <w:sz w:val="18"/>
                <w:szCs w:val="18"/>
                <w:color w:val="auto"/>
                <w:w w:val="96"/>
              </w:rPr>
              <w:t>October 22, 2010</w:t>
            </w:r>
          </w:p>
        </w:tc>
      </w:tr>
      <w:tr>
        <w:trPr>
          <w:trHeight w:val="194"/>
        </w:trPr>
        <w:tc>
          <w:tcPr>
            <w:tcW w:w="1540" w:type="dxa"/>
            <w:vAlign w:val="bottom"/>
          </w:tcPr>
          <w:p>
            <w:pPr>
              <w:spacing w:after="0"/>
              <w:rPr>
                <w:sz w:val="16"/>
                <w:szCs w:val="16"/>
                <w:color w:val="auto"/>
              </w:rPr>
            </w:pPr>
          </w:p>
        </w:tc>
        <w:tc>
          <w:tcPr>
            <w:tcW w:w="29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5"/>
              </w:rPr>
              <w:t>Matt Maddox</w:t>
            </w:r>
          </w:p>
        </w:tc>
        <w:tc>
          <w:tcPr>
            <w:tcW w:w="4840" w:type="dxa"/>
            <w:vAlign w:val="bottom"/>
            <w:gridSpan w:val="3"/>
          </w:tcPr>
          <w:p>
            <w:pPr>
              <w:ind w:left="460"/>
              <w:spacing w:after="0" w:line="195" w:lineRule="exact"/>
              <w:rPr>
                <w:sz w:val="20"/>
                <w:szCs w:val="20"/>
                <w:color w:val="auto"/>
              </w:rPr>
            </w:pPr>
            <w:r>
              <w:rPr>
                <w:rFonts w:ascii="Arial" w:cs="Arial" w:eastAsia="Arial" w:hAnsi="Arial"/>
                <w:sz w:val="18"/>
                <w:szCs w:val="18"/>
                <w:color w:val="auto"/>
              </w:rPr>
              <w:t>and Accounting Officer)</w:t>
            </w: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407"/>
        </w:trPr>
        <w:tc>
          <w:tcPr>
            <w:tcW w:w="15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ARC</w:t>
            </w:r>
            <w:r>
              <w:rPr>
                <w:rFonts w:ascii="Arial" w:cs="Arial" w:eastAsia="Arial" w:hAnsi="Arial"/>
                <w:sz w:val="18"/>
                <w:szCs w:val="18"/>
                <w:color w:val="auto"/>
              </w:rPr>
              <w:t xml:space="preserve"> D. S</w:t>
            </w:r>
            <w:r>
              <w:rPr>
                <w:rFonts w:ascii="Arial" w:cs="Arial" w:eastAsia="Arial" w:hAnsi="Arial"/>
                <w:sz w:val="14"/>
                <w:szCs w:val="14"/>
                <w:color w:val="auto"/>
              </w:rPr>
              <w:t>CHORR</w:t>
            </w:r>
          </w:p>
        </w:tc>
        <w:tc>
          <w:tcPr>
            <w:tcW w:w="4840" w:type="dxa"/>
            <w:vAlign w:val="bottom"/>
            <w:gridSpan w:val="3"/>
          </w:tcPr>
          <w:p>
            <w:pPr>
              <w:ind w:left="240"/>
              <w:spacing w:after="0"/>
              <w:rPr>
                <w:sz w:val="20"/>
                <w:szCs w:val="20"/>
                <w:color w:val="auto"/>
              </w:rPr>
            </w:pPr>
            <w:r>
              <w:rPr>
                <w:rFonts w:ascii="Arial" w:cs="Arial" w:eastAsia="Arial" w:hAnsi="Arial"/>
                <w:sz w:val="18"/>
                <w:szCs w:val="18"/>
                <w:color w:val="auto"/>
              </w:rPr>
              <w:t>Chief Operating Officer and Director</w:t>
            </w:r>
          </w:p>
        </w:tc>
        <w:tc>
          <w:tcPr>
            <w:tcW w:w="1540" w:type="dxa"/>
            <w:vAlign w:val="bottom"/>
            <w:gridSpan w:val="3"/>
          </w:tcPr>
          <w:p>
            <w:pPr>
              <w:ind w:left="180"/>
              <w:spacing w:after="0"/>
              <w:rPr>
                <w:sz w:val="20"/>
                <w:szCs w:val="20"/>
                <w:color w:val="auto"/>
              </w:rPr>
            </w:pPr>
            <w:r>
              <w:rPr>
                <w:rFonts w:ascii="Arial" w:cs="Arial" w:eastAsia="Arial" w:hAnsi="Arial"/>
                <w:sz w:val="18"/>
                <w:szCs w:val="18"/>
                <w:color w:val="auto"/>
                <w:w w:val="96"/>
              </w:rPr>
              <w:t>October 22, 2010</w:t>
            </w:r>
          </w:p>
        </w:tc>
      </w:tr>
      <w:tr>
        <w:trPr>
          <w:trHeight w:val="172"/>
        </w:trPr>
        <w:tc>
          <w:tcPr>
            <w:tcW w:w="1540" w:type="dxa"/>
            <w:vAlign w:val="bottom"/>
          </w:tcPr>
          <w:p>
            <w:pPr>
              <w:spacing w:after="0"/>
              <w:rPr>
                <w:sz w:val="14"/>
                <w:szCs w:val="14"/>
                <w:color w:val="auto"/>
              </w:rPr>
            </w:pPr>
          </w:p>
        </w:tc>
        <w:tc>
          <w:tcPr>
            <w:tcW w:w="292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96"/>
              </w:rPr>
              <w:t>Marc D. Schorr</w:t>
            </w: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403"/>
        </w:trPr>
        <w:tc>
          <w:tcPr>
            <w:tcW w:w="154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w w:val="94"/>
              </w:rPr>
              <w:t>/s/</w:t>
            </w:r>
          </w:p>
        </w:tc>
        <w:tc>
          <w:tcPr>
            <w:tcW w:w="292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8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40" w:type="dxa"/>
            <w:vAlign w:val="bottom"/>
            <w:gridSpan w:val="3"/>
          </w:tcPr>
          <w:p>
            <w:pPr>
              <w:ind w:left="180"/>
              <w:spacing w:after="0"/>
              <w:rPr>
                <w:sz w:val="20"/>
                <w:szCs w:val="20"/>
                <w:color w:val="auto"/>
              </w:rPr>
            </w:pPr>
            <w:r>
              <w:rPr>
                <w:rFonts w:ascii="Arial" w:cs="Arial" w:eastAsia="Arial" w:hAnsi="Arial"/>
                <w:sz w:val="18"/>
                <w:szCs w:val="18"/>
                <w:color w:val="auto"/>
                <w:w w:val="96"/>
              </w:rPr>
              <w:t>October 22, 2010</w:t>
            </w:r>
          </w:p>
        </w:tc>
      </w:tr>
      <w:tr>
        <w:trPr>
          <w:trHeight w:val="172"/>
        </w:trPr>
        <w:tc>
          <w:tcPr>
            <w:tcW w:w="1540" w:type="dxa"/>
            <w:vAlign w:val="bottom"/>
          </w:tcPr>
          <w:p>
            <w:pPr>
              <w:spacing w:after="0"/>
              <w:rPr>
                <w:sz w:val="14"/>
                <w:szCs w:val="14"/>
                <w:color w:val="auto"/>
              </w:rPr>
            </w:pPr>
          </w:p>
        </w:tc>
        <w:tc>
          <w:tcPr>
            <w:tcW w:w="29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6"/>
              </w:rPr>
              <w:t>Kazuo Okada</w:t>
            </w: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403"/>
        </w:trPr>
        <w:tc>
          <w:tcPr>
            <w:tcW w:w="4460" w:type="dxa"/>
            <w:vAlign w:val="bottom"/>
            <w:tcBorders>
              <w:bottom w:val="single" w:sz="8" w:color="auto"/>
            </w:tcBorders>
            <w:gridSpan w:val="4"/>
          </w:tcPr>
          <w:p>
            <w:pPr>
              <w:ind w:left="142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tc>
        <w:tc>
          <w:tcPr>
            <w:tcW w:w="48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40" w:type="dxa"/>
            <w:vAlign w:val="bottom"/>
            <w:gridSpan w:val="3"/>
          </w:tcPr>
          <w:p>
            <w:pPr>
              <w:ind w:left="180"/>
              <w:spacing w:after="0"/>
              <w:rPr>
                <w:sz w:val="20"/>
                <w:szCs w:val="20"/>
                <w:color w:val="auto"/>
              </w:rPr>
            </w:pPr>
            <w:r>
              <w:rPr>
                <w:rFonts w:ascii="Arial" w:cs="Arial" w:eastAsia="Arial" w:hAnsi="Arial"/>
                <w:sz w:val="18"/>
                <w:szCs w:val="18"/>
                <w:color w:val="auto"/>
                <w:w w:val="96"/>
              </w:rPr>
              <w:t>October 22, 2010</w:t>
            </w:r>
          </w:p>
        </w:tc>
      </w:tr>
      <w:tr>
        <w:trPr>
          <w:trHeight w:val="172"/>
        </w:trPr>
        <w:tc>
          <w:tcPr>
            <w:tcW w:w="1540" w:type="dxa"/>
            <w:vAlign w:val="bottom"/>
          </w:tcPr>
          <w:p>
            <w:pPr>
              <w:spacing w:after="0"/>
              <w:rPr>
                <w:sz w:val="14"/>
                <w:szCs w:val="14"/>
                <w:color w:val="auto"/>
              </w:rPr>
            </w:pPr>
          </w:p>
        </w:tc>
        <w:tc>
          <w:tcPr>
            <w:tcW w:w="29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7"/>
              </w:rPr>
              <w:t>Linda Chen</w:t>
            </w: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346"/>
        </w:trPr>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40" w:type="dxa"/>
            <w:vAlign w:val="bottom"/>
            <w:gridSpan w:val="3"/>
          </w:tcPr>
          <w:p>
            <w:pPr>
              <w:ind w:left="1120"/>
              <w:spacing w:after="0"/>
              <w:rPr>
                <w:sz w:val="20"/>
                <w:szCs w:val="20"/>
                <w:color w:val="auto"/>
              </w:rPr>
            </w:pPr>
            <w:r>
              <w:rPr>
                <w:rFonts w:ascii="Arial" w:cs="Arial" w:eastAsia="Arial" w:hAnsi="Arial"/>
                <w:sz w:val="18"/>
                <w:szCs w:val="18"/>
                <w:color w:val="auto"/>
              </w:rPr>
              <w:t>S-1</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5"/>
              </w:rPr>
              <w:t>Signature</w:t>
            </w:r>
          </w:p>
        </w:tc>
        <w:tc>
          <w:tcPr>
            <w:tcW w:w="18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90"/>
              </w:rPr>
              <w:t>Title</w:t>
            </w:r>
          </w:p>
        </w:tc>
        <w:tc>
          <w:tcPr>
            <w:tcW w:w="318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1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14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3020" w:type="dxa"/>
            <w:vAlign w:val="bottom"/>
            <w:tcBorders>
              <w:bottom w:val="single" w:sz="8" w:color="auto"/>
            </w:tcBorders>
            <w:gridSpan w:val="4"/>
          </w:tcPr>
          <w:p>
            <w:pPr>
              <w:jc w:val="center"/>
              <w:ind w:right="13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USSELL</w:t>
            </w:r>
            <w:r>
              <w:rPr>
                <w:rFonts w:ascii="Arial" w:cs="Arial" w:eastAsia="Arial" w:hAnsi="Arial"/>
                <w:sz w:val="18"/>
                <w:szCs w:val="18"/>
                <w:color w:val="auto"/>
              </w:rPr>
              <w:t xml:space="preserve"> G</w:t>
            </w:r>
            <w:r>
              <w:rPr>
                <w:rFonts w:ascii="Arial" w:cs="Arial" w:eastAsia="Arial" w:hAnsi="Arial"/>
                <w:sz w:val="14"/>
                <w:szCs w:val="14"/>
                <w:color w:val="auto"/>
              </w:rPr>
              <w:t>OLDSMITH</w:t>
            </w: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ind w:left="2360"/>
              <w:spacing w:after="0"/>
              <w:rPr>
                <w:sz w:val="20"/>
                <w:szCs w:val="20"/>
                <w:color w:val="auto"/>
              </w:rPr>
            </w:pPr>
            <w:r>
              <w:rPr>
                <w:rFonts w:ascii="Arial" w:cs="Arial" w:eastAsia="Arial" w:hAnsi="Arial"/>
                <w:sz w:val="18"/>
                <w:szCs w:val="18"/>
                <w:color w:val="auto"/>
                <w:w w:val="96"/>
              </w:rPr>
              <w:t>October 22, 2010</w:t>
            </w:r>
          </w:p>
        </w:tc>
      </w:tr>
      <w:tr>
        <w:trPr>
          <w:trHeight w:val="172"/>
        </w:trPr>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5"/>
              </w:rPr>
              <w:t>Russell Goldsmith</w:t>
            </w: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403"/>
        </w:trPr>
        <w:tc>
          <w:tcPr>
            <w:tcW w:w="1600" w:type="dxa"/>
            <w:vAlign w:val="bottom"/>
            <w:tcBorders>
              <w:bottom w:val="single" w:sz="8" w:color="auto"/>
            </w:tcBorders>
            <w:gridSpan w:val="2"/>
          </w:tcPr>
          <w:p>
            <w:pPr>
              <w:ind w:left="1400"/>
              <w:spacing w:after="0"/>
              <w:rPr>
                <w:sz w:val="20"/>
                <w:szCs w:val="20"/>
                <w:color w:val="auto"/>
              </w:rPr>
            </w:pPr>
            <w:r>
              <w:rPr>
                <w:rFonts w:ascii="Arial" w:cs="Arial" w:eastAsia="Arial" w:hAnsi="Arial"/>
                <w:sz w:val="18"/>
                <w:szCs w:val="18"/>
                <w:color w:val="auto"/>
                <w:w w:val="94"/>
              </w:rPr>
              <w:t>/s/</w:t>
            </w:r>
          </w:p>
        </w:tc>
        <w:tc>
          <w:tcPr>
            <w:tcW w:w="286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AY</w:t>
            </w:r>
            <w:r>
              <w:rPr>
                <w:rFonts w:ascii="Arial" w:cs="Arial" w:eastAsia="Arial" w:hAnsi="Arial"/>
                <w:sz w:val="18"/>
                <w:szCs w:val="18"/>
                <w:color w:val="auto"/>
                <w:w w:val="99"/>
              </w:rPr>
              <w:t xml:space="preserve"> R. I</w:t>
            </w:r>
            <w:r>
              <w:rPr>
                <w:rFonts w:ascii="Arial" w:cs="Arial" w:eastAsia="Arial" w:hAnsi="Arial"/>
                <w:sz w:val="14"/>
                <w:szCs w:val="14"/>
                <w:color w:val="auto"/>
                <w:w w:val="99"/>
              </w:rPr>
              <w:t>RANI</w:t>
            </w: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ind w:left="2360"/>
              <w:spacing w:after="0"/>
              <w:rPr>
                <w:sz w:val="20"/>
                <w:szCs w:val="20"/>
                <w:color w:val="auto"/>
              </w:rPr>
            </w:pPr>
            <w:r>
              <w:rPr>
                <w:rFonts w:ascii="Arial" w:cs="Arial" w:eastAsia="Arial" w:hAnsi="Arial"/>
                <w:sz w:val="18"/>
                <w:szCs w:val="18"/>
                <w:color w:val="auto"/>
                <w:w w:val="96"/>
              </w:rPr>
              <w:t>October 22, 2010</w:t>
            </w:r>
          </w:p>
        </w:tc>
      </w:tr>
      <w:tr>
        <w:trPr>
          <w:trHeight w:val="172"/>
        </w:trPr>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5"/>
              </w:rPr>
              <w:t>Dr. Ray R. Irani</w:t>
            </w: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403"/>
        </w:trPr>
        <w:tc>
          <w:tcPr>
            <w:tcW w:w="14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3020" w:type="dxa"/>
            <w:vAlign w:val="bottom"/>
            <w:tcBorders>
              <w:bottom w:val="single" w:sz="8" w:color="auto"/>
            </w:tcBorders>
            <w:gridSpan w:val="4"/>
          </w:tcPr>
          <w:p>
            <w:pPr>
              <w:jc w:val="center"/>
              <w:ind w:right="13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J. M</w:t>
            </w:r>
            <w:r>
              <w:rPr>
                <w:rFonts w:ascii="Arial" w:cs="Arial" w:eastAsia="Arial" w:hAnsi="Arial"/>
                <w:sz w:val="14"/>
                <w:szCs w:val="14"/>
                <w:color w:val="auto"/>
              </w:rPr>
              <w:t>ILLER</w:t>
            </w: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ind w:left="2360"/>
              <w:spacing w:after="0"/>
              <w:rPr>
                <w:sz w:val="20"/>
                <w:szCs w:val="20"/>
                <w:color w:val="auto"/>
              </w:rPr>
            </w:pPr>
            <w:r>
              <w:rPr>
                <w:rFonts w:ascii="Arial" w:cs="Arial" w:eastAsia="Arial" w:hAnsi="Arial"/>
                <w:sz w:val="18"/>
                <w:szCs w:val="18"/>
                <w:color w:val="auto"/>
                <w:w w:val="96"/>
              </w:rPr>
              <w:t>October 22, 2010</w:t>
            </w:r>
          </w:p>
        </w:tc>
      </w:tr>
      <w:tr>
        <w:trPr>
          <w:trHeight w:val="172"/>
        </w:trPr>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6"/>
              </w:rPr>
              <w:t>Robert J. Miller</w:t>
            </w: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403"/>
        </w:trPr>
        <w:tc>
          <w:tcPr>
            <w:tcW w:w="14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w w:val="83"/>
              </w:rPr>
              <w:t>/s/</w:t>
            </w: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A. M</w:t>
            </w:r>
            <w:r>
              <w:rPr>
                <w:rFonts w:ascii="Arial" w:cs="Arial" w:eastAsia="Arial" w:hAnsi="Arial"/>
                <w:sz w:val="14"/>
                <w:szCs w:val="14"/>
                <w:color w:val="auto"/>
              </w:rPr>
              <w:t>ORAN</w:t>
            </w: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ind w:left="2360"/>
              <w:spacing w:after="0"/>
              <w:rPr>
                <w:sz w:val="20"/>
                <w:szCs w:val="20"/>
                <w:color w:val="auto"/>
              </w:rPr>
            </w:pPr>
            <w:r>
              <w:rPr>
                <w:rFonts w:ascii="Arial" w:cs="Arial" w:eastAsia="Arial" w:hAnsi="Arial"/>
                <w:sz w:val="18"/>
                <w:szCs w:val="18"/>
                <w:color w:val="auto"/>
                <w:w w:val="96"/>
              </w:rPr>
              <w:t>October 22, 2010</w:t>
            </w:r>
          </w:p>
        </w:tc>
      </w:tr>
      <w:tr>
        <w:trPr>
          <w:trHeight w:val="172"/>
        </w:trPr>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6"/>
              </w:rPr>
              <w:t>John A. Moran</w:t>
            </w: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403"/>
        </w:trPr>
        <w:tc>
          <w:tcPr>
            <w:tcW w:w="4460" w:type="dxa"/>
            <w:vAlign w:val="bottom"/>
            <w:tcBorders>
              <w:bottom w:val="single" w:sz="8" w:color="auto"/>
            </w:tcBorders>
            <w:gridSpan w:val="5"/>
          </w:tcPr>
          <w:p>
            <w:pPr>
              <w:ind w:left="10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LVIN</w:t>
            </w:r>
            <w:r>
              <w:rPr>
                <w:rFonts w:ascii="Arial" w:cs="Arial" w:eastAsia="Arial" w:hAnsi="Arial"/>
                <w:sz w:val="18"/>
                <w:szCs w:val="18"/>
                <w:color w:val="auto"/>
              </w:rPr>
              <w:t xml:space="preserve"> V. S</w:t>
            </w:r>
            <w:r>
              <w:rPr>
                <w:rFonts w:ascii="Arial" w:cs="Arial" w:eastAsia="Arial" w:hAnsi="Arial"/>
                <w:sz w:val="14"/>
                <w:szCs w:val="14"/>
                <w:color w:val="auto"/>
              </w:rPr>
              <w:t>HOEMAKER</w:t>
            </w: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ind w:left="2360"/>
              <w:spacing w:after="0"/>
              <w:rPr>
                <w:sz w:val="20"/>
                <w:szCs w:val="20"/>
                <w:color w:val="auto"/>
              </w:rPr>
            </w:pPr>
            <w:r>
              <w:rPr>
                <w:rFonts w:ascii="Arial" w:cs="Arial" w:eastAsia="Arial" w:hAnsi="Arial"/>
                <w:sz w:val="18"/>
                <w:szCs w:val="18"/>
                <w:color w:val="auto"/>
                <w:w w:val="96"/>
              </w:rPr>
              <w:t>October 22, 2010</w:t>
            </w:r>
          </w:p>
        </w:tc>
      </w:tr>
      <w:tr>
        <w:trPr>
          <w:trHeight w:val="172"/>
        </w:trPr>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4"/>
              </w:rPr>
              <w:t>Alvin V. Shoemaker</w:t>
            </w: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403"/>
        </w:trPr>
        <w:tc>
          <w:tcPr>
            <w:tcW w:w="14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3020" w:type="dxa"/>
            <w:vAlign w:val="bottom"/>
            <w:tcBorders>
              <w:bottom w:val="single" w:sz="8" w:color="auto"/>
            </w:tcBorders>
            <w:gridSpan w:val="4"/>
          </w:tcPr>
          <w:p>
            <w:pPr>
              <w:jc w:val="center"/>
              <w:ind w:right="1380"/>
              <w:spacing w:after="0"/>
              <w:rPr>
                <w:sz w:val="20"/>
                <w:szCs w:val="20"/>
                <w:color w:val="auto"/>
              </w:rPr>
            </w:pPr>
            <w:r>
              <w:rPr>
                <w:rFonts w:ascii="Arial" w:cs="Arial" w:eastAsia="Arial" w:hAnsi="Arial"/>
                <w:sz w:val="18"/>
                <w:szCs w:val="18"/>
                <w:color w:val="auto"/>
              </w:rPr>
              <w:t>D. B</w:t>
            </w:r>
            <w:r>
              <w:rPr>
                <w:rFonts w:ascii="Arial" w:cs="Arial" w:eastAsia="Arial" w:hAnsi="Arial"/>
                <w:sz w:val="14"/>
                <w:szCs w:val="14"/>
                <w:color w:val="auto"/>
              </w:rPr>
              <w:t>OONE</w:t>
            </w:r>
            <w:r>
              <w:rPr>
                <w:rFonts w:ascii="Arial" w:cs="Arial" w:eastAsia="Arial" w:hAnsi="Arial"/>
                <w:sz w:val="18"/>
                <w:szCs w:val="18"/>
                <w:color w:val="auto"/>
              </w:rPr>
              <w:t xml:space="preserve"> W</w:t>
            </w:r>
            <w:r>
              <w:rPr>
                <w:rFonts w:ascii="Arial" w:cs="Arial" w:eastAsia="Arial" w:hAnsi="Arial"/>
                <w:sz w:val="14"/>
                <w:szCs w:val="14"/>
                <w:color w:val="auto"/>
              </w:rPr>
              <w:t>AYSON</w:t>
            </w: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ind w:left="2360"/>
              <w:spacing w:after="0"/>
              <w:rPr>
                <w:sz w:val="20"/>
                <w:szCs w:val="20"/>
                <w:color w:val="auto"/>
              </w:rPr>
            </w:pPr>
            <w:r>
              <w:rPr>
                <w:rFonts w:ascii="Arial" w:cs="Arial" w:eastAsia="Arial" w:hAnsi="Arial"/>
                <w:sz w:val="18"/>
                <w:szCs w:val="18"/>
                <w:color w:val="auto"/>
                <w:w w:val="96"/>
              </w:rPr>
              <w:t>October 22, 2010</w:t>
            </w:r>
          </w:p>
        </w:tc>
      </w:tr>
      <w:tr>
        <w:trPr>
          <w:trHeight w:val="172"/>
        </w:trPr>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5"/>
              </w:rPr>
              <w:t>D. Boone Wayson</w:t>
            </w: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403"/>
        </w:trPr>
        <w:tc>
          <w:tcPr>
            <w:tcW w:w="14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w w:val="83"/>
              </w:rPr>
              <w:t>/s/</w:t>
            </w: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LAINE</w:t>
            </w:r>
            <w:r>
              <w:rPr>
                <w:rFonts w:ascii="Arial" w:cs="Arial" w:eastAsia="Arial" w:hAnsi="Arial"/>
                <w:sz w:val="18"/>
                <w:szCs w:val="18"/>
                <w:color w:val="auto"/>
                <w:w w:val="99"/>
              </w:rPr>
              <w:t xml:space="preserve"> P. W</w:t>
            </w:r>
            <w:r>
              <w:rPr>
                <w:rFonts w:ascii="Arial" w:cs="Arial" w:eastAsia="Arial" w:hAnsi="Arial"/>
                <w:sz w:val="14"/>
                <w:szCs w:val="14"/>
                <w:color w:val="auto"/>
                <w:w w:val="99"/>
              </w:rPr>
              <w:t>YNN</w:t>
            </w: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ind w:left="2360"/>
              <w:spacing w:after="0"/>
              <w:rPr>
                <w:sz w:val="20"/>
                <w:szCs w:val="20"/>
                <w:color w:val="auto"/>
              </w:rPr>
            </w:pPr>
            <w:r>
              <w:rPr>
                <w:rFonts w:ascii="Arial" w:cs="Arial" w:eastAsia="Arial" w:hAnsi="Arial"/>
                <w:sz w:val="18"/>
                <w:szCs w:val="18"/>
                <w:color w:val="auto"/>
                <w:w w:val="96"/>
              </w:rPr>
              <w:t>October 22, 2010</w:t>
            </w:r>
          </w:p>
        </w:tc>
      </w:tr>
      <w:tr>
        <w:trPr>
          <w:trHeight w:val="172"/>
        </w:trPr>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5"/>
              </w:rPr>
              <w:t>Elaine P. Wynn</w:t>
            </w: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403"/>
        </w:trPr>
        <w:tc>
          <w:tcPr>
            <w:tcW w:w="1600" w:type="dxa"/>
            <w:vAlign w:val="bottom"/>
            <w:tcBorders>
              <w:bottom w:val="single" w:sz="8" w:color="auto"/>
            </w:tcBorders>
            <w:gridSpan w:val="2"/>
          </w:tcPr>
          <w:p>
            <w:pPr>
              <w:ind w:left="136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gridSpan w:val="3"/>
          </w:tcPr>
          <w:p>
            <w:pPr>
              <w:jc w:val="center"/>
              <w:ind w:right="15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720" w:type="dxa"/>
            <w:vAlign w:val="bottom"/>
            <w:gridSpan w:val="3"/>
          </w:tcPr>
          <w:p>
            <w:pPr>
              <w:ind w:left="2360"/>
              <w:spacing w:after="0"/>
              <w:rPr>
                <w:sz w:val="20"/>
                <w:szCs w:val="20"/>
                <w:color w:val="auto"/>
              </w:rPr>
            </w:pPr>
            <w:r>
              <w:rPr>
                <w:rFonts w:ascii="Arial" w:cs="Arial" w:eastAsia="Arial" w:hAnsi="Arial"/>
                <w:sz w:val="18"/>
                <w:szCs w:val="18"/>
                <w:color w:val="auto"/>
                <w:w w:val="96"/>
              </w:rPr>
              <w:t>October 22, 2010</w:t>
            </w:r>
          </w:p>
        </w:tc>
      </w:tr>
      <w:tr>
        <w:trPr>
          <w:trHeight w:val="172"/>
        </w:trPr>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6"/>
              </w:rPr>
              <w:t>Allan Zeman</w:t>
            </w: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346"/>
        </w:trPr>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60" w:type="dxa"/>
            <w:vAlign w:val="bottom"/>
            <w:gridSpan w:val="2"/>
          </w:tcPr>
          <w:p>
            <w:pPr>
              <w:ind w:left="1120"/>
              <w:spacing w:after="0"/>
              <w:rPr>
                <w:sz w:val="20"/>
                <w:szCs w:val="20"/>
                <w:color w:val="auto"/>
              </w:rPr>
            </w:pPr>
            <w:r>
              <w:rPr>
                <w:rFonts w:ascii="Arial" w:cs="Arial" w:eastAsia="Arial" w:hAnsi="Arial"/>
                <w:sz w:val="18"/>
                <w:szCs w:val="18"/>
                <w:color w:val="auto"/>
              </w:rPr>
              <w:t>S-2</w:t>
            </w: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0840"/>
          </w:cols>
          <w:pgMar w:left="240" w:top="459" w:right="8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60" w:type="dxa"/>
            <w:vAlign w:val="bottom"/>
          </w:tcPr>
          <w:p>
            <w:pPr>
              <w:ind w:left="31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Exhibit No.</w:t>
            </w:r>
          </w:p>
        </w:tc>
        <w:tc>
          <w:tcPr>
            <w:tcW w:w="1100" w:type="dxa"/>
            <w:vAlign w:val="bottom"/>
          </w:tcPr>
          <w:p>
            <w:pPr>
              <w:spacing w:after="0"/>
              <w:rPr>
                <w:sz w:val="24"/>
                <w:szCs w:val="24"/>
                <w:color w:val="auto"/>
              </w:rPr>
            </w:pPr>
          </w:p>
        </w:tc>
        <w:tc>
          <w:tcPr>
            <w:tcW w:w="9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9"/>
        </w:trPr>
        <w:tc>
          <w:tcPr>
            <w:tcW w:w="1960" w:type="dxa"/>
            <w:vAlign w:val="bottom"/>
            <w:gridSpan w:val="2"/>
          </w:tcPr>
          <w:p>
            <w:pPr>
              <w:jc w:val="right"/>
              <w:ind w:right="1100"/>
              <w:spacing w:after="0" w:line="200" w:lineRule="exact"/>
              <w:rPr>
                <w:sz w:val="20"/>
                <w:szCs w:val="20"/>
                <w:color w:val="auto"/>
              </w:rPr>
            </w:pPr>
            <w:r>
              <w:rPr>
                <w:rFonts w:ascii="Arial" w:cs="Arial" w:eastAsia="Arial" w:hAnsi="Arial"/>
                <w:sz w:val="18"/>
                <w:szCs w:val="18"/>
                <w:color w:val="auto"/>
              </w:rPr>
              <w:t>4.1</w:t>
            </w:r>
          </w:p>
        </w:tc>
        <w:tc>
          <w:tcPr>
            <w:tcW w:w="9460" w:type="dxa"/>
            <w:vAlign w:val="bottom"/>
          </w:tcPr>
          <w:p>
            <w:pPr>
              <w:spacing w:after="0" w:line="200" w:lineRule="exact"/>
              <w:rPr>
                <w:sz w:val="20"/>
                <w:szCs w:val="20"/>
                <w:color w:val="auto"/>
              </w:rPr>
            </w:pPr>
            <w:r>
              <w:rPr>
                <w:rFonts w:ascii="Arial" w:cs="Arial" w:eastAsia="Arial" w:hAnsi="Arial"/>
                <w:sz w:val="18"/>
                <w:szCs w:val="18"/>
                <w:color w:val="auto"/>
              </w:rPr>
              <w:t>Second Amended and Restated Articles of Incorporation of the Registrant (incorporated by reference to Amendment</w:t>
            </w:r>
          </w:p>
        </w:tc>
      </w:tr>
      <w:tr>
        <w:trPr>
          <w:trHeight w:val="211"/>
        </w:trPr>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No. 4 to the Form S-1 filed by the Registrant on October 7, 2002 (File No. 333-90600))</w:t>
            </w:r>
          </w:p>
        </w:tc>
      </w:tr>
      <w:tr>
        <w:trPr>
          <w:trHeight w:val="302"/>
        </w:trPr>
        <w:tc>
          <w:tcPr>
            <w:tcW w:w="1960" w:type="dxa"/>
            <w:vAlign w:val="bottom"/>
            <w:gridSpan w:val="2"/>
          </w:tcPr>
          <w:p>
            <w:pPr>
              <w:jc w:val="right"/>
              <w:ind w:right="1100"/>
              <w:spacing w:after="0"/>
              <w:rPr>
                <w:sz w:val="20"/>
                <w:szCs w:val="20"/>
                <w:color w:val="auto"/>
              </w:rPr>
            </w:pPr>
            <w:r>
              <w:rPr>
                <w:rFonts w:ascii="Arial" w:cs="Arial" w:eastAsia="Arial" w:hAnsi="Arial"/>
                <w:sz w:val="18"/>
                <w:szCs w:val="18"/>
                <w:color w:val="auto"/>
              </w:rPr>
              <w:t>4.2</w:t>
            </w:r>
          </w:p>
        </w:tc>
        <w:tc>
          <w:tcPr>
            <w:tcW w:w="9460" w:type="dxa"/>
            <w:vAlign w:val="bottom"/>
          </w:tcPr>
          <w:p>
            <w:pPr>
              <w:spacing w:after="0"/>
              <w:rPr>
                <w:sz w:val="20"/>
                <w:szCs w:val="20"/>
                <w:color w:val="auto"/>
              </w:rPr>
            </w:pPr>
            <w:r>
              <w:rPr>
                <w:rFonts w:ascii="Arial" w:cs="Arial" w:eastAsia="Arial" w:hAnsi="Arial"/>
                <w:sz w:val="18"/>
                <w:szCs w:val="18"/>
                <w:color w:val="auto"/>
                <w:w w:val="97"/>
              </w:rPr>
              <w:t>Fourth Amended and Restated Bylaws of the Registrant (incorporated by reference to the Quarterly Report on Form 10-Q</w:t>
            </w:r>
          </w:p>
        </w:tc>
      </w:tr>
      <w:tr>
        <w:trPr>
          <w:trHeight w:val="211"/>
        </w:trPr>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filed by the Registrant on August 9, 2007)</w:t>
            </w:r>
          </w:p>
        </w:tc>
      </w:tr>
      <w:tr>
        <w:trPr>
          <w:trHeight w:val="311"/>
        </w:trPr>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10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Opinion of Brownstein Hyatt Farber Schreck, LLP</w:t>
            </w:r>
          </w:p>
        </w:tc>
      </w:tr>
      <w:tr>
        <w:trPr>
          <w:trHeight w:val="311"/>
        </w:trPr>
        <w:tc>
          <w:tcPr>
            <w:tcW w:w="860" w:type="dxa"/>
            <w:vAlign w:val="bottom"/>
          </w:tcPr>
          <w:p>
            <w:pPr>
              <w:jc w:val="right"/>
              <w:spacing w:after="0"/>
              <w:rPr>
                <w:sz w:val="20"/>
                <w:szCs w:val="20"/>
                <w:color w:val="auto"/>
              </w:rPr>
            </w:pPr>
            <w:r>
              <w:rPr>
                <w:rFonts w:ascii="Arial" w:cs="Arial" w:eastAsia="Arial" w:hAnsi="Arial"/>
                <w:sz w:val="18"/>
                <w:szCs w:val="18"/>
                <w:color w:val="auto"/>
              </w:rPr>
              <w:t>*23.1</w:t>
            </w:r>
          </w:p>
        </w:tc>
        <w:tc>
          <w:tcPr>
            <w:tcW w:w="110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Consent of Ernst &amp; Young LLP</w:t>
            </w:r>
          </w:p>
        </w:tc>
      </w:tr>
      <w:tr>
        <w:trPr>
          <w:trHeight w:val="311"/>
        </w:trPr>
        <w:tc>
          <w:tcPr>
            <w:tcW w:w="860" w:type="dxa"/>
            <w:vAlign w:val="bottom"/>
          </w:tcPr>
          <w:p>
            <w:pPr>
              <w:jc w:val="right"/>
              <w:spacing w:after="0"/>
              <w:rPr>
                <w:sz w:val="20"/>
                <w:szCs w:val="20"/>
                <w:color w:val="auto"/>
              </w:rPr>
            </w:pPr>
            <w:r>
              <w:rPr>
                <w:rFonts w:ascii="Arial" w:cs="Arial" w:eastAsia="Arial" w:hAnsi="Arial"/>
                <w:sz w:val="18"/>
                <w:szCs w:val="18"/>
                <w:color w:val="auto"/>
              </w:rPr>
              <w:t>*23.2</w:t>
            </w:r>
          </w:p>
        </w:tc>
        <w:tc>
          <w:tcPr>
            <w:tcW w:w="110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Consent of Brownstein Hyatt Farber Schreck, LLP (included in Exhibit 5.1)</w:t>
            </w:r>
          </w:p>
        </w:tc>
      </w:tr>
      <w:tr>
        <w:trPr>
          <w:trHeight w:val="302"/>
        </w:trPr>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10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Powers of Attorney of officers and directors of Wynn Resorts, Limited (included on signature page of this Registration</w:t>
            </w:r>
          </w:p>
        </w:tc>
      </w:tr>
      <w:tr>
        <w:trPr>
          <w:trHeight w:val="211"/>
        </w:trPr>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ectPr>
          <w:pgSz w:w="11900" w:h="16838" w:orient="portrait"/>
          <w:cols w:equalWidth="0" w:num="1">
            <w:col w:w="11420"/>
          </w:cols>
          <w:pgMar w:left="240" w:top="459"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111760</wp:posOffset>
            </wp:positionV>
            <wp:extent cx="5831840" cy="7118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3184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22, 2010</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Resorts, Limited</w:t>
      </w:r>
    </w:p>
    <w:p>
      <w:pPr>
        <w:ind w:left="20"/>
        <w:spacing w:after="0" w:line="234" w:lineRule="auto"/>
        <w:rPr>
          <w:sz w:val="20"/>
          <w:szCs w:val="20"/>
          <w:color w:val="auto"/>
        </w:rPr>
      </w:pPr>
      <w:r>
        <w:rPr>
          <w:rFonts w:ascii="Arial" w:cs="Arial" w:eastAsia="Arial" w:hAnsi="Arial"/>
          <w:sz w:val="18"/>
          <w:szCs w:val="18"/>
          <w:color w:val="auto"/>
        </w:rPr>
        <w:t>3131 Las Vegas Boulevard South</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 89109</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We have acted as special Nevada counsel to Wynn Resorts, Limited, a Nevada corporation (the “Company”), in connection with the filing by the Company of a Registration Statement on Form S-3 (the “Registration Statement”) with the Securities and Exchange Commission (the “Commission”) under the Securities Act of 1933, as amended (the “Act”), relating to the registration, and the offering and sale from time to time by the Company, of an unspecified number of shares (the “Shares”) of the Company’s common stock, par value $0.01 per share (the “Common Stock”).</w:t>
      </w:r>
    </w:p>
    <w:p>
      <w:pPr>
        <w:spacing w:after="0" w:line="157" w:lineRule="exact"/>
        <w:rPr>
          <w:sz w:val="20"/>
          <w:szCs w:val="20"/>
          <w:color w:val="auto"/>
        </w:rPr>
      </w:pPr>
    </w:p>
    <w:p>
      <w:pPr>
        <w:jc w:val="both"/>
        <w:ind w:right="140" w:firstLine="456"/>
        <w:spacing w:after="0" w:line="238" w:lineRule="auto"/>
        <w:rPr>
          <w:sz w:val="20"/>
          <w:szCs w:val="20"/>
          <w:color w:val="auto"/>
        </w:rPr>
      </w:pPr>
      <w:r>
        <w:rPr>
          <w:rFonts w:ascii="Arial" w:cs="Arial" w:eastAsia="Arial" w:hAnsi="Arial"/>
          <w:sz w:val="18"/>
          <w:szCs w:val="18"/>
          <w:color w:val="auto"/>
        </w:rPr>
        <w:t>For the purpose of rendering this opinion, we have examined originals, or copies certified or otherwise identified to our satisfaction as being true copies, of such records, documents, instruments and certificates as, in our judgment, are necessary or appropriate to enable us to render the opinions set forth below, including, but not limited to, the following:</w:t>
      </w:r>
    </w:p>
    <w:p>
      <w:pPr>
        <w:spacing w:after="0" w:line="73"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Articles of Incorporation and Bylaws of the Company, each as amended to date (the “Governing Documents”);</w:t>
      </w:r>
    </w:p>
    <w:p>
      <w:pPr>
        <w:spacing w:after="0" w:line="76" w:lineRule="exact"/>
        <w:rPr>
          <w:rFonts w:ascii="Arial" w:cs="Arial" w:eastAsia="Arial" w:hAnsi="Arial"/>
          <w:sz w:val="18"/>
          <w:szCs w:val="18"/>
          <w:color w:val="auto"/>
        </w:rPr>
      </w:pPr>
    </w:p>
    <w:p>
      <w:pPr>
        <w:ind w:left="900" w:right="280" w:hanging="446"/>
        <w:spacing w:after="0" w:line="299"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such corporate records and proceedings, minutes, consents, actions and resolutions of the board of directors of the Company as we have deemed necessary, including those relating to the registration of the Shares and the filing of the Registration Statement; and</w:t>
      </w:r>
    </w:p>
    <w:p>
      <w:pPr>
        <w:spacing w:after="0" w:line="27" w:lineRule="exact"/>
        <w:rPr>
          <w:rFonts w:ascii="Arial" w:cs="Arial" w:eastAsia="Arial" w:hAnsi="Arial"/>
          <w:sz w:val="16"/>
          <w:szCs w:val="16"/>
          <w:color w:val="auto"/>
        </w:rPr>
      </w:pPr>
    </w:p>
    <w:p>
      <w:pPr>
        <w:ind w:left="900" w:right="200" w:hanging="446"/>
        <w:spacing w:after="0" w:line="23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Certificate of Existence with Status in Good Standing issued by the Nevada Secretary of State on October 21, 2010, with respect to the good standing in Nevada of the Company on that date.</w:t>
      </w:r>
    </w:p>
    <w:p>
      <w:pPr>
        <w:spacing w:after="0" w:line="15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In our capacity as such counsel, we are familiar with the proceedings taken and proposed to be taken by the Company in connection with the authorization, issuance and sale of Shares by the Company, as referenced in the Registration Statement. We have made such legal and factual examinations and inquiries as we have deemed necessary or appropriate for the purposes of this opinion. We have also obtained from officers and agents of the Company and from public officials, and have relied upon, such certificates, representations and assurances as we have deemed necessary and appropriate for the purpose of rendering this opinion.</w:t>
      </w:r>
    </w:p>
    <w:p>
      <w:pPr>
        <w:spacing w:after="0" w:line="157"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Without limiting the generality of the foregoing, in our examination, we have, with your permission, assumed without independent verification, that (i) all agreements relating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87630</wp:posOffset>
            </wp:positionV>
            <wp:extent cx="5831840"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31840" cy="44577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9" w:name="page20"/>
    <w:bookmarkEnd w:id="1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Resorts, Limited</w:t>
      </w:r>
    </w:p>
    <w:p>
      <w:pPr>
        <w:ind w:left="20"/>
        <w:spacing w:after="0" w:line="234" w:lineRule="auto"/>
        <w:rPr>
          <w:sz w:val="20"/>
          <w:szCs w:val="20"/>
          <w:color w:val="auto"/>
        </w:rPr>
      </w:pPr>
      <w:r>
        <w:rPr>
          <w:rFonts w:ascii="Arial" w:cs="Arial" w:eastAsia="Arial" w:hAnsi="Arial"/>
          <w:sz w:val="18"/>
          <w:szCs w:val="18"/>
          <w:color w:val="auto"/>
        </w:rPr>
        <w:t>October 22, 2010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4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underwriting or disposition of shares of Common Stock (“Agreements”) will be duly authorized, executed and delivered by the Company; (ii) the obligations of each party set forth in any Agreements will be its valid and binding obligations, enforceable in accordance with their respective terms;</w:t>
      </w:r>
    </w:p>
    <w:p>
      <w:pPr>
        <w:ind w:right="100" w:firstLine="8"/>
        <w:spacing w:after="0" w:line="235" w:lineRule="auto"/>
        <w:tabs>
          <w:tab w:leader="none" w:pos="283"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shares of Common Stock will be issued in violation or breach of, nor will such issuance result in a default under, any agreement or instrument that is binding upon the Company or any requirement or restriction imposed by any governmental or regulatory agency, authority or body; (iv) the Company will, from time to time, take all corporate action necessary for the authorization, issuance and sale of shares of Common Stock, and all shares of Common Stock will be issued and sold, in compliance with all applicable laws and the Governing Documents in effect on all relevant dates, and all stock certificates will have been properly signed, registered and delivered, as necessary (collectively, the “Corporate Proceedings”); (v) after any issuance of shares of Common Stock, the total number of issued and outstanding shares of Common Stock, together with the total number of shares of Common Stock reserved for issuance upon the exercise, exchange or conversion, as the case may be, of any security exercisable, exchangeable or convertible into shares of Common Stock then outstanding, will not exceed the total number of shares of Common Stock authorized under the Company’s Articles of Incorporation, as amended and then in effect; (vi) each natural person executing a document has sufficient legal capacity to do so; (vii) all documents submitted to us as originals are authentic, the signatures on all documents that we examined are genuine, and all documents submitted to us as certified, conformed, photostatic, electronic or facsimile copies conform to the original document; and (viii) all corporate records made available to us by the Company and all public records we have reviewed are accurate and complete.</w:t>
      </w:r>
    </w:p>
    <w:p>
      <w:pPr>
        <w:spacing w:after="0" w:line="161"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We are qualified to practice law in the State of Nevada. The opinions set forth herein are expressly limited to the effect of the general corporate laws of the State of Nevada as in effect as of the date hereof and we do not purport to be experts on, or to express any opinion with respect to the applicability thereto or to the effect thereon of, the laws of any other jurisdiction or as to matters of local law or the laws, rules and regulations of local governmental departments or agencies within the State of Nevada. We express no opinion herein concerning, and we assume no responsibility as to laws or judicial decisions related to any orders, consents or other authorizations or approvals as may be required by any federal laws, rules or regulations, including any federal securities laws, rules or regulations, or any state securities or “Blue Sky” laws, rules or regulations.</w:t>
      </w:r>
    </w:p>
    <w:p>
      <w:pPr>
        <w:spacing w:after="0" w:line="155"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Based on the foregoing, and in reliance thereon, and having regard to legal considerations and other information that we deem relevant, we are of the opinion that:</w:t>
      </w:r>
    </w:p>
    <w:p>
      <w:pPr>
        <w:spacing w:after="0" w:line="74" w:lineRule="exact"/>
        <w:rPr>
          <w:sz w:val="20"/>
          <w:szCs w:val="20"/>
          <w:color w:val="auto"/>
        </w:rPr>
      </w:pPr>
    </w:p>
    <w:p>
      <w:pPr>
        <w:ind w:left="1100" w:hanging="197"/>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as a corporation in good standing in the State of Nevada.</w:t>
      </w:r>
    </w:p>
    <w:p>
      <w:pPr>
        <w:spacing w:after="0" w:line="76" w:lineRule="exact"/>
        <w:rPr>
          <w:rFonts w:ascii="Arial" w:cs="Arial" w:eastAsia="Arial" w:hAnsi="Arial"/>
          <w:sz w:val="18"/>
          <w:szCs w:val="18"/>
          <w:color w:val="auto"/>
        </w:rPr>
      </w:pPr>
    </w:p>
    <w:p>
      <w:pPr>
        <w:ind w:left="460" w:right="560" w:firstLine="443"/>
        <w:spacing w:after="0" w:line="238" w:lineRule="auto"/>
        <w:tabs>
          <w:tab w:leader="none" w:pos="10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When all Corporate Proceedings have been taken and completed in respect of any offering of Shares, and to the extent the Company has received payment in full of all consideration therefor as prescribed by any Agreement and authorized by such Corporate Proceedings, such Shares will be duly authorized, validly issued, fully paid and non-assessable.</w:t>
      </w:r>
    </w:p>
    <w:p>
      <w:pPr>
        <w:spacing w:after="0" w:line="154" w:lineRule="exact"/>
        <w:rPr>
          <w:sz w:val="20"/>
          <w:szCs w:val="20"/>
          <w:color w:val="auto"/>
        </w:rPr>
      </w:pPr>
    </w:p>
    <w:p>
      <w:pPr>
        <w:ind w:right="160" w:firstLine="456"/>
        <w:spacing w:after="0" w:line="275" w:lineRule="auto"/>
        <w:rPr>
          <w:sz w:val="20"/>
          <w:szCs w:val="20"/>
          <w:color w:val="auto"/>
        </w:rPr>
      </w:pPr>
      <w:r>
        <w:rPr>
          <w:rFonts w:ascii="Arial" w:cs="Arial" w:eastAsia="Arial" w:hAnsi="Arial"/>
          <w:sz w:val="16"/>
          <w:szCs w:val="16"/>
          <w:color w:val="auto"/>
        </w:rPr>
        <w:t>The opinions expressed herein are based upon the applicable laws of the State of Nevada and the facts in existence as of the date of this opinion letter. In delivering this opinion letter to you, we disclaim any obligation to update or supplement the opinions set forth herein or to apprise you of any changes in such laws or facts after such time as the Registration Statement is declared effective. No opinion is offered or implied as to any matter, and no inference may be drawn, beyond the strict scope of the specific issues expressly addressed by the opinions set forth herein.</w:t>
      </w:r>
    </w:p>
    <w:p>
      <w:pPr>
        <w:spacing w:after="0" w:line="129"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We consent to your filing this opinion as an exhibit to the Registration Statement and to the reference to our firm contained under the heading “Legal Matters.” In giving this consent, we do not</w:t>
      </w:r>
    </w:p>
    <w:p>
      <w:pPr>
        <w:sectPr>
          <w:pgSz w:w="11900" w:h="16838" w:orient="portrait"/>
          <w:cols w:equalWidth="0" w:num="1">
            <w:col w:w="11420"/>
          </w:cols>
          <w:pgMar w:left="240" w:top="435" w:right="23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w:t>
      </w:r>
    </w:p>
    <w:p>
      <w:pPr>
        <w:ind w:left="20"/>
        <w:spacing w:after="0" w:line="234" w:lineRule="auto"/>
        <w:rPr>
          <w:sz w:val="20"/>
          <w:szCs w:val="20"/>
          <w:color w:val="auto"/>
        </w:rPr>
      </w:pPr>
      <w:r>
        <w:rPr>
          <w:rFonts w:ascii="Arial" w:cs="Arial" w:eastAsia="Arial" w:hAnsi="Arial"/>
          <w:sz w:val="18"/>
          <w:szCs w:val="18"/>
          <w:color w:val="auto"/>
        </w:rPr>
        <w:t>October 22, 2010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4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admit that we are within the category of persons whose consent is required under Section 7 of the Act, the rules and regulations of the Commission promulgated thereunder, or Item 509 of Regulation S-K.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Brownstein Hyatt Farber Schreck, LLP</w:t>
      </w:r>
    </w:p>
    <w:p>
      <w:pPr>
        <w:sectPr>
          <w:pgSz w:w="11900" w:h="16838" w:orient="portrait"/>
          <w:cols w:equalWidth="0" w:num="1">
            <w:col w:w="11420"/>
          </w:cols>
          <w:pgMar w:left="240" w:top="43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0"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of Wynn Resorts, Limited for the registration of shares of its common stock and to the incorporation by reference therein of our reports dated February 26, 2010, with respect to the consolidated financial statements and schedules of Wynn Resorts, Limited, and the effectiveness of internal control over financial reporting of Wynn Resorts, Limited, included in its Annual Report (Form 10-K) for the year ended December 31, 2009, filed with the Securities and Exchange Commission.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rPr>
          <w:sz w:val="20"/>
          <w:szCs w:val="20"/>
          <w:color w:val="auto"/>
        </w:rPr>
      </w:pPr>
      <w:r>
        <w:rPr>
          <w:rFonts w:ascii="Arial" w:cs="Arial" w:eastAsia="Arial" w:hAnsi="Arial"/>
          <w:sz w:val="18"/>
          <w:szCs w:val="18"/>
          <w:color w:val="auto"/>
        </w:rPr>
        <w:t>October 22, 2010</w:t>
      </w:r>
    </w:p>
    <w:sectPr>
      <w:pgSz w:w="11900" w:h="16838" w:orient="portrait"/>
      <w:cols w:equalWidth="0" w:num="1">
        <w:col w:w="11420"/>
      </w:cols>
      <w:pgMar w:left="240" w:top="1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2"/>
    </w:lvl>
  </w:abstractNum>
  <w:abstractNum w:abstractNumId="13">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1)"/>
      <w:numFmt w:val="decimal"/>
      <w:start w:val="3"/>
    </w:lvl>
    <w:lvl w:ilvl="1">
      <w:lvlJc w:val="left"/>
      <w:lvlText w:val="(%2)"/>
      <w:numFmt w:val="upperLetter"/>
      <w:start w:val="1"/>
    </w:lvl>
  </w:abstractNum>
  <w:abstractNum w:abstractNumId="16">
    <w:nsid w:val="257130A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62BBD95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8">
    <w:nsid w:val="436C6125"/>
    <w:multiLevelType w:val="hybridMultilevel"/>
    <w:lvl w:ilvl="0">
      <w:lvlJc w:val="left"/>
      <w:lvlText w:val="(%1)"/>
      <w:numFmt w:val="decimal"/>
      <w:start w:val="2"/>
    </w:lvl>
  </w:abstractNum>
  <w:abstractNum w:abstractNumId="19">
    <w:nsid w:val="628C895D"/>
    <w:multiLevelType w:val="hybridMultilevel"/>
    <w:lvl w:ilvl="0">
      <w:lvlJc w:val="left"/>
      <w:lvlText w:val="(%1)"/>
      <w:numFmt w:val="lowerRoman"/>
      <w:start w:val="1"/>
    </w:lvl>
  </w:abstractNum>
  <w:abstractNum w:abstractNumId="20">
    <w:nsid w:val="333AB105"/>
    <w:multiLevelType w:val="hybridMultilevel"/>
    <w:lvl w:ilvl="0">
      <w:lvlJc w:val="left"/>
      <w:lvlText w:val="(%1)"/>
      <w:numFmt w:val="lowerRoman"/>
      <w:start w:val="3"/>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2019-12-10T22:13:27Z</dcterms:created>
  <dcterms:modified xsi:type="dcterms:W3CDTF">2019-12-10T22:13:27Z</dcterms:modified>
</cp:coreProperties>
</file>