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365125</wp:posOffset>
            </wp:positionV>
            <wp:extent cx="28479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31"/>
          <w:szCs w:val="31"/>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95250</wp:posOffset>
            </wp:positionV>
            <wp:extent cx="28479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December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249555</wp:posOffset>
            </wp:positionV>
            <wp:extent cx="28479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WYNN RESORTS, LIMITED</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360" w:lineRule="exact"/>
        <w:rPr>
          <w:sz w:val="24"/>
          <w:szCs w:val="24"/>
          <w:color w:val="auto"/>
        </w:rPr>
      </w:pPr>
    </w:p>
    <w:tbl>
      <w:tblPr>
        <w:tblLayout w:type="fixed"/>
        <w:tblInd w:w="1380" w:type="dxa"/>
        <w:tblCellMar>
          <w:top w:w="0" w:type="dxa"/>
          <w:left w:w="0" w:type="dxa"/>
          <w:bottom w:w="0" w:type="dxa"/>
          <w:right w:w="0" w:type="dxa"/>
        </w:tblCellMar>
      </w:tblPr>
      <w:tr>
        <w:trPr>
          <w:trHeight w:val="230"/>
        </w:trPr>
        <w:tc>
          <w:tcPr>
            <w:tcW w:w="2560" w:type="dxa"/>
            <w:vAlign w:val="bottom"/>
          </w:tcPr>
          <w:p>
            <w:pPr>
              <w:jc w:val="center"/>
              <w:ind w:right="41"/>
              <w:spacing w:after="0"/>
              <w:rPr>
                <w:sz w:val="20"/>
                <w:szCs w:val="20"/>
                <w:color w:val="auto"/>
              </w:rPr>
            </w:pPr>
            <w:r>
              <w:rPr>
                <w:rFonts w:ascii="Times New Roman" w:cs="Times New Roman" w:eastAsia="Times New Roman" w:hAnsi="Times New Roman"/>
                <w:sz w:val="17"/>
                <w:szCs w:val="17"/>
                <w:b w:val="1"/>
                <w:bCs w:val="1"/>
                <w:color w:val="auto"/>
              </w:rPr>
              <w:t>Nevada</w:t>
            </w:r>
          </w:p>
        </w:tc>
        <w:tc>
          <w:tcPr>
            <w:tcW w:w="3680" w:type="dxa"/>
            <w:vAlign w:val="bottom"/>
          </w:tcPr>
          <w:p>
            <w:pPr>
              <w:ind w:left="1240"/>
              <w:spacing w:after="0"/>
              <w:rPr>
                <w:sz w:val="20"/>
                <w:szCs w:val="20"/>
                <w:color w:val="auto"/>
              </w:rPr>
            </w:pPr>
            <w:r>
              <w:rPr>
                <w:rFonts w:ascii="Times New Roman" w:cs="Times New Roman" w:eastAsia="Times New Roman" w:hAnsi="Times New Roman"/>
                <w:sz w:val="17"/>
                <w:szCs w:val="17"/>
                <w:b w:val="1"/>
                <w:bCs w:val="1"/>
                <w:color w:val="auto"/>
              </w:rPr>
              <w:t>000-50028</w:t>
            </w:r>
          </w:p>
        </w:tc>
        <w:tc>
          <w:tcPr>
            <w:tcW w:w="1500" w:type="dxa"/>
            <w:vAlign w:val="bottom"/>
          </w:tcPr>
          <w:p>
            <w:pPr>
              <w:jc w:val="right"/>
              <w:ind w:right="43"/>
              <w:spacing w:after="0"/>
              <w:rPr>
                <w:sz w:val="20"/>
                <w:szCs w:val="20"/>
                <w:color w:val="auto"/>
              </w:rPr>
            </w:pPr>
            <w:r>
              <w:rPr>
                <w:rFonts w:ascii="Times New Roman" w:cs="Times New Roman" w:eastAsia="Times New Roman" w:hAnsi="Times New Roman"/>
                <w:sz w:val="17"/>
                <w:szCs w:val="17"/>
                <w:b w:val="1"/>
                <w:bCs w:val="1"/>
                <w:color w:val="auto"/>
              </w:rPr>
              <w:t>46-0484987</w:t>
            </w:r>
          </w:p>
        </w:tc>
      </w:tr>
      <w:tr>
        <w:trPr>
          <w:trHeight w:val="197"/>
        </w:trPr>
        <w:tc>
          <w:tcPr>
            <w:tcW w:w="25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8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500" w:type="dxa"/>
            <w:vAlign w:val="bottom"/>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256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of incorporation)</w:t>
            </w:r>
          </w:p>
        </w:tc>
        <w:tc>
          <w:tcPr>
            <w:tcW w:w="368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00" w:type="dxa"/>
            <w:vAlign w:val="bottom"/>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241"/>
        </w:trPr>
        <w:tc>
          <w:tcPr>
            <w:tcW w:w="2560" w:type="dxa"/>
            <w:vAlign w:val="bottom"/>
          </w:tcPr>
          <w:p>
            <w:pPr>
              <w:jc w:val="center"/>
              <w:ind w:right="41"/>
              <w:spacing w:after="0"/>
              <w:rPr>
                <w:sz w:val="20"/>
                <w:szCs w:val="20"/>
                <w:color w:val="auto"/>
              </w:rPr>
            </w:pPr>
            <w:r>
              <w:rPr>
                <w:rFonts w:ascii="Times New Roman" w:cs="Times New Roman" w:eastAsia="Times New Roman" w:hAnsi="Times New Roman"/>
                <w:sz w:val="17"/>
                <w:szCs w:val="17"/>
                <w:b w:val="1"/>
                <w:bCs w:val="1"/>
                <w:color w:val="auto"/>
              </w:rPr>
              <w:t>3131 Las Vegas Boulevard South</w:t>
            </w:r>
          </w:p>
        </w:tc>
        <w:tc>
          <w:tcPr>
            <w:tcW w:w="36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19"/>
        </w:trPr>
        <w:tc>
          <w:tcPr>
            <w:tcW w:w="256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Las Vegas, Nevada</w:t>
            </w:r>
          </w:p>
        </w:tc>
        <w:tc>
          <w:tcPr>
            <w:tcW w:w="3680" w:type="dxa"/>
            <w:vAlign w:val="bottom"/>
          </w:tcPr>
          <w:p>
            <w:pPr>
              <w:spacing w:after="0"/>
              <w:rPr>
                <w:sz w:val="19"/>
                <w:szCs w:val="19"/>
                <w:color w:val="auto"/>
              </w:rPr>
            </w:pPr>
          </w:p>
        </w:tc>
        <w:tc>
          <w:tcPr>
            <w:tcW w:w="1500" w:type="dxa"/>
            <w:vAlign w:val="bottom"/>
          </w:tcPr>
          <w:p>
            <w:pPr>
              <w:jc w:val="right"/>
              <w:ind w:right="243"/>
              <w:spacing w:after="0"/>
              <w:rPr>
                <w:sz w:val="20"/>
                <w:szCs w:val="20"/>
                <w:color w:val="auto"/>
              </w:rPr>
            </w:pPr>
            <w:r>
              <w:rPr>
                <w:rFonts w:ascii="Times New Roman" w:cs="Times New Roman" w:eastAsia="Times New Roman" w:hAnsi="Times New Roman"/>
                <w:sz w:val="17"/>
                <w:szCs w:val="17"/>
                <w:b w:val="1"/>
                <w:bCs w:val="1"/>
                <w:color w:val="auto"/>
              </w:rPr>
              <w:t>89109</w:t>
            </w:r>
          </w:p>
        </w:tc>
      </w:tr>
      <w:tr>
        <w:trPr>
          <w:trHeight w:val="211"/>
        </w:trPr>
        <w:tc>
          <w:tcPr>
            <w:tcW w:w="25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80" w:type="dxa"/>
            <w:vAlign w:val="bottom"/>
          </w:tcPr>
          <w:p>
            <w:pPr>
              <w:spacing w:after="0"/>
              <w:rPr>
                <w:sz w:val="18"/>
                <w:szCs w:val="18"/>
                <w:color w:val="auto"/>
              </w:rPr>
            </w:pPr>
          </w:p>
        </w:tc>
        <w:tc>
          <w:tcPr>
            <w:tcW w:w="1500" w:type="dxa"/>
            <w:vAlign w:val="bottom"/>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707"/>
        </w:trPr>
        <w:tc>
          <w:tcPr>
            <w:tcW w:w="2560" w:type="dxa"/>
            <w:vAlign w:val="bottom"/>
          </w:tcPr>
          <w:p>
            <w:pPr>
              <w:spacing w:after="0"/>
              <w:rPr>
                <w:sz w:val="24"/>
                <w:szCs w:val="24"/>
                <w:color w:val="auto"/>
              </w:rPr>
            </w:pPr>
          </w:p>
        </w:tc>
        <w:tc>
          <w:tcPr>
            <w:tcW w:w="3680" w:type="dxa"/>
            <w:vAlign w:val="bottom"/>
          </w:tcPr>
          <w:p>
            <w:pPr>
              <w:jc w:val="center"/>
              <w:ind w:right="221"/>
              <w:spacing w:after="0"/>
              <w:rPr>
                <w:sz w:val="20"/>
                <w:szCs w:val="20"/>
                <w:color w:val="auto"/>
              </w:rPr>
            </w:pPr>
            <w:r>
              <w:rPr>
                <w:rFonts w:ascii="Times New Roman" w:cs="Times New Roman" w:eastAsia="Times New Roman" w:hAnsi="Times New Roman"/>
                <w:sz w:val="17"/>
                <w:szCs w:val="17"/>
                <w:b w:val="1"/>
                <w:bCs w:val="1"/>
                <w:color w:val="auto"/>
              </w:rPr>
              <w:t>(702) 770-7555</w:t>
            </w:r>
          </w:p>
        </w:tc>
        <w:tc>
          <w:tcPr>
            <w:tcW w:w="1500" w:type="dxa"/>
            <w:vAlign w:val="bottom"/>
          </w:tcPr>
          <w:p>
            <w:pPr>
              <w:spacing w:after="0"/>
              <w:rPr>
                <w:sz w:val="24"/>
                <w:szCs w:val="24"/>
                <w:color w:val="auto"/>
              </w:rPr>
            </w:pPr>
          </w:p>
        </w:tc>
      </w:tr>
      <w:tr>
        <w:trPr>
          <w:trHeight w:val="185"/>
        </w:trPr>
        <w:tc>
          <w:tcPr>
            <w:tcW w:w="2560" w:type="dxa"/>
            <w:vAlign w:val="bottom"/>
          </w:tcPr>
          <w:p>
            <w:pPr>
              <w:spacing w:after="0"/>
              <w:rPr>
                <w:sz w:val="16"/>
                <w:szCs w:val="16"/>
                <w:color w:val="auto"/>
              </w:rPr>
            </w:pPr>
          </w:p>
        </w:tc>
        <w:tc>
          <w:tcPr>
            <w:tcW w:w="368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1500" w:type="dxa"/>
            <w:vAlign w:val="bottom"/>
          </w:tcPr>
          <w:p>
            <w:pPr>
              <w:spacing w:after="0"/>
              <w:rPr>
                <w:sz w:val="16"/>
                <w:szCs w:val="16"/>
                <w:color w:val="auto"/>
              </w:rPr>
            </w:pPr>
          </w:p>
        </w:tc>
      </w:tr>
      <w:tr>
        <w:trPr>
          <w:trHeight w:val="410"/>
        </w:trPr>
        <w:tc>
          <w:tcPr>
            <w:tcW w:w="2560" w:type="dxa"/>
            <w:vAlign w:val="bottom"/>
          </w:tcPr>
          <w:p>
            <w:pPr>
              <w:spacing w:after="0"/>
              <w:rPr>
                <w:sz w:val="24"/>
                <w:szCs w:val="24"/>
                <w:color w:val="auto"/>
              </w:rPr>
            </w:pPr>
          </w:p>
        </w:tc>
        <w:tc>
          <w:tcPr>
            <w:tcW w:w="3680" w:type="dxa"/>
            <w:vAlign w:val="bottom"/>
          </w:tcPr>
          <w:p>
            <w:pPr>
              <w:jc w:val="center"/>
              <w:ind w:right="241"/>
              <w:spacing w:after="0"/>
              <w:rPr>
                <w:sz w:val="20"/>
                <w:szCs w:val="20"/>
                <w:color w:val="auto"/>
              </w:rPr>
            </w:pPr>
            <w:r>
              <w:rPr>
                <w:rFonts w:ascii="Times New Roman" w:cs="Times New Roman" w:eastAsia="Times New Roman" w:hAnsi="Times New Roman"/>
                <w:sz w:val="17"/>
                <w:szCs w:val="17"/>
                <w:b w:val="1"/>
                <w:bCs w:val="1"/>
                <w:color w:val="auto"/>
              </w:rPr>
              <w:t>Not Applicable</w:t>
            </w:r>
          </w:p>
        </w:tc>
        <w:tc>
          <w:tcPr>
            <w:tcW w:w="150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76835</wp:posOffset>
            </wp:positionV>
            <wp:extent cx="28479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16"/>
                <w:szCs w:val="16"/>
                <w:color w:val="auto"/>
              </w:rPr>
            </w:pPr>
          </w:p>
        </w:tc>
        <w:tc>
          <w:tcPr>
            <w:tcW w:w="3020" w:type="dxa"/>
            <w:vAlign w:val="bottom"/>
            <w:gridSpan w:val="2"/>
          </w:tcPr>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280" w:type="dxa"/>
            <w:vAlign w:val="bottom"/>
            <w:gridSpan w:val="2"/>
          </w:tcPr>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4140" w:type="dxa"/>
            <w:vAlign w:val="bottom"/>
            <w:gridSpan w:val="2"/>
          </w:tcPr>
          <w:p>
            <w:pPr>
              <w:jc w:val="center"/>
              <w:ind w:left="813"/>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c>
          <w:tcPr>
            <w:tcW w:w="94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2"/>
        </w:trPr>
        <w:tc>
          <w:tcPr>
            <w:tcW w:w="3880" w:type="dxa"/>
            <w:vAlign w:val="bottom"/>
            <w:gridSpan w:val="3"/>
          </w:tcPr>
          <w:p>
            <w:pPr>
              <w:jc w:val="center"/>
              <w:ind w:right="840"/>
              <w:spacing w:after="0"/>
              <w:rPr>
                <w:sz w:val="20"/>
                <w:szCs w:val="20"/>
                <w:color w:val="auto"/>
              </w:rPr>
            </w:pPr>
            <w:r>
              <w:rPr>
                <w:rFonts w:ascii="Times New Roman" w:cs="Times New Roman" w:eastAsia="Times New Roman" w:hAnsi="Times New Roman"/>
                <w:sz w:val="17"/>
                <w:szCs w:val="17"/>
                <w:color w:val="auto"/>
              </w:rPr>
              <w:t>Common stock, par value $0.01</w:t>
            </w:r>
          </w:p>
        </w:tc>
        <w:tc>
          <w:tcPr>
            <w:tcW w:w="2280" w:type="dxa"/>
            <w:vAlign w:val="bottom"/>
            <w:gridSpan w:val="2"/>
          </w:tcPr>
          <w:p>
            <w:pPr>
              <w:jc w:val="center"/>
              <w:ind w:right="900"/>
              <w:spacing w:after="0"/>
              <w:rPr>
                <w:sz w:val="20"/>
                <w:szCs w:val="20"/>
                <w:color w:val="auto"/>
              </w:rPr>
            </w:pPr>
            <w:r>
              <w:rPr>
                <w:rFonts w:ascii="Times New Roman" w:cs="Times New Roman" w:eastAsia="Times New Roman" w:hAnsi="Times New Roman"/>
                <w:sz w:val="17"/>
                <w:szCs w:val="17"/>
                <w:color w:val="auto"/>
              </w:rPr>
              <w:t>WYNN</w:t>
            </w:r>
          </w:p>
        </w:tc>
        <w:tc>
          <w:tcPr>
            <w:tcW w:w="900" w:type="dxa"/>
            <w:vAlign w:val="bottom"/>
          </w:tcPr>
          <w:p>
            <w:pPr>
              <w:spacing w:after="0"/>
              <w:rPr>
                <w:sz w:val="21"/>
                <w:szCs w:val="21"/>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Nasdaq Global Select Market</w:t>
            </w:r>
          </w:p>
        </w:tc>
        <w:tc>
          <w:tcPr>
            <w:tcW w:w="940" w:type="dxa"/>
            <w:vAlign w:val="bottom"/>
          </w:tcPr>
          <w:p>
            <w:pPr>
              <w:spacing w:after="0"/>
              <w:rPr>
                <w:sz w:val="21"/>
                <w:szCs w:val="21"/>
                <w:color w:val="auto"/>
              </w:rPr>
            </w:pPr>
          </w:p>
        </w:tc>
      </w:tr>
      <w:tr>
        <w:trPr>
          <w:trHeight w:val="203"/>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bl>
    <w:p>
      <w:pPr>
        <w:spacing w:after="0" w:line="309"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9"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7"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4"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7"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 w:lineRule="exact"/>
        <w:rPr>
          <w:sz w:val="24"/>
          <w:szCs w:val="24"/>
          <w:color w:val="auto"/>
        </w:rPr>
      </w:pPr>
    </w:p>
    <w:p>
      <w:pPr>
        <w:ind w:right="360"/>
        <w:spacing w:after="0" w:line="21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525145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52"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This Amendment No. 1 on Form 8-K/A amends the Current Report on Form 8-K filed on December 8, 2021 (the "Original Filing") by Wynn Resorts, Limited (the "Company"). The Original Filing reported the appointment of Julie Cameron-Doe as Chief Financial Officer of the Company, effective in the second quarter of 2022. At the time of the Original Filing, the effective date of Ms. Cameron-Doe's commencement of work for the Company was not determined. The Company hereby amends Item 5.02 of the Original Filing to provide an update on the effective date. Other than providing the additional information in Item 5.02 below, no other disclosure in the Original Filing is amended by this Form 8-K/A.</w:t>
      </w:r>
    </w:p>
    <w:p>
      <w:pPr>
        <w:sectPr>
          <w:pgSz w:w="11900" w:h="16838" w:orient="portrait"/>
          <w:cols w:equalWidth="0" w:num="1">
            <w:col w:w="11240"/>
          </w:cols>
          <w:pgMar w:left="320" w:top="867" w:right="339" w:bottom="1440" w:gutter="0" w:footer="0" w:header="0"/>
        </w:sect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7"/>
          <w:szCs w:val="17"/>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720" w:space="620"/>
            <w:col w:w="9900"/>
          </w:cols>
          <w:pgMar w:left="320" w:top="867" w:right="339" w:bottom="1440" w:gutter="0" w:footer="0" w:header="0"/>
          <w:type w:val="continuous"/>
        </w:sectPr>
      </w:pPr>
    </w:p>
    <w:p>
      <w:pPr>
        <w:spacing w:after="0" w:line="88"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On April 13, 2022, the Company entered into a first amendment to its employment agreement with Julie Cameron-Doe to provide for an effective date of April 18, 2022.</w:t>
      </w:r>
    </w:p>
    <w:p>
      <w:pPr>
        <w:spacing w:after="0" w:line="172"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The foregoing description does not purport to be complete and is qualified in its entirety by reference to the full text of the amendment, which will be filed as an exhibit to the Company’s Quarterly Report on Form 10-Q for the quarter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799465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type w:val="continuous"/>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6" w:lineRule="exact"/>
        <w:rPr>
          <w:sz w:val="20"/>
          <w:szCs w:val="20"/>
          <w:color w:val="auto"/>
        </w:rPr>
      </w:pPr>
    </w:p>
    <w:p>
      <w:pPr>
        <w:ind w:right="100" w:firstLine="433"/>
        <w:spacing w:after="0" w:line="29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680" w:type="dxa"/>
            <w:vAlign w:val="bottom"/>
          </w:tcPr>
          <w:p>
            <w:pPr>
              <w:ind w:left="560"/>
              <w:spacing w:after="0"/>
              <w:rPr>
                <w:sz w:val="20"/>
                <w:szCs w:val="20"/>
                <w:color w:val="auto"/>
              </w:rPr>
            </w:pPr>
            <w:r>
              <w:rPr>
                <w:rFonts w:ascii="Times New Roman" w:cs="Times New Roman" w:eastAsia="Times New Roman" w:hAnsi="Times New Roman"/>
                <w:sz w:val="17"/>
                <w:szCs w:val="17"/>
                <w:b w:val="1"/>
                <w:bCs w:val="1"/>
                <w:color w:val="auto"/>
              </w:rPr>
              <w:t>WYNN RESORTS, LIMITED</w:t>
            </w:r>
          </w:p>
        </w:tc>
      </w:tr>
      <w:tr>
        <w:trPr>
          <w:trHeight w:val="276"/>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Dated: April 18, 2022</w:t>
            </w:r>
          </w:p>
        </w:tc>
        <w:tc>
          <w:tcPr>
            <w:tcW w:w="31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By:</w:t>
            </w:r>
          </w:p>
        </w:tc>
        <w:tc>
          <w:tcPr>
            <w:tcW w:w="36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/s/ Ellen F. Whittemore</w:t>
            </w:r>
          </w:p>
        </w:tc>
      </w:tr>
      <w:tr>
        <w:trPr>
          <w:trHeight w:val="198"/>
        </w:trPr>
        <w:tc>
          <w:tcPr>
            <w:tcW w:w="3680" w:type="dxa"/>
            <w:vAlign w:val="bottom"/>
          </w:tcPr>
          <w:p>
            <w:pPr>
              <w:spacing w:after="0"/>
              <w:rPr>
                <w:sz w:val="17"/>
                <w:szCs w:val="17"/>
                <w:color w:val="auto"/>
              </w:rPr>
            </w:pPr>
          </w:p>
        </w:tc>
        <w:tc>
          <w:tcPr>
            <w:tcW w:w="6780" w:type="dxa"/>
            <w:vAlign w:val="bottom"/>
            <w:gridSpan w:val="2"/>
          </w:tcPr>
          <w:p>
            <w:pPr>
              <w:ind w:left="2260"/>
              <w:spacing w:after="0"/>
              <w:rPr>
                <w:sz w:val="20"/>
                <w:szCs w:val="20"/>
                <w:color w:val="auto"/>
              </w:rPr>
            </w:pPr>
            <w:r>
              <w:rPr>
                <w:rFonts w:ascii="Times New Roman" w:cs="Times New Roman" w:eastAsia="Times New Roman" w:hAnsi="Times New Roman"/>
                <w:sz w:val="17"/>
                <w:szCs w:val="17"/>
                <w:color w:val="auto"/>
              </w:rPr>
              <w:t>Ellen F. Whittemore</w:t>
            </w:r>
          </w:p>
        </w:tc>
      </w:tr>
      <w:tr>
        <w:trPr>
          <w:trHeight w:val="228"/>
        </w:trPr>
        <w:tc>
          <w:tcPr>
            <w:tcW w:w="3680" w:type="dxa"/>
            <w:vAlign w:val="bottom"/>
          </w:tcPr>
          <w:p>
            <w:pPr>
              <w:spacing w:after="0"/>
              <w:rPr>
                <w:sz w:val="19"/>
                <w:szCs w:val="19"/>
                <w:color w:val="auto"/>
              </w:rPr>
            </w:pPr>
          </w:p>
        </w:tc>
        <w:tc>
          <w:tcPr>
            <w:tcW w:w="6780" w:type="dxa"/>
            <w:vAlign w:val="bottom"/>
            <w:gridSpan w:val="2"/>
          </w:tcPr>
          <w:p>
            <w:pPr>
              <w:ind w:left="2260"/>
              <w:spacing w:after="0"/>
              <w:rPr>
                <w:sz w:val="20"/>
                <w:szCs w:val="20"/>
                <w:color w:val="auto"/>
              </w:rPr>
            </w:pPr>
            <w:r>
              <w:rPr>
                <w:rFonts w:ascii="Times New Roman" w:cs="Times New Roman" w:eastAsia="Times New Roman" w:hAnsi="Times New Roman"/>
                <w:sz w:val="17"/>
                <w:szCs w:val="17"/>
                <w:color w:val="auto"/>
              </w:rPr>
              <w:t>Executive Vice President, General Counsel and Secretary</w:t>
            </w:r>
          </w:p>
        </w:tc>
      </w:tr>
    </w:tbl>
    <w:p>
      <w:pPr>
        <w:spacing w:after="0" w:line="1" w:lineRule="exact"/>
        <w:rPr>
          <w:sz w:val="20"/>
          <w:szCs w:val="20"/>
          <w:color w:val="auto"/>
        </w:rPr>
      </w:pPr>
    </w:p>
    <w:sectPr>
      <w:pgSz w:w="11900" w:h="16838" w:orient="portrait"/>
      <w:cols w:equalWidth="0" w:num="1">
        <w:col w:w="11340"/>
      </w:cols>
      <w:pgMar w:left="320" w:top="8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2022-04-18T15:29:51Z</dcterms:created>
  <dcterms:modified xsi:type="dcterms:W3CDTF">2022-04-18T15:29:51Z</dcterms:modified>
</cp:coreProperties>
</file>