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6" w:lineRule="exact"/>
        <w:rPr>
          <w:sz w:val="24"/>
          <w:szCs w:val="24"/>
          <w:color w:val="auto"/>
        </w:rPr>
      </w:pPr>
    </w:p>
    <w:p>
      <w:pPr>
        <w:jc w:val="center"/>
        <w:ind w:right="-399"/>
        <w:spacing w:after="0"/>
        <w:rPr>
          <w:sz w:val="20"/>
          <w:szCs w:val="20"/>
          <w:color w:val="auto"/>
        </w:rPr>
      </w:pPr>
      <w:r>
        <w:rPr>
          <w:rFonts w:ascii="Arial" w:cs="Arial" w:eastAsia="Arial" w:hAnsi="Arial"/>
          <w:sz w:val="24"/>
          <w:szCs w:val="24"/>
          <w:b w:val="1"/>
          <w:bCs w:val="1"/>
          <w:color w:val="auto"/>
        </w:rPr>
        <w:t>CURRENT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125730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5"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Securities Exchange Act of 1934, as Amended</w:t>
      </w:r>
    </w:p>
    <w:p>
      <w:pPr>
        <w:spacing w:after="0" w:line="128"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Date of Report (Date of earliest event reported): August 30,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43"/>
          <w:szCs w:val="43"/>
          <w:b w:val="1"/>
          <w:bCs w:val="1"/>
          <w:color w:val="auto"/>
        </w:rPr>
        <w:t>WYNN RESORTS, LIMITED</w:t>
      </w:r>
    </w:p>
    <w:p>
      <w:pPr>
        <w:spacing w:after="0" w:line="54" w:lineRule="exact"/>
        <w:rPr>
          <w:sz w:val="24"/>
          <w:szCs w:val="24"/>
          <w:color w:val="auto"/>
        </w:rPr>
      </w:pPr>
    </w:p>
    <w:p>
      <w:pPr>
        <w:ind w:left="378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1180" w:type="dxa"/>
        <w:tblCellMar>
          <w:top w:w="0" w:type="dxa"/>
          <w:left w:w="0" w:type="dxa"/>
          <w:bottom w:w="0" w:type="dxa"/>
          <w:right w:w="0" w:type="dxa"/>
        </w:tblCellMar>
      </w:tblPr>
      <w:tr>
        <w:trPr>
          <w:trHeight w:val="218"/>
        </w:trPr>
        <w:tc>
          <w:tcPr>
            <w:tcW w:w="4080" w:type="dxa"/>
            <w:vAlign w:val="bottom"/>
          </w:tcPr>
          <w:p>
            <w:pPr>
              <w:jc w:val="center"/>
              <w:ind w:right="2482"/>
              <w:spacing w:after="0"/>
              <w:rPr>
                <w:sz w:val="20"/>
                <w:szCs w:val="20"/>
                <w:color w:val="auto"/>
              </w:rPr>
            </w:pPr>
            <w:r>
              <w:rPr>
                <w:rFonts w:ascii="Arial" w:cs="Arial" w:eastAsia="Arial" w:hAnsi="Arial"/>
                <w:sz w:val="18"/>
                <w:szCs w:val="18"/>
                <w:b w:val="1"/>
                <w:bCs w:val="1"/>
                <w:color w:val="auto"/>
                <w:w w:val="87"/>
              </w:rPr>
              <w:t>Nevada</w:t>
            </w:r>
          </w:p>
        </w:tc>
        <w:tc>
          <w:tcPr>
            <w:tcW w:w="2380" w:type="dxa"/>
            <w:vAlign w:val="bottom"/>
          </w:tcPr>
          <w:p>
            <w:pPr>
              <w:ind w:left="200"/>
              <w:spacing w:after="0"/>
              <w:rPr>
                <w:sz w:val="20"/>
                <w:szCs w:val="20"/>
                <w:color w:val="auto"/>
              </w:rPr>
            </w:pPr>
            <w:r>
              <w:rPr>
                <w:rFonts w:ascii="Arial" w:cs="Arial" w:eastAsia="Arial" w:hAnsi="Arial"/>
                <w:sz w:val="18"/>
                <w:szCs w:val="18"/>
                <w:b w:val="1"/>
                <w:bCs w:val="1"/>
                <w:color w:val="auto"/>
              </w:rPr>
              <w:t>000-50028</w:t>
            </w:r>
          </w:p>
        </w:tc>
        <w:tc>
          <w:tcPr>
            <w:tcW w:w="2480" w:type="dxa"/>
            <w:vAlign w:val="bottom"/>
          </w:tcPr>
          <w:p>
            <w:pPr>
              <w:jc w:val="right"/>
              <w:ind w:right="24"/>
              <w:spacing w:after="0"/>
              <w:rPr>
                <w:sz w:val="20"/>
                <w:szCs w:val="20"/>
                <w:color w:val="auto"/>
              </w:rPr>
            </w:pPr>
            <w:r>
              <w:rPr>
                <w:rFonts w:ascii="Arial" w:cs="Arial" w:eastAsia="Arial" w:hAnsi="Arial"/>
                <w:sz w:val="18"/>
                <w:szCs w:val="18"/>
                <w:b w:val="1"/>
                <w:bCs w:val="1"/>
                <w:color w:val="auto"/>
              </w:rPr>
              <w:t>46-0484987</w:t>
            </w:r>
          </w:p>
        </w:tc>
      </w:tr>
      <w:tr>
        <w:trPr>
          <w:trHeight w:val="149"/>
        </w:trPr>
        <w:tc>
          <w:tcPr>
            <w:tcW w:w="4080" w:type="dxa"/>
            <w:vAlign w:val="bottom"/>
          </w:tcPr>
          <w:p>
            <w:pPr>
              <w:jc w:val="center"/>
              <w:ind w:right="2462"/>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238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(Commission</w:t>
            </w:r>
          </w:p>
        </w:tc>
        <w:tc>
          <w:tcPr>
            <w:tcW w:w="2480" w:type="dxa"/>
            <w:vAlign w:val="bottom"/>
          </w:tcPr>
          <w:p>
            <w:pPr>
              <w:jc w:val="center"/>
              <w:ind w:left="136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080" w:type="dxa"/>
            <w:vAlign w:val="bottom"/>
          </w:tcPr>
          <w:p>
            <w:pPr>
              <w:jc w:val="center"/>
              <w:ind w:right="2462"/>
              <w:spacing w:after="0"/>
              <w:rPr>
                <w:sz w:val="20"/>
                <w:szCs w:val="20"/>
                <w:color w:val="auto"/>
              </w:rPr>
            </w:pPr>
            <w:r>
              <w:rPr>
                <w:rFonts w:ascii="Arial" w:cs="Arial" w:eastAsia="Arial" w:hAnsi="Arial"/>
                <w:sz w:val="14"/>
                <w:szCs w:val="14"/>
                <w:b w:val="1"/>
                <w:bCs w:val="1"/>
                <w:color w:val="auto"/>
                <w:w w:val="87"/>
              </w:rPr>
              <w:t>of incorporation</w:t>
            </w:r>
          </w:p>
        </w:tc>
        <w:tc>
          <w:tcPr>
            <w:tcW w:w="2380" w:type="dxa"/>
            <w:vAlign w:val="bottom"/>
          </w:tcPr>
          <w:p>
            <w:pPr>
              <w:ind w:left="200"/>
              <w:spacing w:after="0"/>
              <w:rPr>
                <w:sz w:val="20"/>
                <w:szCs w:val="20"/>
                <w:color w:val="auto"/>
              </w:rPr>
            </w:pPr>
            <w:r>
              <w:rPr>
                <w:rFonts w:ascii="Arial" w:cs="Arial" w:eastAsia="Arial" w:hAnsi="Arial"/>
                <w:sz w:val="14"/>
                <w:szCs w:val="14"/>
                <w:b w:val="1"/>
                <w:bCs w:val="1"/>
                <w:color w:val="auto"/>
              </w:rPr>
              <w:t>File Number)</w:t>
            </w: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Identification No.)</w:t>
            </w:r>
          </w:p>
        </w:tc>
      </w:tr>
      <w:tr>
        <w:trPr>
          <w:trHeight w:val="4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6"/>
              </w:rPr>
              <w:t>3131 Las Vegas Boulevard South</w:t>
            </w:r>
          </w:p>
        </w:tc>
        <w:tc>
          <w:tcPr>
            <w:tcW w:w="2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218"/>
        </w:trPr>
        <w:tc>
          <w:tcPr>
            <w:tcW w:w="4080" w:type="dxa"/>
            <w:vAlign w:val="bottom"/>
          </w:tcPr>
          <w:p>
            <w:pPr>
              <w:jc w:val="center"/>
              <w:ind w:left="1162"/>
              <w:spacing w:after="0"/>
              <w:rPr>
                <w:sz w:val="20"/>
                <w:szCs w:val="20"/>
                <w:color w:val="auto"/>
              </w:rPr>
            </w:pPr>
            <w:r>
              <w:rPr>
                <w:rFonts w:ascii="Arial" w:cs="Arial" w:eastAsia="Arial" w:hAnsi="Arial"/>
                <w:sz w:val="18"/>
                <w:szCs w:val="18"/>
                <w:b w:val="1"/>
                <w:bCs w:val="1"/>
                <w:color w:val="auto"/>
                <w:w w:val="85"/>
              </w:rPr>
              <w:t>Las Vegas, Nevada</w:t>
            </w:r>
          </w:p>
        </w:tc>
        <w:tc>
          <w:tcPr>
            <w:tcW w:w="2380" w:type="dxa"/>
            <w:vAlign w:val="bottom"/>
          </w:tcPr>
          <w:p>
            <w:pPr>
              <w:spacing w:after="0"/>
              <w:rPr>
                <w:sz w:val="18"/>
                <w:szCs w:val="18"/>
                <w:color w:val="auto"/>
              </w:rPr>
            </w:pPr>
          </w:p>
        </w:tc>
        <w:tc>
          <w:tcPr>
            <w:tcW w:w="2480" w:type="dxa"/>
            <w:vAlign w:val="bottom"/>
          </w:tcPr>
          <w:p>
            <w:pPr>
              <w:jc w:val="right"/>
              <w:ind w:right="224"/>
              <w:spacing w:after="0"/>
              <w:rPr>
                <w:sz w:val="20"/>
                <w:szCs w:val="20"/>
                <w:color w:val="auto"/>
              </w:rPr>
            </w:pPr>
            <w:r>
              <w:rPr>
                <w:rFonts w:ascii="Arial" w:cs="Arial" w:eastAsia="Arial" w:hAnsi="Arial"/>
                <w:sz w:val="18"/>
                <w:szCs w:val="18"/>
                <w:b w:val="1"/>
                <w:bCs w:val="1"/>
                <w:color w:val="auto"/>
              </w:rPr>
              <w:t>89109</w:t>
            </w:r>
          </w:p>
        </w:tc>
      </w:tr>
      <w:tr>
        <w:trPr>
          <w:trHeight w:val="174"/>
        </w:trPr>
        <w:tc>
          <w:tcPr>
            <w:tcW w:w="4080" w:type="dxa"/>
            <w:vAlign w:val="bottom"/>
          </w:tcPr>
          <w:p>
            <w:pPr>
              <w:jc w:val="center"/>
              <w:ind w:left="1162"/>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2380" w:type="dxa"/>
            <w:vAlign w:val="bottom"/>
          </w:tcPr>
          <w:p>
            <w:pPr>
              <w:spacing w:after="0"/>
              <w:rPr>
                <w:sz w:val="15"/>
                <w:szCs w:val="15"/>
                <w:color w:val="auto"/>
              </w:rPr>
            </w:pPr>
          </w:p>
        </w:tc>
        <w:tc>
          <w:tcPr>
            <w:tcW w:w="2480" w:type="dxa"/>
            <w:vAlign w:val="bottom"/>
          </w:tcPr>
          <w:p>
            <w:pPr>
              <w:jc w:val="center"/>
              <w:ind w:left="134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(702) 770-7555</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ind w:left="39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w:t>
      </w:r>
      <w:r>
        <w:rPr>
          <w:sz w:val="20"/>
          <w:szCs w:val="20"/>
          <w:color w:val="auto"/>
        </w:rPr>
        <w:tab/>
      </w:r>
      <w:r>
        <w:rPr>
          <w:rFonts w:ascii="Arial" w:cs="Arial" w:eastAsia="Arial" w:hAnsi="Arial"/>
          <w:sz w:val="15"/>
          <w:szCs w:val="15"/>
          <w:b w:val="1"/>
          <w:bCs w:val="1"/>
          <w:color w:val="auto"/>
        </w:rPr>
        <w:t>Regulation FD Disclosure.</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On August 30, 2013, Wynn Macau, Limited (“WML”), an indirect subsidiary of Wynn Resorts, Limited (the “Registrant”) with its ordinary shares listed on The Stock Exchange of Hong Kong Limited (the “HKSE”), filed a circular containing details regarding the construction works for its Cotai project (the “Circular”) with the HKSE, as required by HKSE listing rules. The Registrant owns approximately 72.3% of WML’s ordinary shares. The Circular can be found on the Investor Relations portion of WML’s website at http://en.wynnmacaulimited.com/phoenix.zhtml?c=231614&amp;p=irol-IRHome. WML’s website and the information contained in, or that can be accessed through, WML’s website is not a part of this Current Report on Form 8-K, nor is such information incorporated by reference herein. Further, the information in this Form 8-K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ectPr>
          <w:pgSz w:w="11900" w:h="16838" w:orient="portrait"/>
          <w:cols w:equalWidth="0" w:num="1">
            <w:col w:w="11400"/>
          </w:cols>
          <w:pgMar w:left="240" w:top="274"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3540" w:type="dxa"/>
            <w:vAlign w:val="bottom"/>
          </w:tcPr>
          <w:p>
            <w:pPr>
              <w:spacing w:after="0"/>
              <w:rPr>
                <w:sz w:val="19"/>
                <w:szCs w:val="19"/>
                <w:color w:val="auto"/>
              </w:rPr>
            </w:pPr>
          </w:p>
        </w:tc>
        <w:tc>
          <w:tcPr>
            <w:tcW w:w="7880" w:type="dxa"/>
            <w:vAlign w:val="bottom"/>
            <w:gridSpan w:val="2"/>
          </w:tcPr>
          <w:p>
            <w:pPr>
              <w:ind w:left="1940"/>
              <w:spacing w:after="0"/>
              <w:rPr>
                <w:sz w:val="20"/>
                <w:szCs w:val="20"/>
                <w:color w:val="auto"/>
              </w:rPr>
            </w:pPr>
            <w:r>
              <w:rPr>
                <w:rFonts w:ascii="Arial" w:cs="Arial" w:eastAsia="Arial" w:hAnsi="Arial"/>
                <w:sz w:val="18"/>
                <w:szCs w:val="18"/>
                <w:b w:val="1"/>
                <w:bCs w:val="1"/>
                <w:color w:val="auto"/>
              </w:rPr>
              <w:t>WYNN RESORTS, LIMITED</w:t>
            </w:r>
          </w:p>
        </w:tc>
      </w:tr>
      <w:tr>
        <w:trPr>
          <w:trHeight w:val="434"/>
        </w:trPr>
        <w:tc>
          <w:tcPr>
            <w:tcW w:w="3540" w:type="dxa"/>
            <w:vAlign w:val="bottom"/>
          </w:tcPr>
          <w:p>
            <w:pPr>
              <w:spacing w:after="0"/>
              <w:rPr>
                <w:sz w:val="20"/>
                <w:szCs w:val="20"/>
                <w:color w:val="auto"/>
              </w:rPr>
            </w:pPr>
            <w:r>
              <w:rPr>
                <w:rFonts w:ascii="Arial" w:cs="Arial" w:eastAsia="Arial" w:hAnsi="Arial"/>
                <w:sz w:val="18"/>
                <w:szCs w:val="18"/>
                <w:color w:val="auto"/>
              </w:rPr>
              <w:t>Date: August 30, 2013</w:t>
            </w:r>
          </w:p>
        </w:tc>
        <w:tc>
          <w:tcPr>
            <w:tcW w:w="2520" w:type="dxa"/>
            <w:vAlign w:val="bottom"/>
          </w:tcPr>
          <w:p>
            <w:pPr>
              <w:ind w:left="1940"/>
              <w:spacing w:after="0"/>
              <w:rPr>
                <w:sz w:val="20"/>
                <w:szCs w:val="20"/>
                <w:color w:val="auto"/>
              </w:rPr>
            </w:pPr>
            <w:r>
              <w:rPr>
                <w:rFonts w:ascii="Arial" w:cs="Arial" w:eastAsia="Arial" w:hAnsi="Arial"/>
                <w:sz w:val="18"/>
                <w:szCs w:val="18"/>
                <w:color w:val="auto"/>
              </w:rPr>
              <w:t>By:</w:t>
            </w: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Matt Maddox</w:t>
            </w:r>
          </w:p>
        </w:tc>
      </w:tr>
      <w:tr>
        <w:trPr>
          <w:trHeight w:val="215"/>
        </w:trPr>
        <w:tc>
          <w:tcPr>
            <w:tcW w:w="3540" w:type="dxa"/>
            <w:vAlign w:val="bottom"/>
          </w:tcPr>
          <w:p>
            <w:pPr>
              <w:spacing w:after="0"/>
              <w:rPr>
                <w:sz w:val="18"/>
                <w:szCs w:val="18"/>
                <w:color w:val="auto"/>
              </w:rPr>
            </w:pPr>
          </w:p>
        </w:tc>
        <w:tc>
          <w:tcPr>
            <w:tcW w:w="2520" w:type="dxa"/>
            <w:vAlign w:val="bottom"/>
          </w:tcPr>
          <w:p>
            <w:pPr>
              <w:ind w:left="1940"/>
              <w:spacing w:after="0"/>
              <w:rPr>
                <w:sz w:val="20"/>
                <w:szCs w:val="20"/>
                <w:color w:val="auto"/>
              </w:rPr>
            </w:pPr>
            <w:r>
              <w:rPr>
                <w:rFonts w:ascii="Arial" w:cs="Arial" w:eastAsia="Arial" w:hAnsi="Arial"/>
                <w:sz w:val="18"/>
                <w:szCs w:val="18"/>
                <w:color w:val="auto"/>
              </w:rPr>
              <w:t>Name:</w:t>
            </w:r>
          </w:p>
        </w:tc>
        <w:tc>
          <w:tcPr>
            <w:tcW w:w="5360" w:type="dxa"/>
            <w:vAlign w:val="bottom"/>
          </w:tcPr>
          <w:p>
            <w:pPr>
              <w:spacing w:after="0"/>
              <w:rPr>
                <w:sz w:val="20"/>
                <w:szCs w:val="20"/>
                <w:color w:val="auto"/>
              </w:rPr>
            </w:pPr>
            <w:r>
              <w:rPr>
                <w:rFonts w:ascii="Arial" w:cs="Arial" w:eastAsia="Arial" w:hAnsi="Arial"/>
                <w:sz w:val="18"/>
                <w:szCs w:val="18"/>
                <w:color w:val="auto"/>
              </w:rPr>
              <w:t>Matt Maddox</w:t>
            </w:r>
          </w:p>
        </w:tc>
      </w:tr>
      <w:tr>
        <w:trPr>
          <w:trHeight w:val="222"/>
        </w:trPr>
        <w:tc>
          <w:tcPr>
            <w:tcW w:w="3540" w:type="dxa"/>
            <w:vAlign w:val="bottom"/>
          </w:tcPr>
          <w:p>
            <w:pPr>
              <w:spacing w:after="0"/>
              <w:rPr>
                <w:sz w:val="19"/>
                <w:szCs w:val="19"/>
                <w:color w:val="auto"/>
              </w:rPr>
            </w:pPr>
          </w:p>
        </w:tc>
        <w:tc>
          <w:tcPr>
            <w:tcW w:w="2520" w:type="dxa"/>
            <w:vAlign w:val="bottom"/>
          </w:tcPr>
          <w:p>
            <w:pPr>
              <w:ind w:left="1940"/>
              <w:spacing w:after="0"/>
              <w:rPr>
                <w:sz w:val="20"/>
                <w:szCs w:val="20"/>
                <w:color w:val="auto"/>
              </w:rPr>
            </w:pPr>
            <w:r>
              <w:rPr>
                <w:rFonts w:ascii="Arial" w:cs="Arial" w:eastAsia="Arial" w:hAnsi="Arial"/>
                <w:sz w:val="18"/>
                <w:szCs w:val="18"/>
                <w:color w:val="auto"/>
              </w:rPr>
              <w:t>Title:</w:t>
            </w:r>
          </w:p>
        </w:tc>
        <w:tc>
          <w:tcPr>
            <w:tcW w:w="5360" w:type="dxa"/>
            <w:vAlign w:val="bottom"/>
          </w:tcPr>
          <w:p>
            <w:pPr>
              <w:spacing w:after="0"/>
              <w:rPr>
                <w:sz w:val="20"/>
                <w:szCs w:val="20"/>
                <w:color w:val="auto"/>
              </w:rPr>
            </w:pPr>
            <w:r>
              <w:rPr>
                <w:rFonts w:ascii="Arial" w:cs="Arial" w:eastAsia="Arial" w:hAnsi="Arial"/>
                <w:sz w:val="18"/>
                <w:szCs w:val="18"/>
                <w:color w:val="auto"/>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2019-12-07T04:19:40Z</dcterms:created>
  <dcterms:modified xsi:type="dcterms:W3CDTF">2019-12-07T04:19:40Z</dcterms:modified>
</cp:coreProperties>
</file>