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0"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8-K/A</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March 2, 2012</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WYNN RESORTS, LIMITED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360" w:type="dxa"/>
        <w:tblCellMar>
          <w:top w:w="0" w:type="dxa"/>
          <w:left w:w="0" w:type="dxa"/>
          <w:bottom w:w="0" w:type="dxa"/>
          <w:right w:w="0" w:type="dxa"/>
        </w:tblCellMar>
      </w:tblPr>
      <w:tr>
        <w:trPr>
          <w:trHeight w:val="253"/>
        </w:trPr>
        <w:tc>
          <w:tcPr>
            <w:tcW w:w="4080" w:type="dxa"/>
            <w:vAlign w:val="bottom"/>
          </w:tcPr>
          <w:p>
            <w:pPr>
              <w:jc w:val="center"/>
              <w:ind w:right="876"/>
              <w:spacing w:after="0"/>
              <w:rPr>
                <w:sz w:val="20"/>
                <w:szCs w:val="20"/>
                <w:color w:val="auto"/>
              </w:rPr>
            </w:pPr>
            <w:r>
              <w:rPr>
                <w:rFonts w:ascii="Arial" w:cs="Arial" w:eastAsia="Arial" w:hAnsi="Arial"/>
                <w:sz w:val="22"/>
                <w:szCs w:val="22"/>
                <w:b w:val="1"/>
                <w:bCs w:val="1"/>
                <w:color w:val="auto"/>
                <w:w w:val="89"/>
              </w:rPr>
              <w:t>Nevada</w:t>
            </w:r>
          </w:p>
        </w:tc>
        <w:tc>
          <w:tcPr>
            <w:tcW w:w="3420" w:type="dxa"/>
            <w:vAlign w:val="bottom"/>
          </w:tcPr>
          <w:p>
            <w:pPr>
              <w:jc w:val="right"/>
              <w:ind w:right="1577"/>
              <w:spacing w:after="0"/>
              <w:rPr>
                <w:sz w:val="20"/>
                <w:szCs w:val="20"/>
                <w:color w:val="auto"/>
              </w:rPr>
            </w:pPr>
            <w:r>
              <w:rPr>
                <w:rFonts w:ascii="Arial" w:cs="Arial" w:eastAsia="Arial" w:hAnsi="Arial"/>
                <w:sz w:val="22"/>
                <w:szCs w:val="22"/>
                <w:b w:val="1"/>
                <w:bCs w:val="1"/>
                <w:color w:val="auto"/>
              </w:rPr>
              <w:t>000-50028</w:t>
            </w:r>
          </w:p>
        </w:tc>
        <w:tc>
          <w:tcPr>
            <w:tcW w:w="3220" w:type="dxa"/>
            <w:vAlign w:val="bottom"/>
          </w:tcPr>
          <w:p>
            <w:pPr>
              <w:jc w:val="right"/>
              <w:ind w:right="935"/>
              <w:spacing w:after="0"/>
              <w:rPr>
                <w:sz w:val="20"/>
                <w:szCs w:val="20"/>
                <w:color w:val="auto"/>
              </w:rPr>
            </w:pPr>
            <w:r>
              <w:rPr>
                <w:rFonts w:ascii="Arial" w:cs="Arial" w:eastAsia="Arial" w:hAnsi="Arial"/>
                <w:sz w:val="22"/>
                <w:szCs w:val="22"/>
                <w:b w:val="1"/>
                <w:bCs w:val="1"/>
                <w:color w:val="auto"/>
              </w:rPr>
              <w:t>46-0484987</w:t>
            </w:r>
          </w:p>
        </w:tc>
      </w:tr>
      <w:tr>
        <w:trPr>
          <w:trHeight w:val="243"/>
        </w:trPr>
        <w:tc>
          <w:tcPr>
            <w:tcW w:w="4080" w:type="dxa"/>
            <w:vAlign w:val="bottom"/>
          </w:tcPr>
          <w:p>
            <w:pPr>
              <w:jc w:val="center"/>
              <w:ind w:right="876"/>
              <w:spacing w:after="0" w:line="243" w:lineRule="exact"/>
              <w:rPr>
                <w:sz w:val="20"/>
                <w:szCs w:val="20"/>
                <w:color w:val="auto"/>
              </w:rPr>
            </w:pPr>
            <w:r>
              <w:rPr>
                <w:rFonts w:ascii="Arial" w:cs="Arial" w:eastAsia="Arial" w:hAnsi="Arial"/>
                <w:sz w:val="22"/>
                <w:szCs w:val="22"/>
                <w:color w:val="auto"/>
                <w:w w:val="90"/>
              </w:rPr>
              <w:t>(State or other jurisdiction of</w:t>
            </w:r>
          </w:p>
        </w:tc>
        <w:tc>
          <w:tcPr>
            <w:tcW w:w="3420" w:type="dxa"/>
            <w:vAlign w:val="bottom"/>
          </w:tcPr>
          <w:p>
            <w:pPr>
              <w:jc w:val="center"/>
              <w:ind w:right="777"/>
              <w:spacing w:after="0" w:line="243" w:lineRule="exact"/>
              <w:rPr>
                <w:sz w:val="20"/>
                <w:szCs w:val="20"/>
                <w:color w:val="auto"/>
              </w:rPr>
            </w:pPr>
            <w:r>
              <w:rPr>
                <w:rFonts w:ascii="Arial" w:cs="Arial" w:eastAsia="Arial" w:hAnsi="Arial"/>
                <w:sz w:val="22"/>
                <w:szCs w:val="22"/>
                <w:color w:val="auto"/>
                <w:w w:val="90"/>
              </w:rPr>
              <w:t>(Commission File Number)</w:t>
            </w:r>
          </w:p>
        </w:tc>
        <w:tc>
          <w:tcPr>
            <w:tcW w:w="3220" w:type="dxa"/>
            <w:vAlign w:val="bottom"/>
          </w:tcPr>
          <w:p>
            <w:pPr>
              <w:ind w:left="80"/>
              <w:spacing w:after="0" w:line="243" w:lineRule="exact"/>
              <w:rPr>
                <w:sz w:val="20"/>
                <w:szCs w:val="20"/>
                <w:color w:val="auto"/>
              </w:rPr>
            </w:pPr>
            <w:r>
              <w:rPr>
                <w:rFonts w:ascii="Arial" w:cs="Arial" w:eastAsia="Arial" w:hAnsi="Arial"/>
                <w:sz w:val="22"/>
                <w:szCs w:val="22"/>
                <w:color w:val="auto"/>
                <w:w w:val="92"/>
              </w:rPr>
              <w:t>(I.R.S. Employer Identification No.)</w:t>
            </w:r>
          </w:p>
        </w:tc>
      </w:tr>
      <w:tr>
        <w:trPr>
          <w:trHeight w:val="275"/>
        </w:trPr>
        <w:tc>
          <w:tcPr>
            <w:tcW w:w="4080" w:type="dxa"/>
            <w:vAlign w:val="bottom"/>
          </w:tcPr>
          <w:p>
            <w:pPr>
              <w:jc w:val="center"/>
              <w:ind w:right="896"/>
              <w:spacing w:after="0"/>
              <w:rPr>
                <w:sz w:val="20"/>
                <w:szCs w:val="20"/>
                <w:color w:val="auto"/>
              </w:rPr>
            </w:pPr>
            <w:r>
              <w:rPr>
                <w:rFonts w:ascii="Arial" w:cs="Arial" w:eastAsia="Arial" w:hAnsi="Arial"/>
                <w:sz w:val="22"/>
                <w:szCs w:val="22"/>
                <w:color w:val="auto"/>
                <w:w w:val="92"/>
              </w:rPr>
              <w:t>incorporation)</w:t>
            </w:r>
          </w:p>
        </w:tc>
        <w:tc>
          <w:tcPr>
            <w:tcW w:w="3420" w:type="dxa"/>
            <w:vAlign w:val="bottom"/>
          </w:tcPr>
          <w:p>
            <w:pPr>
              <w:spacing w:after="0"/>
              <w:rPr>
                <w:sz w:val="23"/>
                <w:szCs w:val="23"/>
                <w:color w:val="auto"/>
              </w:rPr>
            </w:pPr>
          </w:p>
        </w:tc>
        <w:tc>
          <w:tcPr>
            <w:tcW w:w="3220" w:type="dxa"/>
            <w:vAlign w:val="bottom"/>
          </w:tcPr>
          <w:p>
            <w:pPr>
              <w:spacing w:after="0"/>
              <w:rPr>
                <w:sz w:val="23"/>
                <w:szCs w:val="23"/>
                <w:color w:val="auto"/>
              </w:rPr>
            </w:pPr>
          </w:p>
        </w:tc>
      </w:tr>
      <w:tr>
        <w:trPr>
          <w:trHeight w:val="689"/>
        </w:trPr>
        <w:tc>
          <w:tcPr>
            <w:tcW w:w="4080" w:type="dxa"/>
            <w:vAlign w:val="bottom"/>
          </w:tcPr>
          <w:p>
            <w:pPr>
              <w:spacing w:after="0"/>
              <w:rPr>
                <w:sz w:val="24"/>
                <w:szCs w:val="24"/>
                <w:color w:val="auto"/>
              </w:rPr>
            </w:pPr>
          </w:p>
        </w:tc>
        <w:tc>
          <w:tcPr>
            <w:tcW w:w="3420" w:type="dxa"/>
            <w:vAlign w:val="bottom"/>
          </w:tcPr>
          <w:p>
            <w:pPr>
              <w:jc w:val="center"/>
              <w:ind w:right="777"/>
              <w:spacing w:after="0"/>
              <w:rPr>
                <w:sz w:val="20"/>
                <w:szCs w:val="20"/>
                <w:color w:val="auto"/>
              </w:rPr>
            </w:pPr>
            <w:r>
              <w:rPr>
                <w:rFonts w:ascii="Arial" w:cs="Arial" w:eastAsia="Arial" w:hAnsi="Arial"/>
                <w:sz w:val="20"/>
                <w:szCs w:val="20"/>
                <w:b w:val="1"/>
                <w:bCs w:val="1"/>
                <w:color w:val="auto"/>
                <w:w w:val="99"/>
              </w:rPr>
              <w:t>WYNN LAS VEGAS, LLC</w:t>
            </w:r>
          </w:p>
        </w:tc>
        <w:tc>
          <w:tcPr>
            <w:tcW w:w="3220" w:type="dxa"/>
            <w:vAlign w:val="bottom"/>
          </w:tcPr>
          <w:p>
            <w:pPr>
              <w:spacing w:after="0"/>
              <w:rPr>
                <w:sz w:val="24"/>
                <w:szCs w:val="24"/>
                <w:color w:val="auto"/>
              </w:rPr>
            </w:pPr>
          </w:p>
        </w:tc>
      </w:tr>
      <w:tr>
        <w:trPr>
          <w:trHeight w:val="250"/>
        </w:trPr>
        <w:tc>
          <w:tcPr>
            <w:tcW w:w="7500" w:type="dxa"/>
            <w:vAlign w:val="bottom"/>
            <w:gridSpan w:val="2"/>
          </w:tcPr>
          <w:p>
            <w:pPr>
              <w:ind w:left="3340"/>
              <w:spacing w:after="0"/>
              <w:rPr>
                <w:sz w:val="20"/>
                <w:szCs w:val="20"/>
                <w:color w:val="auto"/>
              </w:rPr>
            </w:pPr>
            <w:r>
              <w:rPr>
                <w:rFonts w:ascii="Arial" w:cs="Arial" w:eastAsia="Arial" w:hAnsi="Arial"/>
                <w:sz w:val="20"/>
                <w:szCs w:val="20"/>
                <w:color w:val="auto"/>
                <w:w w:val="90"/>
              </w:rPr>
              <w:t>(Exact name of registrant as specified in its charter)</w:t>
            </w:r>
          </w:p>
        </w:tc>
        <w:tc>
          <w:tcPr>
            <w:tcW w:w="3220" w:type="dxa"/>
            <w:vAlign w:val="bottom"/>
          </w:tcPr>
          <w:p>
            <w:pPr>
              <w:spacing w:after="0"/>
              <w:rPr>
                <w:sz w:val="21"/>
                <w:szCs w:val="21"/>
                <w:color w:val="auto"/>
              </w:rPr>
            </w:pPr>
          </w:p>
        </w:tc>
      </w:tr>
      <w:tr>
        <w:trPr>
          <w:trHeight w:val="452"/>
        </w:trPr>
        <w:tc>
          <w:tcPr>
            <w:tcW w:w="4080" w:type="dxa"/>
            <w:vAlign w:val="bottom"/>
          </w:tcPr>
          <w:p>
            <w:pPr>
              <w:jc w:val="center"/>
              <w:ind w:right="896"/>
              <w:spacing w:after="0"/>
              <w:rPr>
                <w:sz w:val="20"/>
                <w:szCs w:val="20"/>
                <w:color w:val="auto"/>
              </w:rPr>
            </w:pPr>
            <w:r>
              <w:rPr>
                <w:rFonts w:ascii="Arial" w:cs="Arial" w:eastAsia="Arial" w:hAnsi="Arial"/>
                <w:sz w:val="20"/>
                <w:szCs w:val="20"/>
                <w:b w:val="1"/>
                <w:bCs w:val="1"/>
                <w:color w:val="auto"/>
                <w:w w:val="89"/>
              </w:rPr>
              <w:t>Nevada</w:t>
            </w:r>
          </w:p>
        </w:tc>
        <w:tc>
          <w:tcPr>
            <w:tcW w:w="3420" w:type="dxa"/>
            <w:vAlign w:val="bottom"/>
          </w:tcPr>
          <w:p>
            <w:pPr>
              <w:jc w:val="right"/>
              <w:ind w:right="1577"/>
              <w:spacing w:after="0"/>
              <w:rPr>
                <w:sz w:val="20"/>
                <w:szCs w:val="20"/>
                <w:color w:val="auto"/>
              </w:rPr>
            </w:pPr>
            <w:r>
              <w:rPr>
                <w:rFonts w:ascii="Arial" w:cs="Arial" w:eastAsia="Arial" w:hAnsi="Arial"/>
                <w:sz w:val="20"/>
                <w:szCs w:val="20"/>
                <w:b w:val="1"/>
                <w:bCs w:val="1"/>
                <w:color w:val="auto"/>
              </w:rPr>
              <w:t>333-100768</w:t>
            </w:r>
          </w:p>
        </w:tc>
        <w:tc>
          <w:tcPr>
            <w:tcW w:w="3220" w:type="dxa"/>
            <w:vAlign w:val="bottom"/>
          </w:tcPr>
          <w:p>
            <w:pPr>
              <w:jc w:val="right"/>
              <w:ind w:right="975"/>
              <w:spacing w:after="0"/>
              <w:rPr>
                <w:sz w:val="20"/>
                <w:szCs w:val="20"/>
                <w:color w:val="auto"/>
              </w:rPr>
            </w:pPr>
            <w:r>
              <w:rPr>
                <w:rFonts w:ascii="Arial" w:cs="Arial" w:eastAsia="Arial" w:hAnsi="Arial"/>
                <w:sz w:val="20"/>
                <w:szCs w:val="20"/>
                <w:b w:val="1"/>
                <w:bCs w:val="1"/>
                <w:color w:val="auto"/>
              </w:rPr>
              <w:t>88-0494875</w:t>
            </w:r>
          </w:p>
        </w:tc>
      </w:tr>
      <w:tr>
        <w:trPr>
          <w:trHeight w:val="230"/>
        </w:trPr>
        <w:tc>
          <w:tcPr>
            <w:tcW w:w="4080" w:type="dxa"/>
            <w:vAlign w:val="bottom"/>
          </w:tcPr>
          <w:p>
            <w:pPr>
              <w:jc w:val="center"/>
              <w:ind w:right="876"/>
              <w:spacing w:after="0"/>
              <w:rPr>
                <w:sz w:val="20"/>
                <w:szCs w:val="20"/>
                <w:color w:val="auto"/>
              </w:rPr>
            </w:pPr>
            <w:r>
              <w:rPr>
                <w:rFonts w:ascii="Arial" w:cs="Arial" w:eastAsia="Arial" w:hAnsi="Arial"/>
                <w:sz w:val="20"/>
                <w:szCs w:val="20"/>
                <w:color w:val="auto"/>
                <w:w w:val="91"/>
              </w:rPr>
              <w:t>(State or other jurisdiction of</w:t>
            </w:r>
          </w:p>
        </w:tc>
        <w:tc>
          <w:tcPr>
            <w:tcW w:w="3420" w:type="dxa"/>
            <w:vAlign w:val="bottom"/>
          </w:tcPr>
          <w:p>
            <w:pPr>
              <w:jc w:val="center"/>
              <w:ind w:right="777"/>
              <w:spacing w:after="0"/>
              <w:rPr>
                <w:sz w:val="20"/>
                <w:szCs w:val="20"/>
                <w:color w:val="auto"/>
              </w:rPr>
            </w:pPr>
            <w:r>
              <w:rPr>
                <w:rFonts w:ascii="Arial" w:cs="Arial" w:eastAsia="Arial" w:hAnsi="Arial"/>
                <w:sz w:val="20"/>
                <w:szCs w:val="20"/>
                <w:color w:val="auto"/>
                <w:w w:val="91"/>
              </w:rPr>
              <w:t>(Commission File Number)</w:t>
            </w:r>
          </w:p>
        </w:tc>
        <w:tc>
          <w:tcPr>
            <w:tcW w:w="3220" w:type="dxa"/>
            <w:vAlign w:val="bottom"/>
          </w:tcPr>
          <w:p>
            <w:pPr>
              <w:ind w:left="220"/>
              <w:spacing w:after="0"/>
              <w:rPr>
                <w:sz w:val="20"/>
                <w:szCs w:val="20"/>
                <w:color w:val="auto"/>
              </w:rPr>
            </w:pPr>
            <w:r>
              <w:rPr>
                <w:rFonts w:ascii="Arial" w:cs="Arial" w:eastAsia="Arial" w:hAnsi="Arial"/>
                <w:sz w:val="20"/>
                <w:szCs w:val="20"/>
                <w:color w:val="auto"/>
                <w:w w:val="96"/>
              </w:rPr>
              <w:t>(I.R.S. Employer Identification No.)</w:t>
            </w:r>
          </w:p>
        </w:tc>
      </w:tr>
      <w:tr>
        <w:trPr>
          <w:trHeight w:val="250"/>
        </w:trPr>
        <w:tc>
          <w:tcPr>
            <w:tcW w:w="4080" w:type="dxa"/>
            <w:vAlign w:val="bottom"/>
          </w:tcPr>
          <w:p>
            <w:pPr>
              <w:jc w:val="center"/>
              <w:ind w:right="876"/>
              <w:spacing w:after="0"/>
              <w:rPr>
                <w:sz w:val="20"/>
                <w:szCs w:val="20"/>
                <w:color w:val="auto"/>
              </w:rPr>
            </w:pPr>
            <w:r>
              <w:rPr>
                <w:rFonts w:ascii="Arial" w:cs="Arial" w:eastAsia="Arial" w:hAnsi="Arial"/>
                <w:sz w:val="20"/>
                <w:szCs w:val="20"/>
                <w:color w:val="auto"/>
                <w:w w:val="93"/>
              </w:rPr>
              <w:t>incorporation)</w:t>
            </w:r>
          </w:p>
        </w:tc>
        <w:tc>
          <w:tcPr>
            <w:tcW w:w="3420" w:type="dxa"/>
            <w:vAlign w:val="bottom"/>
          </w:tcPr>
          <w:p>
            <w:pPr>
              <w:spacing w:after="0"/>
              <w:rPr>
                <w:sz w:val="21"/>
                <w:szCs w:val="21"/>
                <w:color w:val="auto"/>
              </w:rPr>
            </w:pPr>
          </w:p>
        </w:tc>
        <w:tc>
          <w:tcPr>
            <w:tcW w:w="3220" w:type="dxa"/>
            <w:vAlign w:val="bottom"/>
          </w:tcPr>
          <w:p>
            <w:pPr>
              <w:spacing w:after="0"/>
              <w:rPr>
                <w:sz w:val="21"/>
                <w:szCs w:val="21"/>
                <w:color w:val="auto"/>
              </w:rPr>
            </w:pPr>
          </w:p>
        </w:tc>
      </w:tr>
      <w:tr>
        <w:trPr>
          <w:trHeight w:val="698"/>
        </w:trPr>
        <w:tc>
          <w:tcPr>
            <w:tcW w:w="4080" w:type="dxa"/>
            <w:vAlign w:val="bottom"/>
          </w:tcPr>
          <w:p>
            <w:pPr>
              <w:jc w:val="center"/>
              <w:ind w:left="796"/>
              <w:spacing w:after="0"/>
              <w:rPr>
                <w:sz w:val="20"/>
                <w:szCs w:val="20"/>
                <w:color w:val="auto"/>
              </w:rPr>
            </w:pPr>
            <w:r>
              <w:rPr>
                <w:rFonts w:ascii="Arial" w:cs="Arial" w:eastAsia="Arial" w:hAnsi="Arial"/>
                <w:sz w:val="22"/>
                <w:szCs w:val="22"/>
                <w:b w:val="1"/>
                <w:bCs w:val="1"/>
                <w:color w:val="auto"/>
                <w:w w:val="87"/>
              </w:rPr>
              <w:t>3131 Las Vegas Boulevard South</w:t>
            </w:r>
          </w:p>
        </w:tc>
        <w:tc>
          <w:tcPr>
            <w:tcW w:w="342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49"/>
        </w:trPr>
        <w:tc>
          <w:tcPr>
            <w:tcW w:w="4080" w:type="dxa"/>
            <w:vAlign w:val="bottom"/>
          </w:tcPr>
          <w:p>
            <w:pPr>
              <w:jc w:val="center"/>
              <w:ind w:left="816"/>
              <w:spacing w:after="0" w:line="249" w:lineRule="exact"/>
              <w:rPr>
                <w:sz w:val="20"/>
                <w:szCs w:val="20"/>
                <w:color w:val="auto"/>
              </w:rPr>
            </w:pPr>
            <w:r>
              <w:rPr>
                <w:rFonts w:ascii="Arial" w:cs="Arial" w:eastAsia="Arial" w:hAnsi="Arial"/>
                <w:sz w:val="22"/>
                <w:szCs w:val="22"/>
                <w:b w:val="1"/>
                <w:bCs w:val="1"/>
                <w:color w:val="auto"/>
                <w:w w:val="86"/>
              </w:rPr>
              <w:t>Las Vegas, Nevada</w:t>
            </w:r>
          </w:p>
        </w:tc>
        <w:tc>
          <w:tcPr>
            <w:tcW w:w="3420" w:type="dxa"/>
            <w:vAlign w:val="bottom"/>
          </w:tcPr>
          <w:p>
            <w:pPr>
              <w:spacing w:after="0"/>
              <w:rPr>
                <w:sz w:val="21"/>
                <w:szCs w:val="21"/>
                <w:color w:val="auto"/>
              </w:rPr>
            </w:pPr>
          </w:p>
        </w:tc>
        <w:tc>
          <w:tcPr>
            <w:tcW w:w="3220" w:type="dxa"/>
            <w:vAlign w:val="bottom"/>
          </w:tcPr>
          <w:p>
            <w:pPr>
              <w:jc w:val="right"/>
              <w:ind w:right="2135"/>
              <w:spacing w:after="0" w:line="249" w:lineRule="exact"/>
              <w:rPr>
                <w:sz w:val="20"/>
                <w:szCs w:val="20"/>
                <w:color w:val="auto"/>
              </w:rPr>
            </w:pPr>
            <w:r>
              <w:rPr>
                <w:rFonts w:ascii="Arial" w:cs="Arial" w:eastAsia="Arial" w:hAnsi="Arial"/>
                <w:sz w:val="22"/>
                <w:szCs w:val="22"/>
                <w:b w:val="1"/>
                <w:bCs w:val="1"/>
                <w:color w:val="auto"/>
              </w:rPr>
              <w:t>89109</w:t>
            </w:r>
          </w:p>
        </w:tc>
      </w:tr>
      <w:tr>
        <w:trPr>
          <w:trHeight w:val="275"/>
        </w:trPr>
        <w:tc>
          <w:tcPr>
            <w:tcW w:w="7500" w:type="dxa"/>
            <w:vAlign w:val="bottom"/>
            <w:gridSpan w:val="2"/>
          </w:tcPr>
          <w:p>
            <w:pPr>
              <w:jc w:val="center"/>
              <w:ind w:right="2417"/>
              <w:spacing w:after="0"/>
              <w:rPr>
                <w:sz w:val="20"/>
                <w:szCs w:val="20"/>
                <w:color w:val="auto"/>
              </w:rPr>
            </w:pPr>
            <w:r>
              <w:rPr>
                <w:rFonts w:ascii="Arial" w:cs="Arial" w:eastAsia="Arial" w:hAnsi="Arial"/>
                <w:sz w:val="22"/>
                <w:szCs w:val="22"/>
                <w:color w:val="auto"/>
                <w:w w:val="90"/>
              </w:rPr>
              <w:t>(Address of principal executive offices of each registrant)</w:t>
            </w:r>
          </w:p>
        </w:tc>
        <w:tc>
          <w:tcPr>
            <w:tcW w:w="3220" w:type="dxa"/>
            <w:vAlign w:val="bottom"/>
          </w:tcPr>
          <w:p>
            <w:pPr>
              <w:ind w:left="220"/>
              <w:spacing w:after="0"/>
              <w:rPr>
                <w:sz w:val="20"/>
                <w:szCs w:val="20"/>
                <w:color w:val="auto"/>
              </w:rPr>
            </w:pPr>
            <w:r>
              <w:rPr>
                <w:rFonts w:ascii="Arial" w:cs="Arial" w:eastAsia="Arial" w:hAnsi="Arial"/>
                <w:sz w:val="22"/>
                <w:szCs w:val="22"/>
                <w:color w:val="auto"/>
              </w:rPr>
              <w:t>(Zip Code)</w:t>
            </w:r>
          </w:p>
        </w:tc>
      </w:tr>
    </w:tbl>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(702) 770-7555</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15"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is intended to simultaneously satisfy the filing obligation of the registrant under any of the following provisions:</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339"/>
        </w:trPr>
        <w:tc>
          <w:tcPr>
            <w:tcW w:w="86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10560" w:type="dxa"/>
            <w:vAlign w:val="bottom"/>
          </w:tcPr>
          <w:p>
            <w:pPr>
              <w:ind w:left="640"/>
              <w:spacing w:after="0"/>
              <w:rPr>
                <w:sz w:val="20"/>
                <w:szCs w:val="20"/>
                <w:color w:val="auto"/>
              </w:rPr>
            </w:pPr>
            <w:r>
              <w:rPr>
                <w:rFonts w:ascii="Arial" w:cs="Arial" w:eastAsia="Arial" w:hAnsi="Arial"/>
                <w:sz w:val="22"/>
                <w:szCs w:val="22"/>
                <w:color w:val="auto"/>
              </w:rPr>
              <w:t>Written communication pursuant to Rule 425 under the Securities Act (17 CFR 230.425)</w:t>
            </w:r>
          </w:p>
        </w:tc>
      </w:tr>
      <w:tr>
        <w:trPr>
          <w:trHeight w:val="473"/>
        </w:trPr>
        <w:tc>
          <w:tcPr>
            <w:tcW w:w="86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10560" w:type="dxa"/>
            <w:vAlign w:val="bottom"/>
          </w:tcPr>
          <w:p>
            <w:pPr>
              <w:ind w:left="640"/>
              <w:spacing w:after="0"/>
              <w:rPr>
                <w:sz w:val="20"/>
                <w:szCs w:val="20"/>
                <w:color w:val="auto"/>
              </w:rPr>
            </w:pPr>
            <w:r>
              <w:rPr>
                <w:rFonts w:ascii="Arial" w:cs="Arial" w:eastAsia="Arial" w:hAnsi="Arial"/>
                <w:sz w:val="22"/>
                <w:szCs w:val="22"/>
                <w:color w:val="auto"/>
              </w:rPr>
              <w:t>Soliciting material pursuant to Rule 14a-12 under the Exchange Act (17 CFR 240.14a-12)</w:t>
            </w:r>
          </w:p>
        </w:tc>
      </w:tr>
      <w:tr>
        <w:trPr>
          <w:trHeight w:val="404"/>
        </w:trPr>
        <w:tc>
          <w:tcPr>
            <w:tcW w:w="86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10560" w:type="dxa"/>
            <w:vAlign w:val="bottom"/>
          </w:tcPr>
          <w:p>
            <w:pPr>
              <w:ind w:left="640"/>
              <w:spacing w:after="0"/>
              <w:rPr>
                <w:sz w:val="20"/>
                <w:szCs w:val="20"/>
                <w:color w:val="auto"/>
              </w:rPr>
            </w:pPr>
            <w:r>
              <w:rPr>
                <w:rFonts w:ascii="Arial" w:cs="Arial" w:eastAsia="Arial" w:hAnsi="Arial"/>
                <w:sz w:val="22"/>
                <w:szCs w:val="22"/>
                <w:color w:val="auto"/>
              </w:rPr>
              <w:t>Pre-commencement communications pursuant to Rule 14d-2(b) under the Exchange Act (17 CFR</w:t>
            </w:r>
          </w:p>
        </w:tc>
      </w:tr>
      <w:tr>
        <w:trPr>
          <w:trHeight w:val="275"/>
        </w:trPr>
        <w:tc>
          <w:tcPr>
            <w:tcW w:w="860" w:type="dxa"/>
            <w:vAlign w:val="bottom"/>
          </w:tcPr>
          <w:p>
            <w:pPr>
              <w:spacing w:after="0"/>
              <w:rPr>
                <w:sz w:val="23"/>
                <w:szCs w:val="23"/>
                <w:color w:val="auto"/>
              </w:rPr>
            </w:pPr>
          </w:p>
        </w:tc>
        <w:tc>
          <w:tcPr>
            <w:tcW w:w="10560" w:type="dxa"/>
            <w:vAlign w:val="bottom"/>
          </w:tcPr>
          <w:p>
            <w:pPr>
              <w:ind w:left="640"/>
              <w:spacing w:after="0"/>
              <w:rPr>
                <w:sz w:val="20"/>
                <w:szCs w:val="20"/>
                <w:color w:val="auto"/>
              </w:rPr>
            </w:pPr>
            <w:r>
              <w:rPr>
                <w:rFonts w:ascii="Arial" w:cs="Arial" w:eastAsia="Arial" w:hAnsi="Arial"/>
                <w:sz w:val="22"/>
                <w:szCs w:val="22"/>
                <w:color w:val="auto"/>
              </w:rPr>
              <w:t>240.14d-2(b))</w:t>
            </w:r>
          </w:p>
        </w:tc>
      </w:tr>
      <w:tr>
        <w:trPr>
          <w:trHeight w:val="428"/>
        </w:trPr>
        <w:tc>
          <w:tcPr>
            <w:tcW w:w="86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10560" w:type="dxa"/>
            <w:vAlign w:val="bottom"/>
          </w:tcPr>
          <w:p>
            <w:pPr>
              <w:ind w:left="640"/>
              <w:spacing w:after="0"/>
              <w:rPr>
                <w:sz w:val="20"/>
                <w:szCs w:val="20"/>
                <w:color w:val="auto"/>
              </w:rPr>
            </w:pPr>
            <w:r>
              <w:rPr>
                <w:rFonts w:ascii="Arial" w:cs="Arial" w:eastAsia="Arial" w:hAnsi="Arial"/>
                <w:sz w:val="22"/>
                <w:szCs w:val="22"/>
                <w:color w:val="auto"/>
              </w:rPr>
              <w:t>Pre-commencements communications pursuant to Rule 13e-4(c) under the Exchange Act (17 CFR</w:t>
            </w:r>
          </w:p>
        </w:tc>
      </w:tr>
      <w:tr>
        <w:trPr>
          <w:trHeight w:val="275"/>
        </w:trPr>
        <w:tc>
          <w:tcPr>
            <w:tcW w:w="860" w:type="dxa"/>
            <w:vAlign w:val="bottom"/>
          </w:tcPr>
          <w:p>
            <w:pPr>
              <w:spacing w:after="0"/>
              <w:rPr>
                <w:sz w:val="23"/>
                <w:szCs w:val="23"/>
                <w:color w:val="auto"/>
              </w:rPr>
            </w:pPr>
          </w:p>
        </w:tc>
        <w:tc>
          <w:tcPr>
            <w:tcW w:w="10560" w:type="dxa"/>
            <w:vAlign w:val="bottom"/>
          </w:tcPr>
          <w:p>
            <w:pPr>
              <w:ind w:left="640"/>
              <w:spacing w:after="0"/>
              <w:rPr>
                <w:sz w:val="20"/>
                <w:szCs w:val="20"/>
                <w:color w:val="auto"/>
              </w:rPr>
            </w:pPr>
            <w:r>
              <w:rPr>
                <w:rFonts w:ascii="Arial" w:cs="Arial" w:eastAsia="Arial" w:hAnsi="Arial"/>
                <w:sz w:val="22"/>
                <w:szCs w:val="22"/>
                <w:color w:val="auto"/>
              </w:rPr>
              <w:t>240.13e-4(c))</w:t>
            </w:r>
          </w:p>
        </w:tc>
      </w:tr>
      <w:tr>
        <w:trPr>
          <w:trHeight w:val="649"/>
        </w:trPr>
        <w:tc>
          <w:tcPr>
            <w:tcW w:w="860" w:type="dxa"/>
            <w:vAlign w:val="bottom"/>
            <w:tcBorders>
              <w:bottom w:val="single" w:sz="8" w:color="808080"/>
            </w:tcBorders>
          </w:tcPr>
          <w:p>
            <w:pPr>
              <w:spacing w:after="0"/>
              <w:rPr>
                <w:sz w:val="24"/>
                <w:szCs w:val="24"/>
                <w:color w:val="auto"/>
              </w:rPr>
            </w:pPr>
          </w:p>
        </w:tc>
        <w:tc>
          <w:tcPr>
            <w:tcW w:w="105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spacing w:after="0"/>
        <w:tabs>
          <w:tab w:leader="none" w:pos="144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19"/>
          <w:szCs w:val="19"/>
          <w:b w:val="1"/>
          <w:bCs w:val="1"/>
          <w:color w:val="auto"/>
        </w:rPr>
        <w:t>Other Events.</w:t>
      </w:r>
    </w:p>
    <w:p>
      <w:pPr>
        <w:spacing w:after="0" w:line="200" w:lineRule="exact"/>
        <w:rPr>
          <w:sz w:val="20"/>
          <w:szCs w:val="20"/>
          <w:color w:val="auto"/>
        </w:rPr>
      </w:pPr>
    </w:p>
    <w:p>
      <w:pPr>
        <w:spacing w:after="0" w:line="282" w:lineRule="exact"/>
        <w:rPr>
          <w:sz w:val="20"/>
          <w:szCs w:val="20"/>
          <w:color w:val="auto"/>
        </w:rPr>
      </w:pPr>
    </w:p>
    <w:p>
      <w:pPr>
        <w:ind w:firstLine="810"/>
        <w:spacing w:after="0" w:line="297" w:lineRule="auto"/>
        <w:rPr>
          <w:sz w:val="20"/>
          <w:szCs w:val="20"/>
          <w:color w:val="auto"/>
        </w:rPr>
      </w:pPr>
      <w:r>
        <w:rPr>
          <w:rFonts w:ascii="Arial" w:cs="Arial" w:eastAsia="Arial" w:hAnsi="Arial"/>
          <w:sz w:val="19"/>
          <w:szCs w:val="19"/>
          <w:color w:val="auto"/>
        </w:rPr>
        <w:t>On March 2, 2012, a Current Report regarding the gazetting of the Cotai Land Concession Contract on Form 8-K (the “Land Concession 8-K”) was filed by mistake by the Company's agent. The filing was not authorized by the Company. The Cotai Land Concession Contract has not been gazetted. The purpose of this filing is to retract the Land Concession 8-K in its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525780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74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March 2, 2012</w:t>
      </w:r>
    </w:p>
    <w:p>
      <w:pPr>
        <w:spacing w:after="0" w:line="233" w:lineRule="exact"/>
        <w:rPr>
          <w:sz w:val="20"/>
          <w:szCs w:val="20"/>
          <w:color w:val="auto"/>
        </w:rPr>
      </w:pPr>
    </w:p>
    <w:p>
      <w:pPr>
        <w:ind w:left="6640"/>
        <w:spacing w:after="0"/>
        <w:rPr>
          <w:sz w:val="20"/>
          <w:szCs w:val="20"/>
          <w:color w:val="auto"/>
        </w:rPr>
      </w:pPr>
      <w:r>
        <w:rPr>
          <w:rFonts w:ascii="Arial" w:cs="Arial" w:eastAsia="Arial" w:hAnsi="Arial"/>
          <w:sz w:val="22"/>
          <w:szCs w:val="22"/>
          <w:color w:val="auto"/>
        </w:rPr>
        <w:t>WYNN RESORTS, LIMITED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320" w:type="dxa"/>
            <w:vAlign w:val="bottom"/>
          </w:tcPr>
          <w:p>
            <w:pPr>
              <w:ind w:left="6640"/>
              <w:spacing w:after="0"/>
              <w:rPr>
                <w:sz w:val="20"/>
                <w:szCs w:val="20"/>
                <w:color w:val="auto"/>
              </w:rPr>
            </w:pPr>
            <w:r>
              <w:rPr>
                <w:rFonts w:ascii="Arial" w:cs="Arial" w:eastAsia="Arial" w:hAnsi="Arial"/>
                <w:sz w:val="20"/>
                <w:szCs w:val="20"/>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Matt Maddox</w:t>
            </w:r>
          </w:p>
        </w:tc>
      </w:tr>
      <w:tr>
        <w:trPr>
          <w:trHeight w:val="244"/>
        </w:trPr>
        <w:tc>
          <w:tcPr>
            <w:tcW w:w="7320" w:type="dxa"/>
            <w:vAlign w:val="bottom"/>
          </w:tcPr>
          <w:p>
            <w:pPr>
              <w:spacing w:after="0"/>
              <w:rPr>
                <w:sz w:val="21"/>
                <w:szCs w:val="21"/>
                <w:color w:val="auto"/>
              </w:rPr>
            </w:pPr>
          </w:p>
        </w:tc>
        <w:tc>
          <w:tcPr>
            <w:tcW w:w="4100" w:type="dxa"/>
            <w:vAlign w:val="bottom"/>
          </w:tcPr>
          <w:p>
            <w:pPr>
              <w:spacing w:after="0"/>
              <w:rPr>
                <w:sz w:val="20"/>
                <w:szCs w:val="20"/>
                <w:color w:val="auto"/>
              </w:rPr>
            </w:pPr>
            <w:r>
              <w:rPr>
                <w:rFonts w:ascii="Arial" w:cs="Arial" w:eastAsia="Arial" w:hAnsi="Arial"/>
                <w:sz w:val="20"/>
                <w:szCs w:val="20"/>
                <w:color w:val="auto"/>
              </w:rPr>
              <w:t>Chief Financial Officer and Treasurer</w:t>
            </w:r>
          </w:p>
        </w:tc>
      </w:tr>
      <w:tr>
        <w:trPr>
          <w:trHeight w:val="638"/>
        </w:trPr>
        <w:tc>
          <w:tcPr>
            <w:tcW w:w="732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March 2, 2012</w:t>
      </w:r>
    </w:p>
    <w:p>
      <w:pPr>
        <w:spacing w:after="0" w:line="233" w:lineRule="exact"/>
        <w:rPr>
          <w:sz w:val="20"/>
          <w:szCs w:val="20"/>
          <w:color w:val="auto"/>
        </w:rPr>
      </w:pPr>
    </w:p>
    <w:p>
      <w:pPr>
        <w:ind w:left="6640"/>
        <w:spacing w:after="0"/>
        <w:rPr>
          <w:sz w:val="20"/>
          <w:szCs w:val="20"/>
          <w:color w:val="auto"/>
        </w:rPr>
      </w:pPr>
      <w:r>
        <w:rPr>
          <w:rFonts w:ascii="Arial" w:cs="Arial" w:eastAsia="Arial" w:hAnsi="Arial"/>
          <w:sz w:val="22"/>
          <w:szCs w:val="22"/>
          <w:color w:val="auto"/>
        </w:rPr>
        <w:t>WYNN LAS VEGAS, LLC</w:t>
      </w:r>
    </w:p>
    <w:p>
      <w:pPr>
        <w:spacing w:after="0" w:line="206" w:lineRule="exact"/>
        <w:rPr>
          <w:sz w:val="20"/>
          <w:szCs w:val="20"/>
          <w:color w:val="auto"/>
        </w:rPr>
      </w:pPr>
    </w:p>
    <w:tbl>
      <w:tblPr>
        <w:tblLayout w:type="fixed"/>
        <w:tblInd w:w="6640" w:type="dxa"/>
        <w:tblCellMar>
          <w:top w:w="0" w:type="dxa"/>
          <w:left w:w="0" w:type="dxa"/>
          <w:bottom w:w="0" w:type="dxa"/>
          <w:right w:w="0" w:type="dxa"/>
        </w:tblCellMar>
      </w:tblPr>
      <w:tr>
        <w:trPr>
          <w:trHeight w:val="27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100" w:type="dxa"/>
            <w:vAlign w:val="bottom"/>
          </w:tcPr>
          <w:p>
            <w:pPr>
              <w:spacing w:after="0"/>
              <w:rPr>
                <w:sz w:val="20"/>
                <w:szCs w:val="20"/>
                <w:color w:val="auto"/>
              </w:rPr>
            </w:pPr>
            <w:r>
              <w:rPr>
                <w:rFonts w:ascii="Arial" w:cs="Arial" w:eastAsia="Arial" w:hAnsi="Arial"/>
                <w:sz w:val="22"/>
                <w:szCs w:val="22"/>
                <w:color w:val="auto"/>
                <w:w w:val="90"/>
              </w:rPr>
              <w:t>Wynn Resorts Holdings, LLC, its sole member</w:t>
            </w:r>
          </w:p>
        </w:tc>
      </w:tr>
      <w:tr>
        <w:trPr>
          <w:trHeight w:val="459"/>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100" w:type="dxa"/>
            <w:vAlign w:val="bottom"/>
          </w:tcPr>
          <w:p>
            <w:pPr>
              <w:spacing w:after="0"/>
              <w:rPr>
                <w:sz w:val="20"/>
                <w:szCs w:val="20"/>
                <w:color w:val="auto"/>
              </w:rPr>
            </w:pPr>
            <w:r>
              <w:rPr>
                <w:rFonts w:ascii="Arial" w:cs="Arial" w:eastAsia="Arial" w:hAnsi="Arial"/>
                <w:sz w:val="22"/>
                <w:szCs w:val="22"/>
                <w:color w:val="auto"/>
              </w:rPr>
              <w:t>Wynn Resorts, Limited, its sole member</w:t>
            </w:r>
          </w:p>
        </w:tc>
      </w:tr>
      <w:tr>
        <w:trPr>
          <w:trHeight w:val="449"/>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 Maddox</w:t>
            </w:r>
          </w:p>
        </w:tc>
      </w:tr>
      <w:tr>
        <w:trPr>
          <w:trHeight w:val="215"/>
        </w:trPr>
        <w:tc>
          <w:tcPr>
            <w:tcW w:w="680" w:type="dxa"/>
            <w:vAlign w:val="bottom"/>
          </w:tcPr>
          <w:p>
            <w:pPr>
              <w:spacing w:after="0"/>
              <w:rPr>
                <w:sz w:val="18"/>
                <w:szCs w:val="18"/>
                <w:color w:val="auto"/>
              </w:rPr>
            </w:pPr>
          </w:p>
        </w:tc>
        <w:tc>
          <w:tcPr>
            <w:tcW w:w="4100" w:type="dxa"/>
            <w:vAlign w:val="bottom"/>
          </w:tcPr>
          <w:p>
            <w:pPr>
              <w:spacing w:after="0" w:line="216" w:lineRule="exact"/>
              <w:rPr>
                <w:sz w:val="20"/>
                <w:szCs w:val="20"/>
                <w:color w:val="auto"/>
              </w:rPr>
            </w:pPr>
            <w:r>
              <w:rPr>
                <w:rFonts w:ascii="Arial" w:cs="Arial" w:eastAsia="Arial" w:hAnsi="Arial"/>
                <w:sz w:val="22"/>
                <w:szCs w:val="22"/>
                <w:color w:val="auto"/>
              </w:rPr>
              <w:t>Matt Maddox</w:t>
            </w:r>
          </w:p>
        </w:tc>
      </w:tr>
      <w:tr>
        <w:trPr>
          <w:trHeight w:val="275"/>
        </w:trPr>
        <w:tc>
          <w:tcPr>
            <w:tcW w:w="680" w:type="dxa"/>
            <w:vAlign w:val="bottom"/>
          </w:tcPr>
          <w:p>
            <w:pPr>
              <w:spacing w:after="0"/>
              <w:rPr>
                <w:sz w:val="23"/>
                <w:szCs w:val="23"/>
                <w:color w:val="auto"/>
              </w:rPr>
            </w:pPr>
          </w:p>
        </w:tc>
        <w:tc>
          <w:tcPr>
            <w:tcW w:w="4100" w:type="dxa"/>
            <w:vAlign w:val="bottom"/>
          </w:tcPr>
          <w:p>
            <w:pPr>
              <w:spacing w:after="0"/>
              <w:rPr>
                <w:sz w:val="20"/>
                <w:szCs w:val="20"/>
                <w:color w:val="auto"/>
              </w:rPr>
            </w:pPr>
            <w:r>
              <w:rPr>
                <w:rFonts w:ascii="Arial" w:cs="Arial" w:eastAsia="Arial" w:hAnsi="Arial"/>
                <w:sz w:val="22"/>
                <w:szCs w:val="22"/>
                <w:color w:val="auto"/>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5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2019-12-09T15:33:42Z</dcterms:created>
  <dcterms:modified xsi:type="dcterms:W3CDTF">2019-12-09T15:33:42Z</dcterms:modified>
</cp:coreProperties>
</file>