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151130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49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000-50028</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44-0484987</w:t>
            </w:r>
          </w:p>
        </w:tc>
      </w:tr>
      <w:tr>
        <w:trPr>
          <w:trHeight w:val="216"/>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49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incorporation)</w:t>
            </w:r>
          </w:p>
        </w:tc>
        <w:tc>
          <w:tcPr>
            <w:tcW w:w="49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47"/>
        </w:trPr>
        <w:tc>
          <w:tcPr>
            <w:tcW w:w="3160" w:type="dxa"/>
            <w:vAlign w:val="bottom"/>
          </w:tcPr>
          <w:p>
            <w:pPr>
              <w:spacing w:after="0"/>
              <w:rPr>
                <w:sz w:val="24"/>
                <w:szCs w:val="24"/>
                <w:color w:val="auto"/>
              </w:rPr>
            </w:pPr>
          </w:p>
        </w:tc>
        <w:tc>
          <w:tcPr>
            <w:tcW w:w="492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Wynn Las Vegas, LLC</w:t>
            </w:r>
          </w:p>
        </w:tc>
        <w:tc>
          <w:tcPr>
            <w:tcW w:w="334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4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3340" w:type="dxa"/>
            <w:vAlign w:val="bottom"/>
          </w:tcPr>
          <w:p>
            <w:pPr>
              <w:spacing w:after="0"/>
              <w:rPr>
                <w:sz w:val="19"/>
                <w:szCs w:val="19"/>
                <w:color w:val="auto"/>
              </w:rPr>
            </w:pPr>
          </w:p>
        </w:tc>
      </w:tr>
      <w:tr>
        <w:trPr>
          <w:trHeight w:val="447"/>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49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333-98369</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88-0494878</w:t>
            </w:r>
          </w:p>
        </w:tc>
      </w:tr>
      <w:tr>
        <w:trPr>
          <w:trHeight w:val="216"/>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49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incorporation)</w:t>
            </w:r>
          </w:p>
        </w:tc>
        <w:tc>
          <w:tcPr>
            <w:tcW w:w="49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47"/>
        </w:trPr>
        <w:tc>
          <w:tcPr>
            <w:tcW w:w="3160" w:type="dxa"/>
            <w:vAlign w:val="bottom"/>
          </w:tcPr>
          <w:p>
            <w:pPr>
              <w:spacing w:after="0"/>
              <w:rPr>
                <w:sz w:val="24"/>
                <w:szCs w:val="24"/>
                <w:color w:val="auto"/>
              </w:rPr>
            </w:pPr>
          </w:p>
        </w:tc>
        <w:tc>
          <w:tcPr>
            <w:tcW w:w="4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6"/>
              </w:rPr>
              <w:t>Wynn Las Vegas Capital Corp.</w:t>
            </w:r>
          </w:p>
        </w:tc>
        <w:tc>
          <w:tcPr>
            <w:tcW w:w="334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4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3340" w:type="dxa"/>
            <w:vAlign w:val="bottom"/>
          </w:tcPr>
          <w:p>
            <w:pPr>
              <w:spacing w:after="0"/>
              <w:rPr>
                <w:sz w:val="19"/>
                <w:szCs w:val="19"/>
                <w:color w:val="auto"/>
              </w:rPr>
            </w:pPr>
          </w:p>
        </w:tc>
      </w:tr>
      <w:tr>
        <w:trPr>
          <w:trHeight w:val="447"/>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492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333-98369</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46-0484992</w:t>
            </w:r>
          </w:p>
        </w:tc>
      </w:tr>
      <w:tr>
        <w:trPr>
          <w:trHeight w:val="216"/>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492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31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incorporation)</w:t>
            </w:r>
          </w:p>
        </w:tc>
        <w:tc>
          <w:tcPr>
            <w:tcW w:w="49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47"/>
        </w:trPr>
        <w:tc>
          <w:tcPr>
            <w:tcW w:w="3160" w:type="dxa"/>
            <w:vAlign w:val="bottom"/>
          </w:tcPr>
          <w:p>
            <w:pPr>
              <w:spacing w:after="0"/>
              <w:rPr>
                <w:sz w:val="24"/>
                <w:szCs w:val="24"/>
                <w:color w:val="auto"/>
              </w:rPr>
            </w:pPr>
          </w:p>
        </w:tc>
        <w:tc>
          <w:tcPr>
            <w:tcW w:w="4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and Other Registrants</w:t>
            </w:r>
          </w:p>
        </w:tc>
        <w:tc>
          <w:tcPr>
            <w:tcW w:w="334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4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(See Table of Other Registrants Listed Below)</w:t>
            </w:r>
          </w:p>
        </w:tc>
        <w:tc>
          <w:tcPr>
            <w:tcW w:w="3340" w:type="dxa"/>
            <w:vAlign w:val="bottom"/>
          </w:tcPr>
          <w:p>
            <w:pPr>
              <w:spacing w:after="0"/>
              <w:rPr>
                <w:sz w:val="19"/>
                <w:szCs w:val="19"/>
                <w:color w:val="auto"/>
              </w:rPr>
            </w:pPr>
          </w:p>
        </w:tc>
      </w:tr>
      <w:tr>
        <w:trPr>
          <w:trHeight w:val="636"/>
        </w:trPr>
        <w:tc>
          <w:tcPr>
            <w:tcW w:w="8080" w:type="dxa"/>
            <w:vAlign w:val="bottom"/>
            <w:gridSpan w:val="2"/>
          </w:tcPr>
          <w:p>
            <w:pPr>
              <w:jc w:val="center"/>
              <w:ind w:right="2392"/>
              <w:spacing w:after="0"/>
              <w:rPr>
                <w:sz w:val="20"/>
                <w:szCs w:val="20"/>
                <w:color w:val="auto"/>
              </w:rPr>
            </w:pPr>
            <w:r>
              <w:rPr>
                <w:rFonts w:ascii="Times New Roman" w:cs="Times New Roman" w:eastAsia="Times New Roman" w:hAnsi="Times New Roman"/>
                <w:sz w:val="18"/>
                <w:szCs w:val="18"/>
                <w:b w:val="1"/>
                <w:bCs w:val="1"/>
                <w:color w:val="auto"/>
                <w:w w:val="96"/>
              </w:rPr>
              <w:t>3145 Las Vegas Boulevard South, Las Vegas, NV</w:t>
            </w:r>
          </w:p>
        </w:tc>
        <w:tc>
          <w:tcPr>
            <w:tcW w:w="3340" w:type="dxa"/>
            <w:vAlign w:val="bottom"/>
          </w:tcPr>
          <w:p>
            <w:pPr>
              <w:jc w:val="right"/>
              <w:ind w:right="2432"/>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8"/>
        </w:trPr>
        <w:tc>
          <w:tcPr>
            <w:tcW w:w="8080" w:type="dxa"/>
            <w:vAlign w:val="bottom"/>
            <w:gridSpan w:val="2"/>
          </w:tcPr>
          <w:p>
            <w:pPr>
              <w:jc w:val="center"/>
              <w:ind w:right="2392"/>
              <w:spacing w:after="0"/>
              <w:rPr>
                <w:sz w:val="20"/>
                <w:szCs w:val="20"/>
                <w:color w:val="auto"/>
              </w:rPr>
            </w:pPr>
            <w:r>
              <w:rPr>
                <w:rFonts w:ascii="Times New Roman" w:cs="Times New Roman" w:eastAsia="Times New Roman" w:hAnsi="Times New Roman"/>
                <w:sz w:val="18"/>
                <w:szCs w:val="18"/>
                <w:color w:val="auto"/>
                <w:w w:val="97"/>
              </w:rPr>
              <w:t>(Address of principal executive offices of each registrant)</w:t>
            </w:r>
          </w:p>
        </w:tc>
        <w:tc>
          <w:tcPr>
            <w:tcW w:w="3340" w:type="dxa"/>
            <w:vAlign w:val="bottom"/>
          </w:tcPr>
          <w:p>
            <w:pPr>
              <w:jc w:val="center"/>
              <w:ind w:right="2052"/>
              <w:spacing w:after="0"/>
              <w:rPr>
                <w:sz w:val="20"/>
                <w:szCs w:val="20"/>
                <w:color w:val="auto"/>
              </w:rPr>
            </w:pPr>
            <w:r>
              <w:rPr>
                <w:rFonts w:ascii="Times New Roman" w:cs="Times New Roman" w:eastAsia="Times New Roman" w:hAnsi="Times New Roman"/>
                <w:sz w:val="18"/>
                <w:szCs w:val="18"/>
                <w:color w:val="auto"/>
                <w:w w:val="95"/>
              </w:rPr>
              <w:t>(Zip Code)</w:t>
            </w:r>
          </w:p>
        </w:tc>
      </w:tr>
      <w:tr>
        <w:trPr>
          <w:trHeight w:val="852"/>
        </w:trPr>
        <w:tc>
          <w:tcPr>
            <w:tcW w:w="3160" w:type="dxa"/>
            <w:vAlign w:val="bottom"/>
          </w:tcPr>
          <w:p>
            <w:pPr>
              <w:spacing w:after="0"/>
              <w:rPr>
                <w:sz w:val="24"/>
                <w:szCs w:val="24"/>
                <w:color w:val="auto"/>
              </w:rPr>
            </w:pPr>
          </w:p>
        </w:tc>
        <w:tc>
          <w:tcPr>
            <w:tcW w:w="492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(702) 733-4444</w:t>
            </w:r>
          </w:p>
        </w:tc>
        <w:tc>
          <w:tcPr>
            <w:tcW w:w="334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4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340" w:type="dxa"/>
            <w:vAlign w:val="bottom"/>
          </w:tcPr>
          <w:p>
            <w:pPr>
              <w:spacing w:after="0"/>
              <w:rPr>
                <w:sz w:val="19"/>
                <w:szCs w:val="19"/>
                <w:color w:val="auto"/>
              </w:rPr>
            </w:pPr>
          </w:p>
        </w:tc>
      </w:tr>
      <w:tr>
        <w:trPr>
          <w:trHeight w:val="420"/>
        </w:trPr>
        <w:tc>
          <w:tcPr>
            <w:tcW w:w="3160" w:type="dxa"/>
            <w:vAlign w:val="bottom"/>
          </w:tcPr>
          <w:p>
            <w:pPr>
              <w:spacing w:after="0"/>
              <w:rPr>
                <w:sz w:val="24"/>
                <w:szCs w:val="24"/>
                <w:color w:val="auto"/>
              </w:rPr>
            </w:pPr>
          </w:p>
        </w:tc>
        <w:tc>
          <w:tcPr>
            <w:tcW w:w="4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334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49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(Former name or former address, if changed since last report)</w:t>
            </w:r>
          </w:p>
        </w:tc>
        <w:tc>
          <w:tcPr>
            <w:tcW w:w="3340" w:type="dxa"/>
            <w:vAlign w:val="bottom"/>
          </w:tcPr>
          <w:p>
            <w:pPr>
              <w:spacing w:after="0"/>
              <w:rPr>
                <w:sz w:val="19"/>
                <w:szCs w:val="19"/>
                <w:color w:val="auto"/>
              </w:rPr>
            </w:pPr>
          </w:p>
        </w:tc>
      </w:tr>
      <w:tr>
        <w:trPr>
          <w:trHeight w:val="228"/>
        </w:trPr>
        <w:tc>
          <w:tcPr>
            <w:tcW w:w="316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r>
      <w:tr>
        <w:trPr>
          <w:trHeight w:val="115"/>
        </w:trPr>
        <w:tc>
          <w:tcPr>
            <w:tcW w:w="316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115"/>
        </w:trPr>
        <w:tc>
          <w:tcPr>
            <w:tcW w:w="316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427"/>
        </w:trPr>
        <w:tc>
          <w:tcPr>
            <w:tcW w:w="3160" w:type="dxa"/>
            <w:vAlign w:val="bottom"/>
          </w:tcPr>
          <w:p>
            <w:pPr>
              <w:spacing w:after="0"/>
              <w:rPr>
                <w:sz w:val="24"/>
                <w:szCs w:val="24"/>
                <w:color w:val="auto"/>
              </w:rPr>
            </w:pPr>
          </w:p>
        </w:tc>
        <w:tc>
          <w:tcPr>
            <w:tcW w:w="492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Other Registrants</w:t>
            </w:r>
          </w:p>
        </w:tc>
        <w:tc>
          <w:tcPr>
            <w:tcW w:w="33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-457200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-457200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-370840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-370840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State or Other</w:t>
            </w: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Jurisdiction of</w:t>
            </w: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Incorporation</w:t>
            </w:r>
          </w:p>
        </w:tc>
        <w:tc>
          <w:tcPr>
            <w:tcW w:w="220" w:type="dxa"/>
            <w:vAlign w:val="bottom"/>
          </w:tcPr>
          <w:p>
            <w:pPr>
              <w:spacing w:after="0"/>
              <w:rPr>
                <w:sz w:val="12"/>
                <w:szCs w:val="12"/>
                <w:color w:val="auto"/>
              </w:rPr>
            </w:pPr>
          </w:p>
        </w:tc>
        <w:tc>
          <w:tcPr>
            <w:tcW w:w="20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w:t>
            </w:r>
          </w:p>
        </w:tc>
        <w:tc>
          <w:tcPr>
            <w:tcW w:w="1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Identification</w:t>
            </w:r>
          </w:p>
        </w:tc>
        <w:tc>
          <w:tcPr>
            <w:tcW w:w="0" w:type="dxa"/>
            <w:vAlign w:val="bottom"/>
          </w:tcPr>
          <w:p>
            <w:pPr>
              <w:spacing w:after="0"/>
              <w:rPr>
                <w:sz w:val="1"/>
                <w:szCs w:val="1"/>
                <w:color w:val="auto"/>
              </w:rPr>
            </w:pPr>
          </w:p>
        </w:tc>
      </w:tr>
      <w:tr>
        <w:trPr>
          <w:trHeight w:val="178"/>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220" w:type="dxa"/>
            <w:vAlign w:val="bottom"/>
          </w:tcPr>
          <w:p>
            <w:pPr>
              <w:spacing w:after="0"/>
              <w:rPr>
                <w:sz w:val="15"/>
                <w:szCs w:val="15"/>
                <w:color w:val="auto"/>
              </w:rPr>
            </w:pP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Desert Inn Water Company, LLC</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88-0460932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Palo, LLC</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88-0464820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Valvino Lamore, LLC</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88-0459742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Wynn Design &amp; Development, LLC</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88-0462235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Resorts Holdings, LLC</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88-0460933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World Travel, LLC</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47-0846667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Jet, LLC</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2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333-98369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88-0460935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3665220</wp:posOffset>
            </wp:positionH>
            <wp:positionV relativeFrom="paragraph">
              <wp:posOffset>-1041400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-1041400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-1041400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-1041400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-1041400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-1041400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0" w:gutter="0" w:footer="0" w:header="0"/>
        </w:sect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463"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Item 5. Other Events.</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Registrants are filing this joint Form 8-K to file an amendment to the loan agreement governing the furniture, fixtures and equipment loan facility and to refile the Master Disbursement Agreement entered into by Wynn Las Vegas, LLC, Wynn Las Vegas Capital Corp. and Wynn Design &amp; Development, LLC to reflect certain corrections to Section 3.3.24 and Section 5.5 of such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Exhibits.</w:t>
      </w:r>
    </w:p>
    <w:p>
      <w:pPr>
        <w:spacing w:after="0" w:line="227" w:lineRule="exact"/>
        <w:rPr>
          <w:sz w:val="20"/>
          <w:szCs w:val="20"/>
          <w:color w:val="auto"/>
        </w:rPr>
      </w:pPr>
    </w:p>
    <w:p>
      <w:pPr>
        <w:ind w:left="1080" w:hanging="539"/>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Master Disbursement Agreement, dated as of October 30, 2002, by and among Wynn Las Vegas, LLC, Wynn Las Vegas Capital Corp., Wynn Design &amp; Development, LLC, Deutsche Bank Trust Company Americas, as initial Bank Agent, Wells Fargo Bank, National Association, as initial Indenture Trustee, Wells Fargo Bank Nevada, National Association, as initial FF&amp;E Agent and Deutsche Bank Trust Company Americas, as initial Disbursement Agent.</w:t>
      </w:r>
    </w:p>
    <w:p>
      <w:pPr>
        <w:spacing w:after="0" w:line="204" w:lineRule="exact"/>
        <w:rPr>
          <w:sz w:val="20"/>
          <w:szCs w:val="20"/>
          <w:color w:val="auto"/>
        </w:rPr>
      </w:pPr>
    </w:p>
    <w:p>
      <w:pPr>
        <w:ind w:left="1080" w:right="280" w:hanging="539"/>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10.2</w:t>
        <w:tab/>
        <w:t>Amendment to Loan Agreement, dated as of December 3, 2002, by and among Wynn Las Vegas, LLC, Wells Fargo Bank Nevada, as collateral agent, and each of the lenders listed therein.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81280</wp:posOffset>
            </wp:positionV>
            <wp:extent cx="361442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4420" cy="21590"/>
                    </a:xfrm>
                    <a:prstGeom prst="rect">
                      <a:avLst/>
                    </a:prstGeom>
                    <a:noFill/>
                  </pic:spPr>
                </pic:pic>
              </a:graphicData>
            </a:graphic>
          </wp:anchor>
        </w:drawing>
      </w:r>
    </w:p>
    <w:p>
      <w:pPr>
        <w:spacing w:after="0" w:line="232" w:lineRule="exact"/>
        <w:rPr>
          <w:sz w:val="20"/>
          <w:szCs w:val="20"/>
          <w:color w:val="auto"/>
        </w:rPr>
      </w:pPr>
    </w:p>
    <w:p>
      <w:pPr>
        <w:ind w:left="574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Strzemp</w:t>
      </w:r>
    </w:p>
    <w:p>
      <w:pPr>
        <w:spacing w:after="0" w:line="21" w:lineRule="exact"/>
        <w:rPr>
          <w:sz w:val="20"/>
          <w:szCs w:val="20"/>
          <w:color w:val="auto"/>
        </w:rPr>
      </w:pPr>
    </w:p>
    <w:p>
      <w:pPr>
        <w:ind w:left="574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200" w:lineRule="exact"/>
        <w:rPr>
          <w:sz w:val="20"/>
          <w:szCs w:val="20"/>
          <w:color w:val="auto"/>
        </w:rPr>
      </w:pPr>
    </w:p>
    <w:p>
      <w:pPr>
        <w:spacing w:after="0" w:line="241"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WYNN LAS VEGAS, LLC, its member</w:t>
      </w:r>
    </w:p>
    <w:p>
      <w:pPr>
        <w:sectPr>
          <w:pgSz w:w="11900" w:h="16838" w:orient="portrait"/>
          <w:cols w:equalWidth="0" w:num="1">
            <w:col w:w="11420"/>
          </w:cols>
          <w:pgMar w:left="240" w:top="582"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WYNN RESORTS HOLDINGS, LLC, its member</w:t>
      </w:r>
    </w:p>
    <w:p>
      <w:pPr>
        <w:sectPr>
          <w:pgSz w:w="11900" w:h="16838" w:orient="portrait"/>
          <w:cols w:equalWidth="0" w:num="1">
            <w:col w:w="11420"/>
          </w:cols>
          <w:pgMar w:left="240" w:top="582" w:right="239" w:bottom="0" w:gutter="0" w:footer="0" w:header="0"/>
          <w:type w:val="continuous"/>
        </w:sectPr>
      </w:pPr>
    </w:p>
    <w:bookmarkStart w:id="2" w:name="page3"/>
    <w:bookmarkEnd w:id="2"/>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LAS VEGAS,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HOLDINGS,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341" w:right="239" w:bottom="0" w:gutter="0" w:footer="0" w:header="0"/>
        </w:sectPr>
      </w:pPr>
    </w:p>
    <w:bookmarkStart w:id="3" w:name="page4"/>
    <w:bookmarkEnd w:id="3"/>
    <w:p>
      <w:pPr>
        <w:ind w:left="5160"/>
        <w:spacing w:after="0"/>
        <w:rPr>
          <w:sz w:val="20"/>
          <w:szCs w:val="20"/>
          <w:color w:val="auto"/>
        </w:rPr>
      </w:pPr>
      <w:r>
        <w:rPr>
          <w:rFonts w:ascii="Times New Roman" w:cs="Times New Roman" w:eastAsia="Times New Roman" w:hAnsi="Times New Roman"/>
          <w:sz w:val="18"/>
          <w:szCs w:val="18"/>
          <w:color w:val="auto"/>
        </w:rPr>
        <w:t>DESERT INN WATER COMPANY,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LLC</w:t>
            </w:r>
          </w:p>
        </w:tc>
        <w:tc>
          <w:tcPr>
            <w:tcW w:w="5000" w:type="dxa"/>
            <w:vAlign w:val="bottom"/>
          </w:tcPr>
          <w:p>
            <w:pPr>
              <w:spacing w:after="0"/>
              <w:rPr>
                <w:sz w:val="19"/>
                <w:szCs w:val="19"/>
                <w:color w:val="auto"/>
              </w:rPr>
            </w:pP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HOLDINGS,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5" w:right="239" w:bottom="0" w:gutter="0" w:footer="0" w:header="0"/>
        </w:sectPr>
      </w:pPr>
    </w:p>
    <w:bookmarkStart w:id="4" w:name="page5"/>
    <w:bookmarkEnd w:id="4"/>
    <w:p>
      <w:pPr>
        <w:ind w:left="516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00" w:lineRule="exact"/>
        <w:rPr>
          <w:sz w:val="20"/>
          <w:szCs w:val="20"/>
          <w:color w:val="auto"/>
        </w:rPr>
      </w:pPr>
    </w:p>
    <w:p>
      <w:pPr>
        <w:spacing w:after="0" w:line="241" w:lineRule="exact"/>
        <w:rPr>
          <w:sz w:val="20"/>
          <w:szCs w:val="20"/>
          <w:color w:val="auto"/>
        </w:rPr>
      </w:pPr>
    </w:p>
    <w:tbl>
      <w:tblPr>
        <w:tblLayout w:type="fixed"/>
        <w:tblInd w:w="51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HOLDINGS,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RESORTS, LIMITED, its member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Date: December 6,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200" w:lineRule="exact"/>
        <w:rPr>
          <w:sz w:val="20"/>
          <w:szCs w:val="20"/>
          <w:color w:val="auto"/>
        </w:rPr>
      </w:pPr>
    </w:p>
    <w:p>
      <w:pPr>
        <w:spacing w:after="0" w:line="241" w:lineRule="exact"/>
        <w:rPr>
          <w:sz w:val="20"/>
          <w:szCs w:val="20"/>
          <w:color w:val="auto"/>
        </w:rPr>
      </w:pPr>
    </w:p>
    <w:p>
      <w:pPr>
        <w:ind w:left="516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81280</wp:posOffset>
            </wp:positionV>
            <wp:extent cx="361442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4420"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Stzremp</w:t>
            </w:r>
          </w:p>
        </w:tc>
      </w:tr>
      <w:tr>
        <w:trPr>
          <w:trHeight w:val="216"/>
        </w:trPr>
        <w:tc>
          <w:tcPr>
            <w:tcW w:w="642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2002</w:t>
            </w:r>
          </w:p>
        </w:tc>
        <w:tc>
          <w:tcPr>
            <w:tcW w:w="5000" w:type="dxa"/>
            <w:vAlign w:val="bottom"/>
          </w:tcPr>
          <w:p>
            <w:pPr>
              <w:spacing w:after="0"/>
              <w:rPr>
                <w:sz w:val="19"/>
                <w:szCs w:val="19"/>
                <w:color w:val="auto"/>
              </w:rPr>
            </w:pPr>
          </w:p>
        </w:tc>
      </w:tr>
      <w:tr>
        <w:trPr>
          <w:trHeight w:val="648"/>
        </w:trPr>
        <w:tc>
          <w:tcPr>
            <w:tcW w:w="64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13</w:t>
            </w:r>
          </w:p>
        </w:tc>
        <w:tc>
          <w:tcPr>
            <w:tcW w:w="5000" w:type="dxa"/>
            <w:vAlign w:val="bottom"/>
          </w:tcPr>
          <w:p>
            <w:pPr>
              <w:spacing w:after="0"/>
              <w:rPr>
                <w:sz w:val="24"/>
                <w:szCs w:val="24"/>
                <w:color w:val="auto"/>
              </w:rPr>
            </w:pPr>
          </w:p>
        </w:tc>
      </w:tr>
      <w:tr>
        <w:trPr>
          <w:trHeight w:val="228"/>
        </w:trPr>
        <w:tc>
          <w:tcPr>
            <w:tcW w:w="642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5. Other Events.</w:t>
        </w:r>
      </w:hyperlink>
    </w:p>
    <w:p>
      <w:pPr>
        <w:spacing w:after="0" w:line="21"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7. Exhibits.</w:t>
        </w:r>
      </w:hyperlink>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SIGNATURES</w:t>
        </w:r>
      </w:hyperlink>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22"/>
          <w:szCs w:val="22"/>
          <w:color w:val="0000EE"/>
        </w:rPr>
      </w:pPr>
      <w:hyperlink w:anchor="page11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MASTER DISBURSEMENT AGREEMENT</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among</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LAS VEGAS CAPITAL CORP.</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and</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DESIGN &amp; DEVELOPMENT, LLC,</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jointly and severally as the Company,</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the Bank Agent,</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the Indenture Trustee,</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WELLS FARGO BANK NEVADA, NATIONAL ASSOCIATION,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the FF&amp;E Agent,</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and</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the Disbursement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2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380"/>
        </w:trPr>
        <w:tc>
          <w:tcPr>
            <w:tcW w:w="14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05"/>
        </w:trPr>
        <w:tc>
          <w:tcPr>
            <w:tcW w:w="866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r>
      <w:tr>
        <w:trPr>
          <w:trHeight w:val="105"/>
        </w:trPr>
        <w:tc>
          <w:tcPr>
            <w:tcW w:w="14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432"/>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1.—DEFINITIONS; RULES OF INTERPRETATION</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r>
      <w:tr>
        <w:trPr>
          <w:trHeight w:val="430"/>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1.2</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Rules of Interpretation</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Conflict with a Facility Agreement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2.—FUNDING</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r>
      <w:tr>
        <w:trPr>
          <w:trHeight w:val="430"/>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2.1</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Representations Regarding Project Status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2.2</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Availability of Advances.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2.3</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Accounts.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2.4</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Mechanics for Obtaining Advances.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2.5</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Allocation of Advances.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2.6</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Disbursements.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2.7</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of Interest and Fees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2.8</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FF&amp;E Facility: Initial Advance and FF&amp;E Reimbursement Amount Advance.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2.9</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Completion Date Procedures.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2.10</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Completion Guaranty Release Procedures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2.11</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Final Completion Procedures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2.12</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Approval of Work</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2.13</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3.—CONDITIONS PRECEDENT TO THE CLOSING DATE AND ADVANCES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r>
      <w:tr>
        <w:trPr>
          <w:trHeight w:val="430"/>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3.1</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Precedent to the Closing Date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r>
      <w:tr>
        <w:trPr>
          <w:trHeight w:val="204"/>
        </w:trPr>
        <w:tc>
          <w:tcPr>
            <w:tcW w:w="1440" w:type="dxa"/>
            <w:vAlign w:val="bottom"/>
            <w:shd w:val="clear" w:color="auto" w:fill="CCEEFF"/>
          </w:tcPr>
          <w:p>
            <w:pPr>
              <w:ind w:left="840"/>
              <w:spacing w:after="0" w:line="204" w:lineRule="exact"/>
              <w:rPr>
                <w:sz w:val="20"/>
                <w:szCs w:val="20"/>
                <w:color w:val="auto"/>
              </w:rPr>
            </w:pPr>
            <w:r>
              <w:rPr>
                <w:rFonts w:ascii="Times New Roman" w:cs="Times New Roman" w:eastAsia="Times New Roman" w:hAnsi="Times New Roman"/>
                <w:sz w:val="18"/>
                <w:szCs w:val="18"/>
                <w:color w:val="auto"/>
              </w:rPr>
              <w:t>3.2</w:t>
            </w:r>
          </w:p>
        </w:tc>
        <w:tc>
          <w:tcPr>
            <w:tcW w:w="7220" w:type="dxa"/>
            <w:vAlign w:val="bottom"/>
            <w:shd w:val="clear" w:color="auto" w:fill="CCEEFF"/>
          </w:tcPr>
          <w:p>
            <w:pPr>
              <w:ind w:left="280"/>
              <w:spacing w:after="0" w:line="204" w:lineRule="exact"/>
              <w:rPr>
                <w:sz w:val="20"/>
                <w:szCs w:val="20"/>
                <w:color w:val="auto"/>
              </w:rPr>
            </w:pPr>
            <w:r>
              <w:rPr>
                <w:rFonts w:ascii="Times New Roman" w:cs="Times New Roman" w:eastAsia="Times New Roman" w:hAnsi="Times New Roman"/>
                <w:sz w:val="18"/>
                <w:szCs w:val="18"/>
                <w:color w:val="auto"/>
              </w:rPr>
              <w:t>Conditions Precedent to Advances from Company's Funds Account Prior to Initial</w:t>
            </w:r>
          </w:p>
        </w:tc>
        <w:tc>
          <w:tcPr>
            <w:tcW w:w="360" w:type="dxa"/>
            <w:vAlign w:val="bottom"/>
            <w:shd w:val="clear" w:color="auto" w:fill="CCEEFF"/>
          </w:tcPr>
          <w:p>
            <w:pPr>
              <w:spacing w:after="0"/>
              <w:rPr>
                <w:sz w:val="17"/>
                <w:szCs w:val="17"/>
                <w:color w:val="auto"/>
              </w:rPr>
            </w:pPr>
          </w:p>
        </w:tc>
      </w:tr>
      <w:tr>
        <w:trPr>
          <w:trHeight w:val="230"/>
        </w:trPr>
        <w:tc>
          <w:tcPr>
            <w:tcW w:w="1440" w:type="dxa"/>
            <w:vAlign w:val="bottom"/>
            <w:shd w:val="clear" w:color="auto" w:fill="CCEEFF"/>
          </w:tcPr>
          <w:p>
            <w:pPr>
              <w:spacing w:after="0"/>
              <w:rPr>
                <w:sz w:val="20"/>
                <w:szCs w:val="20"/>
                <w:color w:val="auto"/>
              </w:rPr>
            </w:pP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Disbursement from Second Mortgage Notes Proceeds Account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3.3</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Precedent to Advances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3.4</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Waiver or Estoppel.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3.5</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Conditions.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4.—REPRESENTATIONS AND WARRANTIES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-4608830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-4608830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355" w:right="27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4.1</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Organization</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4.3</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Legality, Validity and Enforceability</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4.4</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Compliance with Law, Permits and Operative Documents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4.5</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Permits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4.6</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Security Interests.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4.9</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Defaults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i</w:t>
            </w:r>
          </w:p>
        </w:tc>
        <w:tc>
          <w:tcPr>
            <w:tcW w:w="1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spacing w:after="0"/>
              <w:rPr>
                <w:sz w:val="19"/>
                <w:szCs w:val="19"/>
                <w:color w:val="auto"/>
              </w:rPr>
            </w:pPr>
          </w:p>
        </w:tc>
        <w:tc>
          <w:tcPr>
            <w:tcW w:w="5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578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40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4.10</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4.11</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 Debt, Etc</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4.12</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4.13</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Environmental Laws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4.14</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Utilities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4.15</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Balance Requirement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4.16</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Sufficiency of Interests and Project Documents.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4.17</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4.18</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Project Budget; Summary Anticipated Cost Report.</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4.19</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Fees and Enforcement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4.20</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ERISA</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4.21</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 and Beneficial Interest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4.22</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Labor Disputes and Acts of God</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4.23</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Liens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4.24</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4.25</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Company Act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4.26</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Project Schedule</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4.27</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 Subdivision</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4.28</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Location of Accounts and Records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4.29</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Regulation U, Etc.</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4.30</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Governmental Regulation</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4.31</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Solvency</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4.32</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Plans and Specifications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5.—AFFIRMATIVE COVENANTS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Use of Proceeds; Repayment of Indebtedness.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5.2</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Existence, Conduct of Business, Properties, Etc.</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5.3</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Diligent Construction of the Project</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5.4</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with Legal Requirements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5.5</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Books, Records, Access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5.6</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Reports; Cooperation; Financial Statements.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5.7</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5.8</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Equity.</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5.9</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Indemnification; Costs and Expenses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5.10</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Material Project Documents and Permits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5.11</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Storage Requirements for Off-Site Materials and Deposits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5.12</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 Interest in Newly Acquired Property</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5.13</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Plans and Specifications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5.14</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and Performance Bonds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5.15</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Retainage Amounts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5.16</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Construction Consultant.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5.17</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Preserving the Project Security.</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5.18</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Letters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5.19</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Governmental and Environmental Reports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5.20</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5.21</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Application of Insurance and Condemnation Proceeds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ii</w:t>
            </w:r>
          </w:p>
        </w:tc>
        <w:tc>
          <w:tcPr>
            <w:tcW w:w="1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spacing w:after="0"/>
              <w:rPr>
                <w:sz w:val="19"/>
                <w:szCs w:val="19"/>
                <w:color w:val="auto"/>
              </w:rPr>
            </w:pPr>
          </w:p>
        </w:tc>
        <w:tc>
          <w:tcPr>
            <w:tcW w:w="5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578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40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5.22</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Compliance with Material Project Documents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5.23</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Utility Easement Modifications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5.24</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on Site</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5.25</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FF&amp;E Component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6.—NEGATIVE COVENANTS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6.1</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Modification and Amendment.</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6.2</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Scope Changes; Completion; Drawings.</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6.3</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to Operative Documents</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6.4</w:t>
            </w:r>
          </w:p>
        </w:tc>
        <w:tc>
          <w:tcPr>
            <w:tcW w:w="5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Project Budget and Project Schedule Amendment</w:t>
            </w:r>
          </w:p>
        </w:tc>
        <w:tc>
          <w:tcPr>
            <w:tcW w:w="1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6.5</w:t>
            </w: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Other Powers of Attorney</w:t>
            </w:r>
          </w:p>
        </w:tc>
        <w:tc>
          <w:tcPr>
            <w:tcW w:w="1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578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-8726805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-8726805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-1780540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-1780540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6.6</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Opening</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6.7</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Zoning and Contract Changes and Compliance</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Joint Assessment; Separate Lots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6.9</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Project Documents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6.10</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Unincorporated Materials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7.—EVENTS OF DEFAULT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7.1</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7.2</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Remedies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8.—CONSULTANTS AND REPORTS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8.1</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Removal and Fees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8.2</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Duties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8.3</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Acts of Disbursement Agent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9.—THE DISBURSEMENT AGENT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9.1</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and Acceptance</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9.2</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Duties and Liabilities of the Disbursement Agent Generally.</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9.3</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Particular Duties and Liabilities of the Disbursement Agent.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9.4</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Segregation of Funds and Property Interest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9.5</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Reimbursement of the Disbursement Agent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9.6</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Qualification of the Disbursement Agent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9.7</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and Removal of the Disbursement Agent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9.8</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Merger or Consolidation of the Disbursement Agent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9.9</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 Information.</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9.10</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Limitation of Liability</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10.—SAFEKEEPING OF ACCOUNTS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Application of Funds in Company Accounts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 of Default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10.3</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Liens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Perfection</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60" w:type="dxa"/>
            <w:vAlign w:val="bottom"/>
          </w:tcPr>
          <w:p>
            <w:pPr>
              <w:jc w:val="center"/>
              <w:ind w:left="2412"/>
              <w:spacing w:after="0"/>
              <w:rPr>
                <w:sz w:val="20"/>
                <w:szCs w:val="20"/>
                <w:color w:val="auto"/>
              </w:rPr>
            </w:pPr>
            <w:r>
              <w:rPr>
                <w:rFonts w:ascii="Times New Roman" w:cs="Times New Roman" w:eastAsia="Times New Roman" w:hAnsi="Times New Roman"/>
                <w:sz w:val="18"/>
                <w:szCs w:val="18"/>
                <w:color w:val="auto"/>
                <w:w w:val="92"/>
              </w:rPr>
              <w:t>iii</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80" w:type="dxa"/>
            <w:vAlign w:val="bottom"/>
            <w:gridSpan w:val="2"/>
          </w:tcPr>
          <w:p>
            <w:pPr>
              <w:spacing w:after="0"/>
              <w:rPr>
                <w:sz w:val="19"/>
                <w:szCs w:val="19"/>
                <w:color w:val="auto"/>
              </w:rPr>
            </w:pPr>
          </w:p>
        </w:tc>
        <w:tc>
          <w:tcPr>
            <w:tcW w:w="5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Borders>
              <w:top w:val="single" w:sz="8" w:color="808080"/>
            </w:tcBorders>
          </w:tcPr>
          <w:p>
            <w:pPr>
              <w:spacing w:after="0"/>
              <w:rPr>
                <w:sz w:val="9"/>
                <w:szCs w:val="9"/>
                <w:color w:val="auto"/>
              </w:rPr>
            </w:pPr>
          </w:p>
        </w:tc>
        <w:tc>
          <w:tcPr>
            <w:tcW w:w="596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240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10.5</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Mortgage Notes Proceeds Account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Proceeds Account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FF&amp;E Proceeds Account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11.—MISCELLANEOUS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11.1</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Addresses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11.2</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11.3</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Delay and Waiver</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11.4</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Security; Right to Set-Off</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11.5</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Entire Agreement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11.6</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11.7</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11.8</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Headings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11.9</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Limitation on Liability</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11.10</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11.11</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Consent to Jurisdiction</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11.12</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11.13</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Reinstatement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11.14</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Partnership; Etc.</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11.15</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11.16</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Agreements Among Funding Agents and Other Secured Parties.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11.17</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11.18</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11.19</w:t>
            </w:r>
          </w:p>
        </w:tc>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Amendments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11.20</w:t>
            </w: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Suretyship Waivers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60" w:type="dxa"/>
            <w:vAlign w:val="bottom"/>
          </w:tcPr>
          <w:p>
            <w:pPr>
              <w:jc w:val="center"/>
              <w:ind w:left="2412"/>
              <w:spacing w:after="0"/>
              <w:rPr>
                <w:sz w:val="20"/>
                <w:szCs w:val="20"/>
                <w:color w:val="auto"/>
              </w:rPr>
            </w:pPr>
            <w:r>
              <w:rPr>
                <w:rFonts w:ascii="Times New Roman" w:cs="Times New Roman" w:eastAsia="Times New Roman" w:hAnsi="Times New Roman"/>
                <w:sz w:val="18"/>
                <w:szCs w:val="18"/>
                <w:color w:val="auto"/>
                <w:w w:val="99"/>
              </w:rPr>
              <w:t>iv</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60" w:type="dxa"/>
            <w:vAlign w:val="bottom"/>
          </w:tcPr>
          <w:p>
            <w:pPr>
              <w:jc w:val="center"/>
              <w:ind w:left="2372"/>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5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Definitions</w:t>
            </w:r>
          </w:p>
        </w:tc>
        <w:tc>
          <w:tcPr>
            <w:tcW w:w="124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Closing Certificate</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B-2</w:t>
            </w:r>
          </w:p>
        </w:tc>
        <w:tc>
          <w:tcPr>
            <w:tcW w:w="5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Construction Consultant's Closing Certificate</w:t>
            </w:r>
          </w:p>
        </w:tc>
        <w:tc>
          <w:tcPr>
            <w:tcW w:w="124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-5037455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-5037455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-972820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-972820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Insurance Advisor's Closing Certificate</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B-4</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Company's Insurance Broker's Closing Certificate (Willis)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B-5</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Company's Insurance Broker's Closing Certificate (Near North)</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C-1</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Advance Request and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C-2</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Construction Consultant's Advance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C-3</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Project Architect's Advance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C-4</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Prime Contractor's Advance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C-5</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Golf Course Designer's Advance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C-6</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Aqua Theater Designer's Advance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C-7</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Golf Course Contractor's Advance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Notice of Advance Request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E</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Project Budget/Schedule Amendment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Additional Contract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G</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Amendment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Project Budget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H-2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Summary Anticipated Cost Report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Line Item Category Detailed Anticipated Cost Report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I</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Project Schedule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Schedule of Key Dates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K</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Required Consents and Approvals (Section 4.2)</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Realized Savings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M</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Schedule of Permits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N-1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Company Permitted Encumbrances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N-2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Valvino Permitted Encumbrances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N-3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Wynn Resorts Holdings Permitted Encumbrances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N-4</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Palo Permitted Encumbrances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N-5</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DIIC Permitted Encumbrances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O</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Insurance Requirements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P</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Schedule of Security Filings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Q</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Opinion List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R</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Payment and Performance Bond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S</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Consent to Assignment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T-1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Description of the Project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T-2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Description of Eligible FF&amp;E Equipment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T-3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Description of FF&amp;E Component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T-4</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Description of the Site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T-5</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[Intentionally Omitted]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T-6</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List of Plans and Specifications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U</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List of Contracts and all other Material Project Documents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V-1</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Company's Twenty-Five Percent Completion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V-2</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Construction Consultant's Twenty Five Percent Completion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V-3</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Company's Fifty Percent Completion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V-4</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Construction Consultant's Fifty Percent Completion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V-5</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Company's Completion Guaranty Release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v</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80" w:type="dxa"/>
            <w:vAlign w:val="bottom"/>
            <w:gridSpan w:val="2"/>
          </w:tcPr>
          <w:p>
            <w:pPr>
              <w:spacing w:after="0"/>
              <w:rPr>
                <w:sz w:val="19"/>
                <w:szCs w:val="19"/>
                <w:color w:val="auto"/>
              </w:rPr>
            </w:pPr>
          </w:p>
        </w:tc>
        <w:tc>
          <w:tcPr>
            <w:tcW w:w="72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Borders>
              <w:top w:val="single" w:sz="8" w:color="808080"/>
            </w:tcBorders>
          </w:tcPr>
          <w:p>
            <w:pPr>
              <w:spacing w:after="0"/>
              <w:rPr>
                <w:sz w:val="9"/>
                <w:szCs w:val="9"/>
                <w:color w:val="auto"/>
              </w:rPr>
            </w:pPr>
          </w:p>
        </w:tc>
        <w:tc>
          <w:tcPr>
            <w:tcW w:w="7200" w:type="dxa"/>
            <w:vAlign w:val="bottom"/>
            <w:tcBorders>
              <w:top w:val="single" w:sz="8" w:color="808080"/>
            </w:tcBorders>
          </w:tcPr>
          <w:p>
            <w:pPr>
              <w:spacing w:after="0"/>
              <w:rPr>
                <w:sz w:val="9"/>
                <w:szCs w:val="9"/>
                <w:color w:val="auto"/>
              </w:rPr>
            </w:pPr>
          </w:p>
        </w:tc>
        <w:tc>
          <w:tcPr>
            <w:tcW w:w="274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V-6</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Construction Consultant's Completion Guaranty Release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Company's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Construction Consultant's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Project Architect's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W-4</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Prime Contractor's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W-5</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Golf Course Designer's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W-6</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Aqua Theater Designer's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W-7</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Golf Course Contractor's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W-8</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Parking Structure Contractor's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W-9</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Company's Opening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W-10</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Prime Contractor's Opening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W-11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Construction Consultant's Opening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W-12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Project Architect's Opening Date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W-13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Company's Final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W-14</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Construction Consultant's Final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W-15</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Project Architect's Final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W-16</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Prime Contractor's Final Completion Certificate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X-1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Safe Harbor Scope Changes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X-2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Minimum Safe Harbor Scope Change Requirements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Y-1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Unconditional Release of Lien</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Y-2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Conditional Release of Lien</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Z-1</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Bank Local Company Collateral Account Agreement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Z-2</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 of Second Mortgage Notes Local Company Collateral Account Agreement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Z-3</w:t>
            </w: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FF&amp;E Local Company Collateral Account Agreement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AA</w:t>
            </w: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Ownership Structure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vi</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-3942080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-3942080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9" w:name="page10"/>
    <w:bookmarkEnd w:id="9"/>
    <w:p>
      <w:pPr>
        <w:ind w:left="1046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48"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MASTER DISBURSEMENT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October 30, 2002, is entered into by and among</w:t>
      </w:r>
      <w:r>
        <w:rPr>
          <w:rFonts w:ascii="Times New Roman" w:cs="Times New Roman" w:eastAsia="Times New Roman" w:hAnsi="Times New Roman"/>
          <w:sz w:val="18"/>
          <w:szCs w:val="18"/>
          <w:b w:val="1"/>
          <w:bCs w:val="1"/>
          <w:color w:val="auto"/>
        </w:rPr>
        <w:t xml:space="preserve"> WYNN LAS VEGAS, LLC</w:t>
      </w:r>
      <w:r>
        <w:rPr>
          <w:rFonts w:ascii="Times New Roman" w:cs="Times New Roman" w:eastAsia="Times New Roman" w:hAnsi="Times New Roman"/>
          <w:sz w:val="18"/>
          <w:szCs w:val="18"/>
          <w:color w:val="auto"/>
        </w:rPr>
        <w:t>, a Nevada limited liability company ("</w:t>
      </w:r>
      <w:r>
        <w:rPr>
          <w:rFonts w:ascii="Times New Roman" w:cs="Times New Roman" w:eastAsia="Times New Roman" w:hAnsi="Times New Roman"/>
          <w:sz w:val="18"/>
          <w:szCs w:val="18"/>
          <w:i w:val="1"/>
          <w:iCs w:val="1"/>
          <w:color w:val="auto"/>
        </w:rPr>
        <w:t>Wynn Las Vegas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WYNN LAS VEGAS CAPITAL CORP.</w:t>
      </w:r>
      <w:r>
        <w:rPr>
          <w:rFonts w:ascii="Times New Roman" w:cs="Times New Roman" w:eastAsia="Times New Roman" w:hAnsi="Times New Roman"/>
          <w:sz w:val="18"/>
          <w:szCs w:val="18"/>
          <w:color w:val="auto"/>
        </w:rPr>
        <w:t>, a Nevada corporation ("</w:t>
      </w:r>
      <w:r>
        <w:rPr>
          <w:rFonts w:ascii="Times New Roman" w:cs="Times New Roman" w:eastAsia="Times New Roman" w:hAnsi="Times New Roman"/>
          <w:sz w:val="18"/>
          <w:szCs w:val="18"/>
          <w:i w:val="1"/>
          <w:iCs w:val="1"/>
          <w:color w:val="auto"/>
        </w:rPr>
        <w:t>Capital Corp.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WYNN DESIGN &amp; DEVELOPMENT, LLC</w:t>
      </w:r>
      <w:r>
        <w:rPr>
          <w:rFonts w:ascii="Times New Roman" w:cs="Times New Roman" w:eastAsia="Times New Roman" w:hAnsi="Times New Roman"/>
          <w:sz w:val="18"/>
          <w:szCs w:val="18"/>
          <w:color w:val="auto"/>
        </w:rPr>
        <w:t>, a Nevada limited liability company ("</w:t>
      </w:r>
      <w:r>
        <w:rPr>
          <w:rFonts w:ascii="Times New Roman" w:cs="Times New Roman" w:eastAsia="Times New Roman" w:hAnsi="Times New Roman"/>
          <w:sz w:val="18"/>
          <w:szCs w:val="18"/>
          <w:i w:val="1"/>
          <w:iCs w:val="1"/>
          <w:color w:val="auto"/>
        </w:rPr>
        <w:t>Wynn Design</w:t>
      </w:r>
      <w:r>
        <w:rPr>
          <w:rFonts w:ascii="Times New Roman" w:cs="Times New Roman" w:eastAsia="Times New Roman" w:hAnsi="Times New Roman"/>
          <w:sz w:val="18"/>
          <w:szCs w:val="18"/>
          <w:color w:val="auto"/>
        </w:rPr>
        <w:t>" and, jointly and severally with Wynn Las Vegas and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DEUTSCHE BANK TRUST COMPANY AMERICAS</w:t>
      </w:r>
      <w:r>
        <w:rPr>
          <w:rFonts w:ascii="Times New Roman" w:cs="Times New Roman" w:eastAsia="Times New Roman" w:hAnsi="Times New Roman"/>
          <w:sz w:val="18"/>
          <w:szCs w:val="18"/>
          <w:color w:val="auto"/>
        </w:rPr>
        <w:t xml:space="preserve">, as the initial Bank Agent, </w:t>
      </w:r>
      <w:r>
        <w:rPr>
          <w:rFonts w:ascii="Times New Roman" w:cs="Times New Roman" w:eastAsia="Times New Roman" w:hAnsi="Times New Roman"/>
          <w:sz w:val="18"/>
          <w:szCs w:val="18"/>
          <w:b w:val="1"/>
          <w:bCs w:val="1"/>
          <w:color w:val="auto"/>
        </w:rPr>
        <w:t>WELLS FARGO BANK, 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the initial Indenture Trustee,</w:t>
      </w:r>
      <w:r>
        <w:rPr>
          <w:rFonts w:ascii="Times New Roman" w:cs="Times New Roman" w:eastAsia="Times New Roman" w:hAnsi="Times New Roman"/>
          <w:sz w:val="18"/>
          <w:szCs w:val="18"/>
          <w:b w:val="1"/>
          <w:bCs w:val="1"/>
          <w:color w:val="auto"/>
        </w:rPr>
        <w:t xml:space="preserve"> WELLS FARGO BANK NEVADA, NATIONAL ASSOCIATION, </w:t>
      </w:r>
      <w:r>
        <w:rPr>
          <w:rFonts w:ascii="Times New Roman" w:cs="Times New Roman" w:eastAsia="Times New Roman" w:hAnsi="Times New Roman"/>
          <w:sz w:val="18"/>
          <w:szCs w:val="18"/>
          <w:color w:val="auto"/>
        </w:rPr>
        <w:t>as the initial FF&amp;E Agent, and</w:t>
      </w:r>
      <w:r>
        <w:rPr>
          <w:rFonts w:ascii="Times New Roman" w:cs="Times New Roman" w:eastAsia="Times New Roman" w:hAnsi="Times New Roman"/>
          <w:sz w:val="18"/>
          <w:szCs w:val="18"/>
          <w:b w:val="1"/>
          <w:bCs w:val="1"/>
          <w:color w:val="auto"/>
        </w:rPr>
        <w:t xml:space="preserve"> DEUTSCHE BANK TRUST COMPANY AMERICAS</w:t>
      </w:r>
      <w:r>
        <w:rPr>
          <w:rFonts w:ascii="Times New Roman" w:cs="Times New Roman" w:eastAsia="Times New Roman" w:hAnsi="Times New Roman"/>
          <w:sz w:val="18"/>
          <w:szCs w:val="18"/>
          <w:color w:val="auto"/>
        </w:rPr>
        <w:t>, as the initial Disbursement Agent.</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RECITALS</w:t>
      </w:r>
    </w:p>
    <w:p>
      <w:pPr>
        <w:spacing w:after="0" w:line="227" w:lineRule="exact"/>
        <w:rPr>
          <w:sz w:val="20"/>
          <w:szCs w:val="20"/>
          <w:color w:val="auto"/>
        </w:rPr>
      </w:pPr>
    </w:p>
    <w:p>
      <w:pPr>
        <w:ind w:right="400" w:firstLine="349"/>
        <w:spacing w:after="0" w:line="277" w:lineRule="auto"/>
        <w:tabs>
          <w:tab w:leader="none" w:pos="6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Project. </w:t>
      </w:r>
      <w:r>
        <w:rPr>
          <w:rFonts w:ascii="Times New Roman" w:cs="Times New Roman" w:eastAsia="Times New Roman" w:hAnsi="Times New Roman"/>
          <w:sz w:val="18"/>
          <w:szCs w:val="18"/>
          <w:color w:val="auto"/>
        </w:rPr>
        <w:t>The Company proposes to develop, construct and operate the Le Rêve Casino Resort, a hotel and casino resort, with related parking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and golf course facilities, as part of the redevelopment of the site of the former Desert Inn in Las Vegas, Nevada.</w:t>
      </w:r>
    </w:p>
    <w:p>
      <w:pPr>
        <w:spacing w:after="0" w:line="170" w:lineRule="exact"/>
        <w:rPr>
          <w:rFonts w:ascii="Times New Roman" w:cs="Times New Roman" w:eastAsia="Times New Roman" w:hAnsi="Times New Roman"/>
          <w:sz w:val="18"/>
          <w:szCs w:val="18"/>
          <w:color w:val="auto"/>
        </w:rPr>
      </w:pPr>
    </w:p>
    <w:p>
      <w:pPr>
        <w:ind w:right="80" w:firstLine="359"/>
        <w:spacing w:after="0" w:line="289" w:lineRule="auto"/>
        <w:tabs>
          <w:tab w:leader="none" w:pos="688"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Bank Credit Agreement. </w:t>
      </w:r>
      <w:r>
        <w:rPr>
          <w:rFonts w:ascii="Times New Roman" w:cs="Times New Roman" w:eastAsia="Times New Roman" w:hAnsi="Times New Roman"/>
          <w:sz w:val="16"/>
          <w:szCs w:val="16"/>
          <w:color w:val="auto"/>
        </w:rPr>
        <w:t>Concurrently herewith, Wynn Las Vegas, the Bank Agent, Deutsche Bank Securities, Inc., as advisor, lead arranger and joint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book running manager, Banc of America Securities LLC, as advisor, lead arranger, joint book running manager and syndication agent, Bear, Stearns &amp; Co. Inc., as advisor, arranger and joint book running manager, Bear Stearns Corporate Lending Inc., as joint documentation agent, Dresdner Bank AG, New York and Grand Cayman Branches, as arranger and joint documentation agent, JP Morgan Chase Bank, as joint documentation agent and the Bank Lenders have entered into the Bank Credit Agreement pursuant to which the Bank Lenders have agreed, subject to the terms thereof and hereof, to provide certain revolving loans to Wynn Las Vegas in an aggregate principal amount not to exceed $750,000,000 and certain delay draw term loans to Wynn Las Vegas in an aggregate principal amount not to exceed $250,000,000, as more particularly described therein and herein. Of the Bank Revolving Facility amount, $747,000,000 is intended to finance Project Costs as more particularly described therein and herein. Valvino, Wynn Resorts Holdings and certain other guarantors have, pursuant to the Bank Guarantee and Collateral Agreement, guaranteed the obligations of Wynn Las Vegas under the Bank Credit Agreement.</w:t>
      </w:r>
    </w:p>
    <w:p>
      <w:pPr>
        <w:spacing w:after="0" w:line="166" w:lineRule="exact"/>
        <w:rPr>
          <w:rFonts w:ascii="Times New Roman" w:cs="Times New Roman" w:eastAsia="Times New Roman" w:hAnsi="Times New Roman"/>
          <w:sz w:val="16"/>
          <w:szCs w:val="16"/>
          <w:color w:val="auto"/>
        </w:rPr>
      </w:pPr>
    </w:p>
    <w:p>
      <w:pPr>
        <w:ind w:right="160" w:firstLine="359"/>
        <w:spacing w:after="0" w:line="264" w:lineRule="auto"/>
        <w:tabs>
          <w:tab w:leader="none" w:pos="6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 Mortgage Notes Indenture. </w:t>
      </w:r>
      <w:r>
        <w:rPr>
          <w:rFonts w:ascii="Times New Roman" w:cs="Times New Roman" w:eastAsia="Times New Roman" w:hAnsi="Times New Roman"/>
          <w:sz w:val="18"/>
          <w:szCs w:val="18"/>
          <w:color w:val="auto"/>
        </w:rPr>
        <w:t>Concurrently herewith, Wynn Las Vegas, Capital Corp., certain guarantors signatory thereto (including Valvino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Wynn Resorts Holdings) and the Indenture Trustee have entered into the Second Mortgage Notes Indenture pursuant to which Wynn Las Vegas and Capital Corp. will issue the Second Mortgage Notes due 2010 to finance Project Costs, as more particularly described therein and herein.</w:t>
      </w:r>
    </w:p>
    <w:p>
      <w:pPr>
        <w:spacing w:after="0" w:line="181" w:lineRule="exact"/>
        <w:rPr>
          <w:rFonts w:ascii="Times New Roman" w:cs="Times New Roman" w:eastAsia="Times New Roman" w:hAnsi="Times New Roman"/>
          <w:sz w:val="18"/>
          <w:szCs w:val="18"/>
          <w:color w:val="auto"/>
        </w:rPr>
      </w:pPr>
    </w:p>
    <w:p>
      <w:pPr>
        <w:ind w:right="160" w:firstLine="359"/>
        <w:spacing w:after="0" w:line="312" w:lineRule="auto"/>
        <w:tabs>
          <w:tab w:leader="none" w:pos="69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FF&amp;E Facility Agreement. </w:t>
      </w:r>
      <w:r>
        <w:rPr>
          <w:rFonts w:ascii="Times New Roman" w:cs="Times New Roman" w:eastAsia="Times New Roman" w:hAnsi="Times New Roman"/>
          <w:sz w:val="16"/>
          <w:szCs w:val="16"/>
          <w:color w:val="auto"/>
        </w:rPr>
        <w:t>Concurrently herewith, the Company, the FF&amp;E Agent, and the FF&amp;E Lenders have entered into the FF&amp;E Facility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pursuant to which the FF&amp;E Lenders have agreed, subject to the terms thereof and hereof, to provide certain loans in an aggregate principal amount not to exceed $188,500,000 to finance acquisition and installation costs for the FF&amp;E Component, as more particularly described therein and herein.</w:t>
      </w:r>
    </w:p>
    <w:p>
      <w:pPr>
        <w:spacing w:after="0" w:line="146" w:lineRule="exact"/>
        <w:rPr>
          <w:rFonts w:ascii="Times New Roman" w:cs="Times New Roman" w:eastAsia="Times New Roman" w:hAnsi="Times New Roman"/>
          <w:sz w:val="16"/>
          <w:szCs w:val="16"/>
          <w:color w:val="auto"/>
        </w:rPr>
      </w:pPr>
    </w:p>
    <w:p>
      <w:pPr>
        <w:ind w:right="20" w:firstLine="359"/>
        <w:spacing w:after="0" w:line="255"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Intercreditor Agreements. </w:t>
      </w:r>
      <w:r>
        <w:rPr>
          <w:rFonts w:ascii="Times New Roman" w:cs="Times New Roman" w:eastAsia="Times New Roman" w:hAnsi="Times New Roman"/>
          <w:sz w:val="18"/>
          <w:szCs w:val="18"/>
          <w:color w:val="auto"/>
        </w:rPr>
        <w:t>Concurrently herewith, (i) the Bank Agent (acting on behalf of itself and the Bank Lenders) and the Indenture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on behalf of itself and the Second Mortgage Note Holders) have entered into the Project Lenders Intercreditor Agreement and (ii) the Bank Agent (acting on behalf of itself and the Bank Lenders), the Indenture Trustee (acting on behalf of itself and the Mortgage Note Holders) and the FF&amp;E Agent (acting on behalf of itself and the FF&amp;E Lenders) have entered into the FF&amp;E Intercreditor Agreement, pursuant to each of which the parties thereto have set forth certain intercreditor provisions, including the priority of the liens, the method of decision making among the Lenders party thereto, the arrangements applicable to actions in respect of approval</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waivers, the limitations on rights of enforcement upon default and the application of proceeds upon enforcement.</w:t>
      </w:r>
    </w:p>
    <w:p>
      <w:pPr>
        <w:spacing w:after="0" w:line="223" w:lineRule="exact"/>
        <w:rPr>
          <w:sz w:val="20"/>
          <w:szCs w:val="20"/>
          <w:color w:val="auto"/>
        </w:rPr>
      </w:pPr>
    </w:p>
    <w:p>
      <w:pPr>
        <w:ind w:right="200" w:firstLine="359"/>
        <w:spacing w:after="0" w:line="312" w:lineRule="auto"/>
        <w:tabs>
          <w:tab w:leader="none" w:pos="65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Completion Guaranty. </w:t>
      </w:r>
      <w:r>
        <w:rPr>
          <w:rFonts w:ascii="Times New Roman" w:cs="Times New Roman" w:eastAsia="Times New Roman" w:hAnsi="Times New Roman"/>
          <w:sz w:val="16"/>
          <w:szCs w:val="16"/>
          <w:color w:val="auto"/>
        </w:rPr>
        <w:t>Concurrently herewith, the Completion Guarantor has executed in favor of the Bank Agent (acting on behalf of the Bank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Lenders) and the Indenture Trustee (acting on behalf of the Second Mortgage Note Holders) the Completion Guaranty pursuant to which the Completion Guarantor has agreed, subject to the terms and limitations thereof, to guaranty completion of the Project and payment by the Company of certain Project Costs.</w:t>
      </w:r>
    </w:p>
    <w:p>
      <w:pPr>
        <w:spacing w:after="0" w:line="146" w:lineRule="exact"/>
        <w:rPr>
          <w:rFonts w:ascii="Times New Roman" w:cs="Times New Roman" w:eastAsia="Times New Roman" w:hAnsi="Times New Roman"/>
          <w:sz w:val="16"/>
          <w:szCs w:val="16"/>
          <w:color w:val="auto"/>
        </w:rPr>
      </w:pPr>
    </w:p>
    <w:p>
      <w:pPr>
        <w:ind w:right="40" w:firstLine="359"/>
        <w:spacing w:after="0" w:line="259" w:lineRule="auto"/>
        <w:tabs>
          <w:tab w:leader="none" w:pos="6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parties are entering into this Agreement in order to set forth, among other things, (a) the mechanics for and allocation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for Advances under the various Facilities and from the Company's Funds Account, (b) the conditions precedent to the Closing Date, to the initial Advance and to subsequent Advances, (c) certain common representations, warranties and covenants of the Company in favor of the Funding Agents and the Lenders and (d) the common events of default and remedies.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Bank Agent, the Indenture Trustee, the Disbursement Agent, the FF&amp;E Agent and the other Secured Parties entering into the respective Facility Agreements and Financing Agreements, and for other good and valuable consideration, the receipt and adequacy of which are hereby acknowledged, the parties agree as follows: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ARTICLE 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—DEFINITIONS; RULES OF INTERPRETATION</w:t>
      </w:r>
    </w:p>
    <w:p>
      <w:pPr>
        <w:spacing w:after="0" w:line="225" w:lineRule="exact"/>
        <w:rPr>
          <w:sz w:val="20"/>
          <w:szCs w:val="20"/>
          <w:color w:val="auto"/>
        </w:rPr>
      </w:pPr>
    </w:p>
    <w:p>
      <w:pPr>
        <w:ind w:right="80" w:firstLine="351"/>
        <w:spacing w:after="0" w:line="26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color w:val="auto"/>
        </w:rPr>
        <w:t xml:space="preserve"> Except as otherwise expressly provided herein, capitalized terms used in this Agreement and its exhibits shall have the meanings given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hereto. To the extent such terms are defined by reference to the Financing Agreements, such terms shall continue to have their original definitions notwithstanding any termination, expiration or amendment of such agreements unless each of the parties hereto is a signatory to any such amendment, in which case all references herein shall be to such terms or provisions as so amended.</w:t>
      </w:r>
    </w:p>
    <w:p>
      <w:pPr>
        <w:spacing w:after="0" w:line="183" w:lineRule="exact"/>
        <w:rPr>
          <w:sz w:val="20"/>
          <w:szCs w:val="20"/>
          <w:color w:val="auto"/>
        </w:rPr>
      </w:pPr>
    </w:p>
    <w:p>
      <w:pPr>
        <w:ind w:right="300" w:firstLine="351"/>
        <w:spacing w:after="0" w:line="28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 xml:space="preserve"> Except as otherwise expressly provided herein, the rules of interpretation set forth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hereto shall apply to this Agreement.</w:t>
      </w:r>
    </w:p>
    <w:p>
      <w:pPr>
        <w:spacing w:after="0" w:line="165" w:lineRule="exact"/>
        <w:rPr>
          <w:sz w:val="20"/>
          <w:szCs w:val="20"/>
          <w:color w:val="auto"/>
        </w:rPr>
      </w:pPr>
    </w:p>
    <w:p>
      <w:pPr>
        <w:ind w:right="240" w:firstLine="351"/>
        <w:spacing w:after="0" w:line="345"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b w:val="1"/>
          <w:bCs w:val="1"/>
          <w:i w:val="1"/>
          <w:iCs w:val="1"/>
          <w:color w:val="auto"/>
        </w:rPr>
        <w:t>Conflict with a Facility Agreement.</w:t>
      </w:r>
      <w:r>
        <w:rPr>
          <w:rFonts w:ascii="Times New Roman" w:cs="Times New Roman" w:eastAsia="Times New Roman" w:hAnsi="Times New Roman"/>
          <w:sz w:val="16"/>
          <w:szCs w:val="16"/>
          <w:color w:val="auto"/>
        </w:rPr>
        <w:t xml:space="preserve"> This Agreement and each of the Facility Agreements is being drafted concurrently and are each intended to cover the respective matters specifically set forth therein. In the case of any express conflict between the terms of this Agreement and the terms of any Facility</w:t>
      </w:r>
    </w:p>
    <w:p>
      <w:pPr>
        <w:sectPr>
          <w:pgSz w:w="11900" w:h="16838" w:orient="portrait"/>
          <w:cols w:equalWidth="0" w:num="1">
            <w:col w:w="11380"/>
          </w:cols>
          <w:pgMar w:left="240" w:top="339" w:right="27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Agreement, the terms of this Agreement shall control.</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225" w:lineRule="exact"/>
        <w:rPr>
          <w:sz w:val="20"/>
          <w:szCs w:val="20"/>
          <w:color w:val="auto"/>
        </w:rPr>
      </w:pPr>
    </w:p>
    <w:p>
      <w:pPr>
        <w:ind w:right="80" w:firstLine="351"/>
        <w:spacing w:after="0" w:line="297"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b w:val="1"/>
          <w:bCs w:val="1"/>
          <w:i w:val="1"/>
          <w:iCs w:val="1"/>
          <w:color w:val="auto"/>
        </w:rPr>
        <w:t>Representations Regarding Project Status.</w:t>
      </w:r>
      <w:r>
        <w:rPr>
          <w:rFonts w:ascii="Times New Roman" w:cs="Times New Roman" w:eastAsia="Times New Roman" w:hAnsi="Times New Roman"/>
          <w:sz w:val="16"/>
          <w:szCs w:val="16"/>
          <w:color w:val="auto"/>
        </w:rPr>
        <w:t xml:space="preserve"> The parties hereto acknowledge that prior to the date hereof, the Company has entered into certain Contracts in respect of the Project and has incurred and paid for certain Project Costs. In order to account for such costs for purposes of the funding procedures and mechanics set forth herein, the Company has certified and made certain representations in the Company's Closing Certificate as to various facts pertaining to the status of the Project, including, without limitation, the work performed, the Contracts entered into and the Project Costs incurred to date. The Company has further represented that the Project Budget attached hereto as </w:t>
      </w:r>
      <w:r>
        <w:rPr>
          <w:rFonts w:ascii="Times New Roman" w:cs="Times New Roman" w:eastAsia="Times New Roman" w:hAnsi="Times New Roman"/>
          <w:sz w:val="16"/>
          <w:szCs w:val="16"/>
          <w:i w:val="1"/>
          <w:iCs w:val="1"/>
          <w:color w:val="auto"/>
        </w:rPr>
        <w:t>Exhibit H-1</w:t>
      </w:r>
      <w:r>
        <w:rPr>
          <w:rFonts w:ascii="Times New Roman" w:cs="Times New Roman" w:eastAsia="Times New Roman" w:hAnsi="Times New Roman"/>
          <w:sz w:val="16"/>
          <w:szCs w:val="16"/>
          <w:color w:val="auto"/>
        </w:rPr>
        <w:t xml:space="preserve">, the Summary Anticipated Cost Report attached hereto as </w:t>
      </w:r>
      <w:r>
        <w:rPr>
          <w:rFonts w:ascii="Times New Roman" w:cs="Times New Roman" w:eastAsia="Times New Roman" w:hAnsi="Times New Roman"/>
          <w:sz w:val="16"/>
          <w:szCs w:val="16"/>
          <w:i w:val="1"/>
          <w:iCs w:val="1"/>
          <w:color w:val="auto"/>
        </w:rPr>
        <w:t>Exhibit H-2</w:t>
      </w:r>
      <w:r>
        <w:rPr>
          <w:rFonts w:ascii="Times New Roman" w:cs="Times New Roman" w:eastAsia="Times New Roman" w:hAnsi="Times New Roman"/>
          <w:sz w:val="16"/>
          <w:szCs w:val="16"/>
          <w:color w:val="auto"/>
        </w:rPr>
        <w:t>, the Monthly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Requisition Report attached as </w:t>
      </w:r>
      <w:r>
        <w:rPr>
          <w:rFonts w:ascii="Times New Roman" w:cs="Times New Roman" w:eastAsia="Times New Roman" w:hAnsi="Times New Roman"/>
          <w:sz w:val="18"/>
          <w:szCs w:val="18"/>
          <w:i w:val="1"/>
          <w:iCs w:val="1"/>
          <w:color w:val="auto"/>
        </w:rPr>
        <w:t>Appendix III</w:t>
      </w:r>
      <w:r>
        <w:rPr>
          <w:rFonts w:ascii="Times New Roman" w:cs="Times New Roman" w:eastAsia="Times New Roman" w:hAnsi="Times New Roman"/>
          <w:sz w:val="18"/>
          <w:szCs w:val="18"/>
          <w:color w:val="auto"/>
        </w:rPr>
        <w:t xml:space="preserve"> to the Company's initial Advance Request submitted on the Closing Date and the Project Schedule attached hereto as </w:t>
      </w:r>
      <w:r>
        <w:rPr>
          <w:rFonts w:ascii="Times New Roman" w:cs="Times New Roman" w:eastAsia="Times New Roman" w:hAnsi="Times New Roman"/>
          <w:sz w:val="18"/>
          <w:szCs w:val="18"/>
          <w:i w:val="1"/>
          <w:iCs w:val="1"/>
          <w:color w:val="auto"/>
        </w:rPr>
        <w:t xml:space="preserve">Exhibit I </w:t>
      </w:r>
      <w:r>
        <w:rPr>
          <w:rFonts w:ascii="Times New Roman" w:cs="Times New Roman" w:eastAsia="Times New Roman" w:hAnsi="Times New Roman"/>
          <w:sz w:val="18"/>
          <w:szCs w:val="18"/>
          <w:color w:val="auto"/>
        </w:rPr>
        <w:t>are true and accurate in all material respects as of the Closing Date and incorporate and reflect the work performed and Project Costs incurred to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certifications and representations of the Company have been confirmed by the Construction Consultant to the extent set forth in the Construction Consultant's Closing Certificate.</w:t>
      </w:r>
    </w:p>
    <w:p>
      <w:pPr>
        <w:spacing w:after="0" w:line="185"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b w:val="1"/>
          <w:bCs w:val="1"/>
          <w:i w:val="1"/>
          <w:iCs w:val="1"/>
          <w:color w:val="auto"/>
        </w:rPr>
        <w:t>Availability of Advances.</w:t>
      </w:r>
    </w:p>
    <w:p>
      <w:pPr>
        <w:spacing w:after="0" w:line="227" w:lineRule="exact"/>
        <w:rPr>
          <w:sz w:val="20"/>
          <w:szCs w:val="20"/>
          <w:color w:val="auto"/>
        </w:rPr>
      </w:pPr>
    </w:p>
    <w:p>
      <w:pPr>
        <w:ind w:left="540" w:right="3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Each of the Bank Lenders, the Indenture Trustee and the FF&amp;E Lenders shall make or cause to be made Advances under its Facility to the Company in accordance with and pursuant to the terms of this Agreement and the respective Facility Agreement.</w:t>
      </w:r>
    </w:p>
    <w:p>
      <w:pPr>
        <w:spacing w:after="0" w:line="170" w:lineRule="exact"/>
        <w:rPr>
          <w:sz w:val="20"/>
          <w:szCs w:val="20"/>
          <w:color w:val="auto"/>
        </w:rPr>
      </w:pPr>
    </w:p>
    <w:p>
      <w:pPr>
        <w:ind w:left="540" w:right="1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i w:val="1"/>
          <w:iCs w:val="1"/>
          <w:color w:val="auto"/>
        </w:rPr>
        <w:t>Availability.</w:t>
      </w:r>
      <w:r>
        <w:rPr>
          <w:rFonts w:ascii="Times New Roman" w:cs="Times New Roman" w:eastAsia="Times New Roman" w:hAnsi="Times New Roman"/>
          <w:sz w:val="18"/>
          <w:szCs w:val="18"/>
          <w:color w:val="auto"/>
        </w:rPr>
        <w:t xml:space="preserve"> Subject to the satisfaction of all conditions precedent listed in </w:t>
      </w:r>
      <w:r>
        <w:rPr>
          <w:rFonts w:ascii="Times New Roman" w:cs="Times New Roman" w:eastAsia="Times New Roman" w:hAnsi="Times New Roman"/>
          <w:sz w:val="18"/>
          <w:szCs w:val="18"/>
          <w:i w:val="1"/>
          <w:iCs w:val="1"/>
          <w:color w:val="auto"/>
        </w:rPr>
        <w:t>Article 3</w:t>
      </w:r>
      <w:r>
        <w:rPr>
          <w:rFonts w:ascii="Times New Roman" w:cs="Times New Roman" w:eastAsia="Times New Roman" w:hAnsi="Times New Roman"/>
          <w:sz w:val="18"/>
          <w:szCs w:val="18"/>
          <w:color w:val="auto"/>
        </w:rPr>
        <w:t xml:space="preserve"> and the other terms and provisions of this Agreement, Advances under the Facilities and from the Company's Funds Account shall be made during the Availability Period. Advances shall be made no more frequently than once in any calendar month;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advances and transfers of funds contemplated in </w:t>
      </w:r>
      <w:r>
        <w:rPr>
          <w:rFonts w:ascii="Times New Roman" w:cs="Times New Roman" w:eastAsia="Times New Roman" w:hAnsi="Times New Roman"/>
          <w:sz w:val="18"/>
          <w:szCs w:val="18"/>
          <w:i w:val="1"/>
          <w:iCs w:val="1"/>
          <w:color w:val="auto"/>
        </w:rPr>
        <w:t>Sections 2.6.3, 2.9,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2.11</w:t>
      </w:r>
      <w:r>
        <w:rPr>
          <w:rFonts w:ascii="Times New Roman" w:cs="Times New Roman" w:eastAsia="Times New Roman" w:hAnsi="Times New Roman"/>
          <w:sz w:val="18"/>
          <w:szCs w:val="18"/>
          <w:color w:val="auto"/>
        </w:rPr>
        <w:t xml:space="preserve"> shall be disregarded for purposes of this sentence.</w:t>
      </w:r>
    </w:p>
    <w:p>
      <w:pPr>
        <w:spacing w:after="0" w:line="185"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b w:val="1"/>
          <w:bCs w:val="1"/>
          <w:i w:val="1"/>
          <w:iCs w:val="1"/>
          <w:color w:val="auto"/>
        </w:rPr>
        <w:t>Company Accounts.</w:t>
      </w:r>
    </w:p>
    <w:p>
      <w:pPr>
        <w:spacing w:after="0" w:line="227" w:lineRule="exact"/>
        <w:rPr>
          <w:sz w:val="20"/>
          <w:szCs w:val="20"/>
          <w:color w:val="auto"/>
        </w:rPr>
      </w:pPr>
    </w:p>
    <w:p>
      <w:pPr>
        <w:ind w:left="540" w:firstLine="351"/>
        <w:spacing w:after="0" w:line="251"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i w:val="1"/>
          <w:iCs w:val="1"/>
          <w:color w:val="auto"/>
        </w:rPr>
        <w:t>Company's Funds Account.</w:t>
      </w:r>
      <w:r>
        <w:rPr>
          <w:rFonts w:ascii="Times New Roman" w:cs="Times New Roman" w:eastAsia="Times New Roman" w:hAnsi="Times New Roman"/>
          <w:sz w:val="18"/>
          <w:szCs w:val="18"/>
          <w:color w:val="auto"/>
        </w:rPr>
        <w:t xml:space="preserve"> On or prior to the Closing Date, there shall be established at Deutsche Bank Trust Company Americas, as the Securities Intermediary, the Company's Funds Account pursuant to the Company Collateral Account Agreements. There shall be deposited into the Company's Funds Account (a) all cash amounts described in </w:t>
      </w:r>
      <w:r>
        <w:rPr>
          <w:rFonts w:ascii="Times New Roman" w:cs="Times New Roman" w:eastAsia="Times New Roman" w:hAnsi="Times New Roman"/>
          <w:sz w:val="18"/>
          <w:szCs w:val="18"/>
          <w:i w:val="1"/>
          <w:iCs w:val="1"/>
          <w:color w:val="auto"/>
        </w:rPr>
        <w:t>Section 3.1.25(e)</w:t>
      </w:r>
      <w:r>
        <w:rPr>
          <w:rFonts w:ascii="Times New Roman" w:cs="Times New Roman" w:eastAsia="Times New Roman" w:hAnsi="Times New Roman"/>
          <w:sz w:val="18"/>
          <w:szCs w:val="18"/>
          <w:color w:val="auto"/>
        </w:rPr>
        <w:t xml:space="preserve">, (b) the amounts required pursuant to </w:t>
      </w:r>
      <w:r>
        <w:rPr>
          <w:rFonts w:ascii="Times New Roman" w:cs="Times New Roman" w:eastAsia="Times New Roman" w:hAnsi="Times New Roman"/>
          <w:sz w:val="18"/>
          <w:szCs w:val="18"/>
          <w:i w:val="1"/>
          <w:iCs w:val="1"/>
          <w:color w:val="auto"/>
        </w:rPr>
        <w:t>Sections 5.8.1, 5.8.2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5.8.3</w:t>
      </w:r>
      <w:r>
        <w:rPr>
          <w:rFonts w:ascii="Times New Roman" w:cs="Times New Roman" w:eastAsia="Times New Roman" w:hAnsi="Times New Roman"/>
          <w:sz w:val="18"/>
          <w:szCs w:val="18"/>
          <w:color w:val="auto"/>
        </w:rPr>
        <w:t xml:space="preserve"> including such funds as may be transferred from the Completion Guaranty Deposit Account and the Project Liquidity Reserve Account pursuant to the terms of the Completion Guaranty and this Agreement, (c) all amounts received by the Company prior to the Final Completion Date in respect of liquidated or other damages under the Project Documents and the Company's insurance policies, amounts paid to the Company under the Construction Guaranty and any Payment and Performance Bond, (d) amounts required to be withdrawn from the Operating Account pursuant to </w:t>
      </w:r>
      <w:r>
        <w:rPr>
          <w:rFonts w:ascii="Times New Roman" w:cs="Times New Roman" w:eastAsia="Times New Roman" w:hAnsi="Times New Roman"/>
          <w:sz w:val="18"/>
          <w:szCs w:val="18"/>
          <w:i w:val="1"/>
          <w:iCs w:val="1"/>
          <w:color w:val="auto"/>
        </w:rPr>
        <w:t>Section 2.3.8,</w:t>
      </w:r>
      <w:r>
        <w:rPr>
          <w:rFonts w:ascii="Times New Roman" w:cs="Times New Roman" w:eastAsia="Times New Roman" w:hAnsi="Times New Roman"/>
          <w:sz w:val="18"/>
          <w:szCs w:val="18"/>
          <w:color w:val="auto"/>
        </w:rPr>
        <w:t xml:space="preserve"> (e) the FF&amp;E Reimbursement Advance, (f) all amounts required pursuant to </w:t>
      </w:r>
      <w:r>
        <w:rPr>
          <w:rFonts w:ascii="Times New Roman" w:cs="Times New Roman" w:eastAsia="Times New Roman" w:hAnsi="Times New Roman"/>
          <w:sz w:val="18"/>
          <w:szCs w:val="18"/>
          <w:i w:val="1"/>
          <w:iCs w:val="1"/>
          <w:color w:val="auto"/>
        </w:rPr>
        <w:t>Sections 2.5.1(b)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5.1.1</w:t>
      </w:r>
      <w:r>
        <w:rPr>
          <w:rFonts w:ascii="Times New Roman" w:cs="Times New Roman" w:eastAsia="Times New Roman" w:hAnsi="Times New Roman"/>
          <w:sz w:val="18"/>
          <w:szCs w:val="18"/>
          <w:color w:val="auto"/>
        </w:rPr>
        <w:t xml:space="preserve">, (g) investment income from Permitted Investments in the Interest Payment Account, the Company's Payment Account, the Completion Guaranty Deposit Account and the Project Liquidity Reserve Account, as provided in this Agreement, and (h) all other funds or amounts (other than On-Site Cash) received by the Company and not otherwise provided for in this Agreement, in each case, prior to the Final Completion Date. There shall also be deposited in the Company's Funds Account all Loss Proceeds received by the Company, the Disbursement Agent or any other Person as required pursuant to </w:t>
      </w:r>
      <w:r>
        <w:rPr>
          <w:rFonts w:ascii="Times New Roman" w:cs="Times New Roman" w:eastAsia="Times New Roman" w:hAnsi="Times New Roman"/>
          <w:sz w:val="18"/>
          <w:szCs w:val="18"/>
          <w:i w:val="1"/>
          <w:iCs w:val="1"/>
          <w:color w:val="auto"/>
        </w:rPr>
        <w:t>Section 5.21</w:t>
      </w:r>
      <w:r>
        <w:rPr>
          <w:rFonts w:ascii="Times New Roman" w:cs="Times New Roman" w:eastAsia="Times New Roman" w:hAnsi="Times New Roman"/>
          <w:sz w:val="18"/>
          <w:szCs w:val="18"/>
          <w:color w:val="auto"/>
        </w:rPr>
        <w:t xml:space="preserve"> and all amounts received by the Disbursement Agent or any of the Bank Agent, the Indenture Trustee or the FF&amp;E Agent and required to be deposited in the Company's Funds Account pursuant to the Project Lenders Intercreditor Agreement or the FF&amp;E Intercreditor Agreement. Subject to the provisions of </w:t>
      </w:r>
      <w:r>
        <w:rPr>
          <w:rFonts w:ascii="Times New Roman" w:cs="Times New Roman" w:eastAsia="Times New Roman" w:hAnsi="Times New Roman"/>
          <w:sz w:val="18"/>
          <w:szCs w:val="18"/>
          <w:i w:val="1"/>
          <w:iCs w:val="1"/>
          <w:color w:val="auto"/>
        </w:rPr>
        <w:t>Section 10.2</w:t>
      </w:r>
      <w:r>
        <w:rPr>
          <w:rFonts w:ascii="Times New Roman" w:cs="Times New Roman" w:eastAsia="Times New Roman" w:hAnsi="Times New Roman"/>
          <w:sz w:val="18"/>
          <w:szCs w:val="18"/>
          <w:color w:val="auto"/>
        </w:rPr>
        <w:t xml:space="preserve"> and the Company Collateral Account Agreements, amounts on deposit in the Company's Funds Account shall (i) from time to time, be transferred by the Disbursement Agent to the Disbursement Account for application to pay Project Costs in accordance with </w:t>
      </w:r>
      <w:r>
        <w:rPr>
          <w:rFonts w:ascii="Times New Roman" w:cs="Times New Roman" w:eastAsia="Times New Roman" w:hAnsi="Times New Roman"/>
          <w:sz w:val="18"/>
          <w:szCs w:val="18"/>
          <w:i w:val="1"/>
          <w:iCs w:val="1"/>
          <w:color w:val="auto"/>
        </w:rPr>
        <w:t>Section 2.4.4(a)</w:t>
      </w:r>
      <w:r>
        <w:rPr>
          <w:rFonts w:ascii="Times New Roman" w:cs="Times New Roman" w:eastAsia="Times New Roman" w:hAnsi="Times New Roman"/>
          <w:sz w:val="18"/>
          <w:szCs w:val="18"/>
          <w:color w:val="auto"/>
        </w:rPr>
        <w:t xml:space="preserve">, (ii) from time to time be applied by the Disbursement Agent to prepayment of the Obligations in accordance with </w:t>
      </w:r>
      <w:r>
        <w:rPr>
          <w:rFonts w:ascii="Times New Roman" w:cs="Times New Roman" w:eastAsia="Times New Roman" w:hAnsi="Times New Roman"/>
          <w:sz w:val="18"/>
          <w:szCs w:val="18"/>
          <w:i w:val="1"/>
          <w:iCs w:val="1"/>
          <w:color w:val="auto"/>
        </w:rPr>
        <w:t>Section 5.21</w:t>
      </w:r>
      <w:r>
        <w:rPr>
          <w:rFonts w:ascii="Times New Roman" w:cs="Times New Roman" w:eastAsia="Times New Roman" w:hAnsi="Times New Roman"/>
          <w:sz w:val="18"/>
          <w:szCs w:val="18"/>
          <w:color w:val="auto"/>
        </w:rPr>
        <w:t xml:space="preserve">, (iii) from time to time be transferred by the Disbursement Agent to the Operating Account to pay Operating Costs set forth in the Project Budget anticipated to become due and payable through the end of the ensuing calendar month and (iv) on the Final Completion Date, be applied by the Disbursement Agent as provided in </w:t>
      </w:r>
      <w:r>
        <w:rPr>
          <w:rFonts w:ascii="Times New Roman" w:cs="Times New Roman" w:eastAsia="Times New Roman" w:hAnsi="Times New Roman"/>
          <w:sz w:val="18"/>
          <w:szCs w:val="18"/>
          <w:i w:val="1"/>
          <w:iCs w:val="1"/>
          <w:color w:val="auto"/>
        </w:rPr>
        <w:t>Section 2.11</w:t>
      </w:r>
      <w:r>
        <w:rPr>
          <w:rFonts w:ascii="Times New Roman" w:cs="Times New Roman" w:eastAsia="Times New Roman" w:hAnsi="Times New Roman"/>
          <w:sz w:val="18"/>
          <w:szCs w:val="18"/>
          <w:color w:val="auto"/>
        </w:rPr>
        <w:t>. The Disbursement Agent shall cause investment income from Permitted Investments on amounts on deposit in the Company's Funds Account to be deposited at all times therein until applied to the payment of Project Costs or as otherwise</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00"/>
        <w:spacing w:after="0" w:line="277" w:lineRule="auto"/>
        <w:rPr>
          <w:sz w:val="20"/>
          <w:szCs w:val="20"/>
          <w:color w:val="auto"/>
        </w:rPr>
      </w:pPr>
      <w:r>
        <w:rPr>
          <w:rFonts w:ascii="Times New Roman" w:cs="Times New Roman" w:eastAsia="Times New Roman" w:hAnsi="Times New Roman"/>
          <w:sz w:val="18"/>
          <w:szCs w:val="18"/>
          <w:color w:val="auto"/>
        </w:rPr>
        <w:t xml:space="preserve">described above. From and after the Completion Date, no amounts shall be transferred from the "Funding Accounts" established under </w:t>
      </w:r>
      <w:r>
        <w:rPr>
          <w:rFonts w:ascii="Times New Roman" w:cs="Times New Roman" w:eastAsia="Times New Roman" w:hAnsi="Times New Roman"/>
          <w:sz w:val="18"/>
          <w:szCs w:val="18"/>
          <w:i w:val="1"/>
          <w:iCs w:val="1"/>
          <w:color w:val="auto"/>
        </w:rPr>
        <w:t>Section 6.11(b)</w:t>
      </w:r>
      <w:r>
        <w:rPr>
          <w:rFonts w:ascii="Times New Roman" w:cs="Times New Roman" w:eastAsia="Times New Roman" w:hAnsi="Times New Roman"/>
          <w:sz w:val="18"/>
          <w:szCs w:val="18"/>
          <w:color w:val="auto"/>
        </w:rPr>
        <w:t xml:space="preserve"> of the Bank Credit Agreement to the Company's Funds Account.</w:t>
      </w:r>
    </w:p>
    <w:p>
      <w:pPr>
        <w:spacing w:after="0" w:line="170" w:lineRule="exact"/>
        <w:rPr>
          <w:sz w:val="20"/>
          <w:szCs w:val="20"/>
          <w:color w:val="auto"/>
        </w:rPr>
      </w:pPr>
    </w:p>
    <w:p>
      <w:pPr>
        <w:jc w:val="both"/>
        <w:ind w:left="540" w:right="300" w:firstLine="351"/>
        <w:spacing w:after="0" w:line="288" w:lineRule="auto"/>
        <w:rPr>
          <w:sz w:val="20"/>
          <w:szCs w:val="20"/>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i w:val="1"/>
          <w:iCs w:val="1"/>
          <w:color w:val="auto"/>
        </w:rPr>
        <w:t>Second Mortgage Notes Proceeds Account.</w:t>
      </w:r>
      <w:r>
        <w:rPr>
          <w:rFonts w:ascii="Times New Roman" w:cs="Times New Roman" w:eastAsia="Times New Roman" w:hAnsi="Times New Roman"/>
          <w:sz w:val="16"/>
          <w:szCs w:val="16"/>
          <w:color w:val="auto"/>
        </w:rPr>
        <w:t xml:space="preserve"> On or prior to the Closing Date, there shall be established at Deutsche Bank Trust Company Americas, as the Securities Intermediary, the Second Mortgage Notes Proceeds Account pursuant to the Second Mortgage Notes Company Collateral Account Agreement. There shall be deposited into the Second Mortgage Notes Proceeds Account (a) the Second Mortgage Notes Proceeds and</w:t>
      </w:r>
    </w:p>
    <w:p>
      <w:pPr>
        <w:ind w:left="540" w:firstLine="8"/>
        <w:spacing w:after="0" w:line="288" w:lineRule="auto"/>
        <w:tabs>
          <w:tab w:leader="none" w:pos="78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 income from Permitted Investments on amounts on deposit in the Disbursement Account to the extent arising from funds withdrawn from the Second Mortgage Notes Proceeds Account. Subject to the provisions of </w:t>
      </w:r>
      <w:r>
        <w:rPr>
          <w:rFonts w:ascii="Times New Roman" w:cs="Times New Roman" w:eastAsia="Times New Roman" w:hAnsi="Times New Roman"/>
          <w:sz w:val="16"/>
          <w:szCs w:val="16"/>
          <w:i w:val="1"/>
          <w:iCs w:val="1"/>
          <w:color w:val="auto"/>
        </w:rPr>
        <w:t>Section 10.2</w:t>
      </w:r>
      <w:r>
        <w:rPr>
          <w:rFonts w:ascii="Times New Roman" w:cs="Times New Roman" w:eastAsia="Times New Roman" w:hAnsi="Times New Roman"/>
          <w:sz w:val="16"/>
          <w:szCs w:val="16"/>
          <w:color w:val="auto"/>
        </w:rPr>
        <w:t xml:space="preserve"> and the Second Mortgage Notes Company Collateral Account Agreement, amounts on deposit in the Second Mortgage Notes Proceeds Account shall, from time to time, be applied by the Disbursement Agent to pay Debt Service on the Second Mortgage Notes as provided in </w:t>
      </w:r>
      <w:r>
        <w:rPr>
          <w:rFonts w:ascii="Times New Roman" w:cs="Times New Roman" w:eastAsia="Times New Roman" w:hAnsi="Times New Roman"/>
          <w:sz w:val="16"/>
          <w:szCs w:val="16"/>
          <w:i w:val="1"/>
          <w:iCs w:val="1"/>
          <w:color w:val="auto"/>
        </w:rPr>
        <w:t>Section 2.5.6</w:t>
      </w:r>
      <w:r>
        <w:rPr>
          <w:rFonts w:ascii="Times New Roman" w:cs="Times New Roman" w:eastAsia="Times New Roman" w:hAnsi="Times New Roman"/>
          <w:sz w:val="16"/>
          <w:szCs w:val="16"/>
          <w:color w:val="auto"/>
        </w:rPr>
        <w:t xml:space="preserve">, transferred by the Disbursement Agent to the Disbursement Account for application to pay Project Costs in accordance with </w:t>
      </w:r>
      <w:r>
        <w:rPr>
          <w:rFonts w:ascii="Times New Roman" w:cs="Times New Roman" w:eastAsia="Times New Roman" w:hAnsi="Times New Roman"/>
          <w:sz w:val="16"/>
          <w:szCs w:val="16"/>
          <w:i w:val="1"/>
          <w:iCs w:val="1"/>
          <w:color w:val="auto"/>
        </w:rPr>
        <w:t>Section 2.4.4(a)</w:t>
      </w:r>
      <w:r>
        <w:rPr>
          <w:rFonts w:ascii="Times New Roman" w:cs="Times New Roman" w:eastAsia="Times New Roman" w:hAnsi="Times New Roman"/>
          <w:sz w:val="16"/>
          <w:szCs w:val="16"/>
          <w:color w:val="auto"/>
        </w:rPr>
        <w:t xml:space="preserve"> and, on the Final Completion Date, applied by the Disbursement Agent as provided in </w:t>
      </w:r>
      <w:r>
        <w:rPr>
          <w:rFonts w:ascii="Times New Roman" w:cs="Times New Roman" w:eastAsia="Times New Roman" w:hAnsi="Times New Roman"/>
          <w:sz w:val="16"/>
          <w:szCs w:val="16"/>
          <w:i w:val="1"/>
          <w:iCs w:val="1"/>
          <w:color w:val="auto"/>
        </w:rPr>
        <w:t>Section 2.11</w:t>
      </w:r>
      <w:r>
        <w:rPr>
          <w:rFonts w:ascii="Times New Roman" w:cs="Times New Roman" w:eastAsia="Times New Roman" w:hAnsi="Times New Roman"/>
          <w:sz w:val="16"/>
          <w:szCs w:val="16"/>
          <w:color w:val="auto"/>
        </w:rPr>
        <w:t>. The Disbursement Agent shall cause investment income from Permitted Investments on amounts on deposit in the Second Mortgage Notes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Proceeds Account to be deposited at all times therein until applied to the payment of Project Costs or applied in accordance with </w:t>
      </w:r>
      <w:r>
        <w:rPr>
          <w:rFonts w:ascii="Times New Roman" w:cs="Times New Roman" w:eastAsia="Times New Roman" w:hAnsi="Times New Roman"/>
          <w:sz w:val="16"/>
          <w:szCs w:val="16"/>
          <w:i w:val="1"/>
          <w:iCs w:val="1"/>
          <w:color w:val="auto"/>
        </w:rPr>
        <w:t>Section 2.11</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540" w:right="300" w:firstLine="351"/>
        <w:spacing w:after="0" w:line="312" w:lineRule="auto"/>
        <w:rPr>
          <w:sz w:val="20"/>
          <w:szCs w:val="20"/>
          <w:color w:val="auto"/>
        </w:rPr>
      </w:pPr>
      <w:r>
        <w:rPr>
          <w:rFonts w:ascii="Times New Roman" w:cs="Times New Roman" w:eastAsia="Times New Roman" w:hAnsi="Times New Roman"/>
          <w:sz w:val="16"/>
          <w:szCs w:val="16"/>
          <w:color w:val="auto"/>
        </w:rPr>
        <w:t xml:space="preserve">2.3.3 </w:t>
      </w:r>
      <w:r>
        <w:rPr>
          <w:rFonts w:ascii="Times New Roman" w:cs="Times New Roman" w:eastAsia="Times New Roman" w:hAnsi="Times New Roman"/>
          <w:sz w:val="16"/>
          <w:szCs w:val="16"/>
          <w:i w:val="1"/>
          <w:iCs w:val="1"/>
          <w:color w:val="auto"/>
        </w:rPr>
        <w:t>Disbursement Account.</w:t>
      </w:r>
      <w:r>
        <w:rPr>
          <w:rFonts w:ascii="Times New Roman" w:cs="Times New Roman" w:eastAsia="Times New Roman" w:hAnsi="Times New Roman"/>
          <w:sz w:val="16"/>
          <w:szCs w:val="16"/>
          <w:color w:val="auto"/>
        </w:rPr>
        <w:t xml:space="preserve"> On or prior to the Closing Date, there shall be established at Deutsche Bank Trust Company Americas, as the Securities Intermediary, the Disbursement Account pursuant to the Company Collateral Account Agreements. There shall be deposited in the Disbursement Account (a) all funds from time to time advanced by the Bank Lenders (and/or withdrawn from the Bank Proceeds Account pursuant to</w:t>
      </w:r>
    </w:p>
    <w:p>
      <w:pPr>
        <w:sectPr>
          <w:pgSz w:w="11900" w:h="16838" w:orient="portrait"/>
          <w:cols w:equalWidth="0" w:num="1">
            <w:col w:w="11400"/>
          </w:cols>
          <w:pgMar w:left="240" w:top="125" w:right="259" w:bottom="0" w:gutter="0" w:footer="0" w:header="0"/>
        </w:sectPr>
      </w:pPr>
    </w:p>
    <w:bookmarkStart w:id="11" w:name="page12"/>
    <w:bookmarkEnd w:id="11"/>
    <w:p>
      <w:pPr>
        <w:ind w:right="40"/>
        <w:spacing w:after="0" w:line="284" w:lineRule="auto"/>
        <w:rPr>
          <w:sz w:val="20"/>
          <w:szCs w:val="20"/>
          <w:color w:val="auto"/>
        </w:rPr>
      </w:pPr>
      <w:r>
        <w:rPr>
          <w:rFonts w:ascii="Times New Roman" w:cs="Times New Roman" w:eastAsia="Times New Roman" w:hAnsi="Times New Roman"/>
          <w:sz w:val="16"/>
          <w:szCs w:val="16"/>
          <w:i w:val="1"/>
          <w:iCs w:val="1"/>
          <w:color w:val="auto"/>
        </w:rPr>
        <w:t>Section 2.5.3</w:t>
      </w:r>
      <w:r>
        <w:rPr>
          <w:rFonts w:ascii="Times New Roman" w:cs="Times New Roman" w:eastAsia="Times New Roman" w:hAnsi="Times New Roman"/>
          <w:sz w:val="16"/>
          <w:szCs w:val="16"/>
          <w:color w:val="auto"/>
        </w:rPr>
        <w:t>) other than any Letters of Credit issued under the Bank Credit Facility and amounts withdrawn from the Bank Proceeds Account pursuant to</w:t>
      </w:r>
      <w:r>
        <w:rPr>
          <w:rFonts w:ascii="Times New Roman" w:cs="Times New Roman" w:eastAsia="Times New Roman" w:hAnsi="Times New Roman"/>
          <w:sz w:val="16"/>
          <w:szCs w:val="16"/>
          <w:i w:val="1"/>
          <w:iCs w:val="1"/>
          <w:color w:val="auto"/>
        </w:rPr>
        <w:t xml:space="preserve"> Section 2.6.3</w:t>
      </w:r>
      <w:r>
        <w:rPr>
          <w:rFonts w:ascii="Times New Roman" w:cs="Times New Roman" w:eastAsia="Times New Roman" w:hAnsi="Times New Roman"/>
          <w:sz w:val="16"/>
          <w:szCs w:val="16"/>
          <w:color w:val="auto"/>
        </w:rPr>
        <w:t>, and (b) all funds withdrawn by the Disbursement Agent from the Company's Funds Account and the Second Mortgage Notes Proceeds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Account, in each case, pursuant to </w:t>
      </w:r>
      <w:r>
        <w:rPr>
          <w:rFonts w:ascii="Times New Roman" w:cs="Times New Roman" w:eastAsia="Times New Roman" w:hAnsi="Times New Roman"/>
          <w:sz w:val="16"/>
          <w:szCs w:val="16"/>
          <w:i w:val="1"/>
          <w:iCs w:val="1"/>
          <w:color w:val="auto"/>
        </w:rPr>
        <w:t>Section 2.4.4(a)</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i w:val="1"/>
          <w:iCs w:val="1"/>
          <w:color w:val="auto"/>
        </w:rPr>
        <w:t>Section 10.2</w:t>
      </w:r>
      <w:r>
        <w:rPr>
          <w:rFonts w:ascii="Times New Roman" w:cs="Times New Roman" w:eastAsia="Times New Roman" w:hAnsi="Times New Roman"/>
          <w:sz w:val="16"/>
          <w:szCs w:val="16"/>
          <w:color w:val="auto"/>
        </w:rPr>
        <w:t xml:space="preserve"> and the Company Collateral Account Agreements, amounts on deposit in the Disbursement Account shall, from time to time, be transferred by the Disbursement Agent to the Soft Costs Cash Management Account, the Hard Costs Cash Management Account, the Interest Payment Account, the Bank Proceeds Account, the Company's Payment Account and/or applied by the Disbursement Agent to pay Project Costs in accordance with </w:t>
      </w:r>
      <w:r>
        <w:rPr>
          <w:rFonts w:ascii="Times New Roman" w:cs="Times New Roman" w:eastAsia="Times New Roman" w:hAnsi="Times New Roman"/>
          <w:sz w:val="16"/>
          <w:szCs w:val="16"/>
          <w:i w:val="1"/>
          <w:iCs w:val="1"/>
          <w:color w:val="auto"/>
        </w:rPr>
        <w:t>Section 2.6</w:t>
      </w:r>
      <w:r>
        <w:rPr>
          <w:rFonts w:ascii="Times New Roman" w:cs="Times New Roman" w:eastAsia="Times New Roman" w:hAnsi="Times New Roman"/>
          <w:sz w:val="16"/>
          <w:szCs w:val="16"/>
          <w:color w:val="auto"/>
        </w:rPr>
        <w:t xml:space="preserve">. On the Final Completion Date, funds remaining in the Disbursement Account shall be applied by the Disbursement Agent as provided in </w:t>
      </w:r>
      <w:r>
        <w:rPr>
          <w:rFonts w:ascii="Times New Roman" w:cs="Times New Roman" w:eastAsia="Times New Roman" w:hAnsi="Times New Roman"/>
          <w:sz w:val="16"/>
          <w:szCs w:val="16"/>
          <w:i w:val="1"/>
          <w:iCs w:val="1"/>
          <w:color w:val="auto"/>
        </w:rPr>
        <w:t>Section 2.11</w:t>
      </w:r>
      <w:r>
        <w:rPr>
          <w:rFonts w:ascii="Times New Roman" w:cs="Times New Roman" w:eastAsia="Times New Roman" w:hAnsi="Times New Roman"/>
          <w:sz w:val="16"/>
          <w:szCs w:val="16"/>
          <w:color w:val="auto"/>
        </w:rPr>
        <w:t>. The deposit of funds into the Disbursement Account shall not create, vest in, or give the Company any rights to such funds, and the Company shall have no right to draw, obtain the release or otherwise use such funds until</w:t>
      </w:r>
    </w:p>
    <w:p>
      <w:pPr>
        <w:spacing w:after="0" w:line="1" w:lineRule="exact"/>
        <w:rPr>
          <w:sz w:val="20"/>
          <w:szCs w:val="20"/>
          <w:color w:val="auto"/>
        </w:rPr>
      </w:pPr>
    </w:p>
    <w:p>
      <w:pPr>
        <w:ind w:right="20" w:firstLine="8"/>
        <w:spacing w:after="0" w:line="281" w:lineRule="auto"/>
        <w:tabs>
          <w:tab w:leader="none" w:pos="2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requirements of </w:t>
      </w:r>
      <w:r>
        <w:rPr>
          <w:rFonts w:ascii="Times New Roman" w:cs="Times New Roman" w:eastAsia="Times New Roman" w:hAnsi="Times New Roman"/>
          <w:sz w:val="16"/>
          <w:szCs w:val="16"/>
          <w:i w:val="1"/>
          <w:iCs w:val="1"/>
          <w:color w:val="auto"/>
        </w:rPr>
        <w:t>Section 2.4</w:t>
      </w:r>
      <w:r>
        <w:rPr>
          <w:rFonts w:ascii="Times New Roman" w:cs="Times New Roman" w:eastAsia="Times New Roman" w:hAnsi="Times New Roman"/>
          <w:sz w:val="16"/>
          <w:szCs w:val="16"/>
          <w:color w:val="auto"/>
        </w:rPr>
        <w:t xml:space="preserve"> (except, prior to the initial Advance of funds from the Second Mortgage Notes Proceeds Account, as such requirements may be modified pursuant to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color w:val="auto"/>
        </w:rPr>
        <w:t xml:space="preserve">) have been satisfied and (y) the conditions set forth in </w:t>
      </w:r>
      <w:r>
        <w:rPr>
          <w:rFonts w:ascii="Times New Roman" w:cs="Times New Roman" w:eastAsia="Times New Roman" w:hAnsi="Times New Roman"/>
          <w:sz w:val="16"/>
          <w:szCs w:val="16"/>
          <w:i w:val="1"/>
          <w:iCs w:val="1"/>
          <w:color w:val="auto"/>
        </w:rPr>
        <w:t>Sections 3.1, 3.2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3.3</w:t>
      </w:r>
      <w:r>
        <w:rPr>
          <w:rFonts w:ascii="Times New Roman" w:cs="Times New Roman" w:eastAsia="Times New Roman" w:hAnsi="Times New Roman"/>
          <w:sz w:val="16"/>
          <w:szCs w:val="16"/>
          <w:color w:val="auto"/>
        </w:rPr>
        <w:t xml:space="preserve">, as the case may be, have been satisfied or waived in accordance with the terms hereof. If any funds deposited in the Disbursement Account are, for any reason, not withdrawn therefrom pursuant to </w:t>
      </w:r>
      <w:r>
        <w:rPr>
          <w:rFonts w:ascii="Times New Roman" w:cs="Times New Roman" w:eastAsia="Times New Roman" w:hAnsi="Times New Roman"/>
          <w:sz w:val="16"/>
          <w:szCs w:val="16"/>
          <w:i w:val="1"/>
          <w:iCs w:val="1"/>
          <w:color w:val="auto"/>
        </w:rPr>
        <w:t>Section 2.6</w:t>
      </w:r>
      <w:r>
        <w:rPr>
          <w:rFonts w:ascii="Times New Roman" w:cs="Times New Roman" w:eastAsia="Times New Roman" w:hAnsi="Times New Roman"/>
          <w:sz w:val="16"/>
          <w:szCs w:val="16"/>
          <w:color w:val="auto"/>
        </w:rPr>
        <w:t xml:space="preserve"> on or before the next Banking Day after the day on which they were deposited, such funds shall, on the Second Banking Day after the day on which they were deposited, be withdrawn by the Disbursement Agent from the Disbursement Account and (A) in the case of funds advanced by the Bank Lenders or withdrawn from the Bank Proceeds Account, deposited by the Disbursement Agent in the Bank Proceeds Account,</w:t>
      </w:r>
    </w:p>
    <w:p>
      <w:pPr>
        <w:spacing w:after="0" w:line="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in the case of funds withdrawn from the Company's Funds Account, deposited by the Disbursement Agent in the Company's Funds Account, and</w:t>
      </w:r>
    </w:p>
    <w:p>
      <w:pPr>
        <w:spacing w:after="0" w:line="9" w:lineRule="exact"/>
        <w:rPr>
          <w:rFonts w:ascii="Times New Roman" w:cs="Times New Roman" w:eastAsia="Times New Roman" w:hAnsi="Times New Roman"/>
          <w:sz w:val="16"/>
          <w:szCs w:val="16"/>
          <w:color w:val="auto"/>
        </w:rPr>
      </w:pPr>
    </w:p>
    <w:p>
      <w:pPr>
        <w:ind w:right="2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 in the case of funds withdrawn from the Second Mortgage Notes Proceeds Account, deposited by the Disbursement Agent in the Second Mortgage Notes Proceeds Account. The Disbursement Agent shall cause investment income from Permitted Investments on amounts</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on deposit in the Disbursement Account to be deposited in (1) the Bank Proceeds Account, to the extent arising from funds advanced by the Bank Lenders or withdrawn from the Bank Proceeds Account, (2) the Company's Funds Account, to the extent arising from funds withdrawn from the Company's Funds Account, and (3) the Second Mortgage Notes Proceeds Account, to the extent arising from funds withdrawn from the Second Mortgage Notes Proceeds Account; in each case at the same time as the corresponding funds giving rise to the investment income are transferred to the respective accounts.</w:t>
      </w:r>
    </w:p>
    <w:p>
      <w:pPr>
        <w:spacing w:after="0" w:line="155" w:lineRule="exact"/>
        <w:rPr>
          <w:sz w:val="20"/>
          <w:szCs w:val="20"/>
          <w:color w:val="auto"/>
        </w:rPr>
      </w:pPr>
    </w:p>
    <w:p>
      <w:pPr>
        <w:ind w:right="20" w:firstLine="351"/>
        <w:spacing w:after="0" w:line="251"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i w:val="1"/>
          <w:iCs w:val="1"/>
          <w:color w:val="auto"/>
        </w:rPr>
        <w:t>Cash Management Accounts.</w:t>
      </w:r>
      <w:r>
        <w:rPr>
          <w:rFonts w:ascii="Times New Roman" w:cs="Times New Roman" w:eastAsia="Times New Roman" w:hAnsi="Times New Roman"/>
          <w:sz w:val="18"/>
          <w:szCs w:val="18"/>
          <w:color w:val="auto"/>
        </w:rPr>
        <w:t xml:space="preserve"> On or prior to the Closing Date the Company shall establish the Soft Costs Cash Management Account and the Hard Costs Cash Management Account. Each such account shall be a local deposit account established in Las Vegas, Nevada at a bank that is reasonably acceptable to the Disbursement Agent and that enters into control agreements in the form of </w:t>
      </w:r>
      <w:r>
        <w:rPr>
          <w:rFonts w:ascii="Times New Roman" w:cs="Times New Roman" w:eastAsia="Times New Roman" w:hAnsi="Times New Roman"/>
          <w:sz w:val="18"/>
          <w:szCs w:val="18"/>
          <w:i w:val="1"/>
          <w:iCs w:val="1"/>
          <w:color w:val="auto"/>
        </w:rPr>
        <w:t>Exhibits Z-1 and Z-2</w:t>
      </w:r>
      <w:r>
        <w:rPr>
          <w:rFonts w:ascii="Times New Roman" w:cs="Times New Roman" w:eastAsia="Times New Roman" w:hAnsi="Times New Roman"/>
          <w:sz w:val="18"/>
          <w:szCs w:val="18"/>
          <w:color w:val="auto"/>
        </w:rPr>
        <w:t xml:space="preserve"> hereto to grant the Bank Lenders and the Second Mortgage Note Holders a first and second priority perfected security interest therein, respectively. The Company shall take such further actions and execute such further documents in connection therewith as the Bank Agent, the Indenture Trustee or the Disbursement Agent may reasonably request in order to perfect or maintain the perfection or priority, to the greatest extent reasonably practicable, of the Liens of the Bank Lenders and the Second Mortgage Note Holders in the Soft Cost Cash Management Account and Hard Cost Cash Management Account. On the Closing Date, Two Million Five Hundred Thousand Dollars ($2,500,000) shall be withdrawn by the Disbursement Agent from the Disbursement Account and deposited in the Soft Costs Cash Management Account and Three Million Dollars ($3,000,000) shall be withdrawn by the Disbursement Agent from the Disbursement Account and deposited in the Hard Costs Cash Management Account. Subject to the provisions of </w:t>
      </w:r>
      <w:r>
        <w:rPr>
          <w:rFonts w:ascii="Times New Roman" w:cs="Times New Roman" w:eastAsia="Times New Roman" w:hAnsi="Times New Roman"/>
          <w:sz w:val="18"/>
          <w:szCs w:val="18"/>
          <w:i w:val="1"/>
          <w:iCs w:val="1"/>
          <w:color w:val="auto"/>
        </w:rPr>
        <w:t>Section 10.2</w:t>
      </w:r>
      <w:r>
        <w:rPr>
          <w:rFonts w:ascii="Times New Roman" w:cs="Times New Roman" w:eastAsia="Times New Roman" w:hAnsi="Times New Roman"/>
          <w:sz w:val="18"/>
          <w:szCs w:val="18"/>
          <w:color w:val="auto"/>
        </w:rPr>
        <w:t xml:space="preserve"> and the Company Collateral Account Agreements, the Company shall be permitted from time to time to draw checks on and otherwise withdraw amounts on deposit in the Soft Costs Cash Management Account to pay due and payable Soft Costs and to draw checks on and otherwise withdraw amounts on deposit in the Hard Costs Cash Management Account to pay due and payable Hard Costs. The Company shall be permitted from time to time to replace amounts drawn from, and/or to increase the funds on deposit in, the Soft Costs Cash Management Account and the Hard Costs Cash Management Account pursuant to the preceding sentence (i) by including a request to such effect in Advance Requests submitted in accordance with </w:t>
      </w:r>
      <w:r>
        <w:rPr>
          <w:rFonts w:ascii="Times New Roman" w:cs="Times New Roman" w:eastAsia="Times New Roman" w:hAnsi="Times New Roman"/>
          <w:sz w:val="18"/>
          <w:szCs w:val="18"/>
          <w:i w:val="1"/>
          <w:iCs w:val="1"/>
          <w:color w:val="auto"/>
        </w:rPr>
        <w:t>Sections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2.5</w:t>
      </w:r>
      <w:r>
        <w:rPr>
          <w:rFonts w:ascii="Times New Roman" w:cs="Times New Roman" w:eastAsia="Times New Roman" w:hAnsi="Times New Roman"/>
          <w:sz w:val="18"/>
          <w:szCs w:val="18"/>
          <w:color w:val="auto"/>
        </w:rPr>
        <w:t xml:space="preserve"> and satisfying the conditions precedent set forth in </w:t>
      </w:r>
      <w:r>
        <w:rPr>
          <w:rFonts w:ascii="Times New Roman" w:cs="Times New Roman" w:eastAsia="Times New Roman" w:hAnsi="Times New Roman"/>
          <w:sz w:val="18"/>
          <w:szCs w:val="18"/>
          <w:i w:val="1"/>
          <w:iCs w:val="1"/>
          <w:color w:val="auto"/>
        </w:rPr>
        <w:t>Sections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3.3</w:t>
      </w:r>
      <w:r>
        <w:rPr>
          <w:rFonts w:ascii="Times New Roman" w:cs="Times New Roman" w:eastAsia="Times New Roman" w:hAnsi="Times New Roman"/>
          <w:sz w:val="18"/>
          <w:szCs w:val="18"/>
          <w:color w:val="auto"/>
        </w:rPr>
        <w:t xml:space="preserve">, as the case may be (unless such conditions precedent are waived in accordance with the terms hereof) or (ii) by requesting a transfer of funds previously deposited in the Bank Proceeds Account and satisfying the conditions precedent set forth in </w:t>
      </w:r>
      <w:r>
        <w:rPr>
          <w:rFonts w:ascii="Times New Roman" w:cs="Times New Roman" w:eastAsia="Times New Roman" w:hAnsi="Times New Roman"/>
          <w:sz w:val="18"/>
          <w:szCs w:val="18"/>
          <w:i w:val="1"/>
          <w:iCs w:val="1"/>
          <w:color w:val="auto"/>
        </w:rPr>
        <w:t>Section 2.6.3</w:t>
      </w:r>
      <w:r>
        <w:rPr>
          <w:rFonts w:ascii="Times New Roman" w:cs="Times New Roman" w:eastAsia="Times New Roman" w:hAnsi="Times New Roman"/>
          <w:sz w:val="18"/>
          <w:szCs w:val="18"/>
          <w:color w:val="auto"/>
        </w:rPr>
        <w:t xml:space="preserve">. Any deposit of funds into the Soft Costs Cash Management Account which would cause the balance thereof to exceed $2,500,000 and any deposit of funds into the Hard Costs Cash Management Account which would cause the balance thereof to exceed $3,000,000 shall be subject to the Disbursement Agent's approval, which approval shall be given if the Disbursement Agent, in consultation with the Construction Consultant, is reasonably satisfied that such amounts are necessary to pay Soft Costs or Hard Costs, as the case may be, anticipated to become due and payable through the end of the ensuing calendar month;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amounts intended to cover Company payroll that have been transferred from the Bank Proceeds Account to the Soft Costs Cash Management Account pursuant to </w:t>
      </w:r>
      <w:r>
        <w:rPr>
          <w:rFonts w:ascii="Times New Roman" w:cs="Times New Roman" w:eastAsia="Times New Roman" w:hAnsi="Times New Roman"/>
          <w:sz w:val="18"/>
          <w:szCs w:val="18"/>
          <w:i w:val="1"/>
          <w:iCs w:val="1"/>
          <w:color w:val="auto"/>
        </w:rPr>
        <w:t>Section 2.6.3</w:t>
      </w:r>
      <w:r>
        <w:rPr>
          <w:rFonts w:ascii="Times New Roman" w:cs="Times New Roman" w:eastAsia="Times New Roman" w:hAnsi="Times New Roman"/>
          <w:sz w:val="18"/>
          <w:szCs w:val="18"/>
          <w:color w:val="auto"/>
        </w:rPr>
        <w:t xml:space="preserve"> shall be excluded for purposes of determining whether the foregoing thresholds have been exceeded. The Disbursement Agent shall be entitled to rely on certifications to such effect from the Company or the Construction Consultant in approving any request to deposit amounts in excess of the foregoing thresholds in the Soft Costs Cash Management Account or the Hard Costs Cash Management Account. On the Final Completion Date, funds remaining in the Soft Costs Cash Management Account and the Hard Costs Cash Management Account shall be applied by the Disbursement Agent as provided in </w:t>
      </w:r>
      <w:r>
        <w:rPr>
          <w:rFonts w:ascii="Times New Roman" w:cs="Times New Roman" w:eastAsia="Times New Roman" w:hAnsi="Times New Roman"/>
          <w:sz w:val="18"/>
          <w:szCs w:val="18"/>
          <w:i w:val="1"/>
          <w:iCs w:val="1"/>
          <w:color w:val="auto"/>
        </w:rPr>
        <w:t>Section 2.11</w:t>
      </w:r>
      <w:r>
        <w:rPr>
          <w:rFonts w:ascii="Times New Roman" w:cs="Times New Roman" w:eastAsia="Times New Roman" w:hAnsi="Times New Roman"/>
          <w:sz w:val="18"/>
          <w:szCs w:val="18"/>
          <w:color w:val="auto"/>
        </w:rPr>
        <w:t>. The Disbursement Agent shall cause investment income from Permitted Investments</w:t>
      </w:r>
    </w:p>
    <w:p>
      <w:pPr>
        <w:spacing w:after="0" w:line="20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on amounts on deposit in the Soft Costs Cash Management Account and the Hard Costs Cash Management Account to be deposited therein until applied to the payment of Soft Costs or Hard Costs, as the case may be, as described above.</w:t>
      </w:r>
    </w:p>
    <w:p>
      <w:pPr>
        <w:spacing w:after="0" w:line="172"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i w:val="1"/>
          <w:iCs w:val="1"/>
          <w:color w:val="auto"/>
        </w:rPr>
        <w:t>Interest Payment Account.</w:t>
      </w:r>
      <w:r>
        <w:rPr>
          <w:rFonts w:ascii="Times New Roman" w:cs="Times New Roman" w:eastAsia="Times New Roman" w:hAnsi="Times New Roman"/>
          <w:sz w:val="18"/>
          <w:szCs w:val="18"/>
          <w:color w:val="auto"/>
        </w:rPr>
        <w:t xml:space="preserve"> On or prior to the Closing Date, there shall be established at Deutsche Bank Trust Company Americas, as the Securities Intermediary, the Interest Payment Account pursuant to the Company Collateral Account Agreements. On each Advance Date until the Completion Date, funds shall be withdrawn from the Disbursement Account and deposited in the Interest Payment Account to the extent necessary to pay interest and fees under the Bank Credit Agreement, the Second Mortgage Notes (except as provided in </w:t>
      </w:r>
      <w:r>
        <w:rPr>
          <w:rFonts w:ascii="Times New Roman" w:cs="Times New Roman" w:eastAsia="Times New Roman" w:hAnsi="Times New Roman"/>
          <w:sz w:val="18"/>
          <w:szCs w:val="18"/>
          <w:i w:val="1"/>
          <w:iCs w:val="1"/>
          <w:color w:val="auto"/>
        </w:rPr>
        <w:t>Section 2.5.6</w:t>
      </w:r>
      <w:r>
        <w:rPr>
          <w:rFonts w:ascii="Times New Roman" w:cs="Times New Roman" w:eastAsia="Times New Roman" w:hAnsi="Times New Roman"/>
          <w:sz w:val="18"/>
          <w:szCs w:val="18"/>
          <w:color w:val="auto"/>
        </w:rPr>
        <w:t xml:space="preserve">) and the FF&amp;E Facility Agreement, as set forth in Advance Requests delivered to the Disbursement Agent and in accordance with </w:t>
      </w:r>
      <w:r>
        <w:rPr>
          <w:rFonts w:ascii="Times New Roman" w:cs="Times New Roman" w:eastAsia="Times New Roman" w:hAnsi="Times New Roman"/>
          <w:sz w:val="18"/>
          <w:szCs w:val="18"/>
          <w:i w:val="1"/>
          <w:iCs w:val="1"/>
          <w:color w:val="auto"/>
        </w:rPr>
        <w:t>Section 2.7</w:t>
      </w:r>
      <w:r>
        <w:rPr>
          <w:rFonts w:ascii="Times New Roman" w:cs="Times New Roman" w:eastAsia="Times New Roman" w:hAnsi="Times New Roman"/>
          <w:sz w:val="18"/>
          <w:szCs w:val="18"/>
          <w:color w:val="auto"/>
        </w:rPr>
        <w:t xml:space="preserve">. Amounts on deposit in the Interest Payment Account shall be applied by the Disbursement Agent to pay interest and fees under the Bank Credit Agreement, the Second Mortgage Notes (except as provided in </w:t>
      </w:r>
      <w:r>
        <w:rPr>
          <w:rFonts w:ascii="Times New Roman" w:cs="Times New Roman" w:eastAsia="Times New Roman" w:hAnsi="Times New Roman"/>
          <w:sz w:val="18"/>
          <w:szCs w:val="18"/>
          <w:i w:val="1"/>
          <w:iCs w:val="1"/>
          <w:color w:val="auto"/>
        </w:rPr>
        <w:t>Section 2.5.6</w:t>
      </w:r>
      <w:r>
        <w:rPr>
          <w:rFonts w:ascii="Times New Roman" w:cs="Times New Roman" w:eastAsia="Times New Roman" w:hAnsi="Times New Roman"/>
          <w:sz w:val="18"/>
          <w:szCs w:val="18"/>
          <w:color w:val="auto"/>
        </w:rPr>
        <w:t>) and the FF&amp;E Facility Agreement, in each case, on the dates that such amounts become due and payable. The Disbursement Agent shall cause investment income from Permitted Investments on amounts on deposit in the Interest Payment Account to be transferred to and deposited in the Company's Funds Account within two (2) Banking Days following the end of each calendar month.</w:t>
      </w:r>
    </w:p>
    <w:p>
      <w:pPr>
        <w:sectPr>
          <w:pgSz w:w="11900" w:h="16838" w:orient="portrait"/>
          <w:cols w:equalWidth="0" w:num="1">
            <w:col w:w="10860"/>
          </w:cols>
          <w:pgMar w:left="780" w:top="123" w:right="259" w:bottom="33" w:gutter="0" w:footer="0" w:header="0"/>
        </w:sectPr>
      </w:pPr>
    </w:p>
    <w:bookmarkStart w:id="12" w:name="page13"/>
    <w:bookmarkEnd w:id="12"/>
    <w:p>
      <w:pPr>
        <w:spacing w:after="0" w:line="70"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i w:val="1"/>
          <w:iCs w:val="1"/>
          <w:color w:val="auto"/>
        </w:rPr>
        <w:t>Bank Proceeds Account.</w:t>
      </w:r>
      <w:r>
        <w:rPr>
          <w:rFonts w:ascii="Times New Roman" w:cs="Times New Roman" w:eastAsia="Times New Roman" w:hAnsi="Times New Roman"/>
          <w:sz w:val="18"/>
          <w:szCs w:val="18"/>
          <w:color w:val="auto"/>
        </w:rPr>
        <w:t xml:space="preserve"> On or prior to the Closing Date, there shall be established at Deutsche Bank Trust Company Americas, as the Securities Intermediary, the Bank Proceeds Account pursuant to the Bank Company Collateral Account Agreement. There shall be deposited in the Bank Proceeds Account (a) as provided in </w:t>
      </w:r>
      <w:r>
        <w:rPr>
          <w:rFonts w:ascii="Times New Roman" w:cs="Times New Roman" w:eastAsia="Times New Roman" w:hAnsi="Times New Roman"/>
          <w:sz w:val="18"/>
          <w:szCs w:val="18"/>
          <w:i w:val="1"/>
          <w:iCs w:val="1"/>
          <w:color w:val="auto"/>
        </w:rPr>
        <w:t>Section 2.3.3</w:t>
      </w:r>
      <w:r>
        <w:rPr>
          <w:rFonts w:ascii="Times New Roman" w:cs="Times New Roman" w:eastAsia="Times New Roman" w:hAnsi="Times New Roman"/>
          <w:sz w:val="18"/>
          <w:szCs w:val="18"/>
          <w:color w:val="auto"/>
        </w:rPr>
        <w:t xml:space="preserve">, all amounts deposited by the Bank Lenders in the Disbursement Account (or transferred to the Disbursement Account from the Bank Proceeds Account) which are not withdrawn therefrom pursuant to </w:t>
      </w:r>
      <w:r>
        <w:rPr>
          <w:rFonts w:ascii="Times New Roman" w:cs="Times New Roman" w:eastAsia="Times New Roman" w:hAnsi="Times New Roman"/>
          <w:sz w:val="18"/>
          <w:szCs w:val="18"/>
          <w:i w:val="1"/>
          <w:iCs w:val="1"/>
          <w:color w:val="auto"/>
        </w:rPr>
        <w:t>Section 2.6</w:t>
      </w:r>
      <w:r>
        <w:rPr>
          <w:rFonts w:ascii="Times New Roman" w:cs="Times New Roman" w:eastAsia="Times New Roman" w:hAnsi="Times New Roman"/>
          <w:sz w:val="18"/>
          <w:szCs w:val="18"/>
          <w:color w:val="auto"/>
        </w:rPr>
        <w:t xml:space="preserve"> on or before the next Banking Day after the day on which they were deposited, (b) amounts intended to cover Company payroll in accordance with </w:t>
      </w:r>
      <w:r>
        <w:rPr>
          <w:rFonts w:ascii="Times New Roman" w:cs="Times New Roman" w:eastAsia="Times New Roman" w:hAnsi="Times New Roman"/>
          <w:sz w:val="18"/>
          <w:szCs w:val="18"/>
          <w:i w:val="1"/>
          <w:iCs w:val="1"/>
          <w:color w:val="auto"/>
        </w:rPr>
        <w:t>Section 2.6.3</w:t>
      </w:r>
      <w:r>
        <w:rPr>
          <w:rFonts w:ascii="Times New Roman" w:cs="Times New Roman" w:eastAsia="Times New Roman" w:hAnsi="Times New Roman"/>
          <w:sz w:val="18"/>
          <w:szCs w:val="18"/>
          <w:color w:val="auto"/>
        </w:rPr>
        <w:t xml:space="preserve">, (c) investment income from Permitted Investments on amounts on deposit in the Disbursement Account to the extent arising from funds withdrawn from the Bank Proceeds Account, and (d) the amounts set forth in </w:t>
      </w:r>
      <w:r>
        <w:rPr>
          <w:rFonts w:ascii="Times New Roman" w:cs="Times New Roman" w:eastAsia="Times New Roman" w:hAnsi="Times New Roman"/>
          <w:sz w:val="18"/>
          <w:szCs w:val="18"/>
          <w:i w:val="1"/>
          <w:iCs w:val="1"/>
          <w:color w:val="auto"/>
        </w:rPr>
        <w:t>Section 2.9(d)</w:t>
      </w:r>
      <w:r>
        <w:rPr>
          <w:rFonts w:ascii="Times New Roman" w:cs="Times New Roman" w:eastAsia="Times New Roman" w:hAnsi="Times New Roman"/>
          <w:sz w:val="18"/>
          <w:szCs w:val="18"/>
          <w:color w:val="auto"/>
        </w:rPr>
        <w:t xml:space="preserve"> . Subject to the provisions of </w:t>
      </w:r>
      <w:r>
        <w:rPr>
          <w:rFonts w:ascii="Times New Roman" w:cs="Times New Roman" w:eastAsia="Times New Roman" w:hAnsi="Times New Roman"/>
          <w:sz w:val="18"/>
          <w:szCs w:val="18"/>
          <w:i w:val="1"/>
          <w:iCs w:val="1"/>
          <w:color w:val="auto"/>
        </w:rPr>
        <w:t>Section 10.2</w:t>
      </w:r>
      <w:r>
        <w:rPr>
          <w:rFonts w:ascii="Times New Roman" w:cs="Times New Roman" w:eastAsia="Times New Roman" w:hAnsi="Times New Roman"/>
          <w:sz w:val="18"/>
          <w:szCs w:val="18"/>
          <w:color w:val="auto"/>
        </w:rPr>
        <w:t xml:space="preserve"> and the Bank Company Collateral Account Agreement, amounts on deposit in the Bank Proceeds Account shall, from time to time be transferred by the Disbursement Agent (i) to the Disbursement Account in accordance with </w:t>
      </w:r>
      <w:r>
        <w:rPr>
          <w:rFonts w:ascii="Times New Roman" w:cs="Times New Roman" w:eastAsia="Times New Roman" w:hAnsi="Times New Roman"/>
          <w:sz w:val="18"/>
          <w:szCs w:val="18"/>
          <w:i w:val="1"/>
          <w:iCs w:val="1"/>
          <w:color w:val="auto"/>
        </w:rPr>
        <w:t>Section 2.3.3</w:t>
      </w:r>
      <w:r>
        <w:rPr>
          <w:rFonts w:ascii="Times New Roman" w:cs="Times New Roman" w:eastAsia="Times New Roman" w:hAnsi="Times New Roman"/>
          <w:sz w:val="18"/>
          <w:szCs w:val="18"/>
          <w:color w:val="auto"/>
        </w:rPr>
        <w:t xml:space="preserve"> for application to pay Project Costs in accordance with </w:t>
      </w:r>
      <w:r>
        <w:rPr>
          <w:rFonts w:ascii="Times New Roman" w:cs="Times New Roman" w:eastAsia="Times New Roman" w:hAnsi="Times New Roman"/>
          <w:sz w:val="18"/>
          <w:szCs w:val="18"/>
          <w:i w:val="1"/>
          <w:iCs w:val="1"/>
          <w:color w:val="auto"/>
        </w:rPr>
        <w:t>Sections 2.4.4(a)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2.5.3, (ii)</w:t>
      </w:r>
      <w:r>
        <w:rPr>
          <w:rFonts w:ascii="Times New Roman" w:cs="Times New Roman" w:eastAsia="Times New Roman" w:hAnsi="Times New Roman"/>
          <w:sz w:val="18"/>
          <w:szCs w:val="18"/>
          <w:color w:val="auto"/>
        </w:rPr>
        <w:t xml:space="preserve"> to the Soft Costs Cash Management Account to pay Company payroll anticipated to become due and payable during the next seven (7) days in accordance with </w:t>
      </w:r>
      <w:r>
        <w:rPr>
          <w:rFonts w:ascii="Times New Roman" w:cs="Times New Roman" w:eastAsia="Times New Roman" w:hAnsi="Times New Roman"/>
          <w:sz w:val="18"/>
          <w:szCs w:val="18"/>
          <w:i w:val="1"/>
          <w:iCs w:val="1"/>
          <w:color w:val="auto"/>
        </w:rPr>
        <w:t>Section 2.6.3</w:t>
      </w:r>
      <w:r>
        <w:rPr>
          <w:rFonts w:ascii="Times New Roman" w:cs="Times New Roman" w:eastAsia="Times New Roman" w:hAnsi="Times New Roman"/>
          <w:sz w:val="18"/>
          <w:szCs w:val="18"/>
          <w:color w:val="auto"/>
        </w:rPr>
        <w:t xml:space="preserve">, and (iii) on the earlier to occur of (A) the Final Completion Date and (B) the expiration the six-month period commencing on the Completion Date, be applied by the Disbursement Agent as provided in </w:t>
      </w:r>
      <w:r>
        <w:rPr>
          <w:rFonts w:ascii="Times New Roman" w:cs="Times New Roman" w:eastAsia="Times New Roman" w:hAnsi="Times New Roman"/>
          <w:sz w:val="18"/>
          <w:szCs w:val="18"/>
          <w:i w:val="1"/>
          <w:iCs w:val="1"/>
          <w:color w:val="auto"/>
        </w:rPr>
        <w:t>Sections 2.9(e)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2.11</w:t>
      </w:r>
      <w:r>
        <w:rPr>
          <w:rFonts w:ascii="Times New Roman" w:cs="Times New Roman" w:eastAsia="Times New Roman" w:hAnsi="Times New Roman"/>
          <w:sz w:val="18"/>
          <w:szCs w:val="18"/>
          <w:color w:val="auto"/>
        </w:rPr>
        <w:t xml:space="preserve">, as applicable. The Disbursement Agent shall cause investment income from Permitted Investments in amounts on deposit in the Bank Proceeds Account to be deposited at all times therein until applied to the payment of Project Costs or in accordance with </w:t>
      </w:r>
      <w:r>
        <w:rPr>
          <w:rFonts w:ascii="Times New Roman" w:cs="Times New Roman" w:eastAsia="Times New Roman" w:hAnsi="Times New Roman"/>
          <w:sz w:val="18"/>
          <w:szCs w:val="18"/>
          <w:i w:val="1"/>
          <w:iCs w:val="1"/>
          <w:color w:val="auto"/>
        </w:rPr>
        <w:t>Sections 2.9(e)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2.11</w:t>
      </w:r>
      <w:r>
        <w:rPr>
          <w:rFonts w:ascii="Times New Roman" w:cs="Times New Roman" w:eastAsia="Times New Roman" w:hAnsi="Times New Roman"/>
          <w:sz w:val="18"/>
          <w:szCs w:val="18"/>
          <w:color w:val="auto"/>
        </w:rPr>
        <w:t>, as applicable.</w:t>
      </w:r>
    </w:p>
    <w:p>
      <w:pPr>
        <w:spacing w:after="0" w:line="19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i w:val="1"/>
          <w:iCs w:val="1"/>
          <w:color w:val="auto"/>
        </w:rPr>
        <w:t>FF&amp;E Proceeds Account.</w:t>
      </w:r>
      <w:r>
        <w:rPr>
          <w:rFonts w:ascii="Times New Roman" w:cs="Times New Roman" w:eastAsia="Times New Roman" w:hAnsi="Times New Roman"/>
          <w:sz w:val="18"/>
          <w:szCs w:val="18"/>
          <w:color w:val="auto"/>
        </w:rPr>
        <w:t xml:space="preserve"> On or prior to the Closing Date, there shall be established at Deutsche Bank Trust Company Americas, as the Securities Intermediary, the FF&amp;E Proceeds Account pursuant to the FF&amp;E Collateral Account Agreement. There shall be deposited in the FF&amp;E Proceeds Account (a) all funds advanced from time to time by the FF&amp;E Lenders other than the Advance to refinance the purchase of the Aircraft described in the first sentence of </w:t>
      </w:r>
      <w:r>
        <w:rPr>
          <w:rFonts w:ascii="Times New Roman" w:cs="Times New Roman" w:eastAsia="Times New Roman" w:hAnsi="Times New Roman"/>
          <w:sz w:val="18"/>
          <w:szCs w:val="18"/>
          <w:i w:val="1"/>
          <w:iCs w:val="1"/>
          <w:color w:val="auto"/>
        </w:rPr>
        <w:t>Section 2.5.5</w:t>
      </w:r>
      <w:r>
        <w:rPr>
          <w:rFonts w:ascii="Times New Roman" w:cs="Times New Roman" w:eastAsia="Times New Roman" w:hAnsi="Times New Roman"/>
          <w:sz w:val="18"/>
          <w:szCs w:val="18"/>
          <w:color w:val="auto"/>
        </w:rPr>
        <w:t xml:space="preserve"> and the amounts to be deposited in the Company's Funds Account pursuant to such Section, (b) the amounts set forth in </w:t>
      </w:r>
      <w:r>
        <w:rPr>
          <w:rFonts w:ascii="Times New Roman" w:cs="Times New Roman" w:eastAsia="Times New Roman" w:hAnsi="Times New Roman"/>
          <w:sz w:val="18"/>
          <w:szCs w:val="18"/>
          <w:i w:val="1"/>
          <w:iCs w:val="1"/>
          <w:color w:val="auto"/>
        </w:rPr>
        <w:t>Section 2.9(d)</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i w:val="1"/>
          <w:iCs w:val="1"/>
          <w:color w:val="auto"/>
        </w:rPr>
        <w:t>Section 10.2</w:t>
      </w:r>
      <w:r>
        <w:rPr>
          <w:rFonts w:ascii="Times New Roman" w:cs="Times New Roman" w:eastAsia="Times New Roman" w:hAnsi="Times New Roman"/>
          <w:sz w:val="18"/>
          <w:szCs w:val="18"/>
          <w:color w:val="auto"/>
        </w:rPr>
        <w:t xml:space="preserve"> and the FF&amp;E Collateral Account Agreement, amounts on deposit in the FF&amp;E Proceeds Account shall, from time to time be transferred by the Disbursement Agent to the Company's FF&amp;E Payment Account, the Hard Costs Cash Management Account, the Soft Costs Cash Management</w:t>
      </w:r>
    </w:p>
    <w:p>
      <w:pPr>
        <w:spacing w:after="0" w:line="19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 xml:space="preserve">Account and/or applied by the Disbursement Agent to pay Project Costs in accordance with </w:t>
      </w:r>
      <w:r>
        <w:rPr>
          <w:rFonts w:ascii="Times New Roman" w:cs="Times New Roman" w:eastAsia="Times New Roman" w:hAnsi="Times New Roman"/>
          <w:sz w:val="16"/>
          <w:szCs w:val="16"/>
          <w:i w:val="1"/>
          <w:iCs w:val="1"/>
          <w:color w:val="auto"/>
        </w:rPr>
        <w:t>Sections 2.5.5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2.6</w:t>
      </w:r>
      <w:r>
        <w:rPr>
          <w:rFonts w:ascii="Times New Roman" w:cs="Times New Roman" w:eastAsia="Times New Roman" w:hAnsi="Times New Roman"/>
          <w:sz w:val="16"/>
          <w:szCs w:val="16"/>
          <w:color w:val="auto"/>
        </w:rPr>
        <w:t xml:space="preserve"> and, on the earlier to occur of (i) the Final Completion Date and (ii) the expiration of the six-month period commencing on the Completion Date, be applied by the Disbursement Agent as provided in </w:t>
      </w:r>
      <w:r>
        <w:rPr>
          <w:rFonts w:ascii="Times New Roman" w:cs="Times New Roman" w:eastAsia="Times New Roman" w:hAnsi="Times New Roman"/>
          <w:sz w:val="16"/>
          <w:szCs w:val="16"/>
          <w:i w:val="1"/>
          <w:iCs w:val="1"/>
          <w:color w:val="auto"/>
        </w:rPr>
        <w:t>Sections 2.9(e)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2.11</w:t>
      </w:r>
      <w:r>
        <w:rPr>
          <w:rFonts w:ascii="Times New Roman" w:cs="Times New Roman" w:eastAsia="Times New Roman" w:hAnsi="Times New Roman"/>
          <w:sz w:val="16"/>
          <w:szCs w:val="16"/>
          <w:color w:val="auto"/>
        </w:rPr>
        <w:t xml:space="preserve">, as applicable. The deposit of funds into the FF&amp;E Proceeds Account shall not create, vest in, or give the Company any rights to such funds, and the Company shall have no right to draw, obtain the release or otherwise use such funds until (x) the requirements of </w:t>
      </w:r>
      <w:r>
        <w:rPr>
          <w:rFonts w:ascii="Times New Roman" w:cs="Times New Roman" w:eastAsia="Times New Roman" w:hAnsi="Times New Roman"/>
          <w:sz w:val="16"/>
          <w:szCs w:val="16"/>
          <w:i w:val="1"/>
          <w:iCs w:val="1"/>
          <w:color w:val="auto"/>
        </w:rPr>
        <w:t>Section 2.4</w:t>
      </w:r>
      <w:r>
        <w:rPr>
          <w:rFonts w:ascii="Times New Roman" w:cs="Times New Roman" w:eastAsia="Times New Roman" w:hAnsi="Times New Roman"/>
          <w:sz w:val="16"/>
          <w:szCs w:val="16"/>
          <w:color w:val="auto"/>
        </w:rPr>
        <w:t xml:space="preserve"> have been satisfied and (y) the conditions set forth in </w:t>
      </w:r>
      <w:r>
        <w:rPr>
          <w:rFonts w:ascii="Times New Roman" w:cs="Times New Roman" w:eastAsia="Times New Roman" w:hAnsi="Times New Roman"/>
          <w:sz w:val="16"/>
          <w:szCs w:val="16"/>
          <w:i w:val="1"/>
          <w:iCs w:val="1"/>
          <w:color w:val="auto"/>
        </w:rPr>
        <w:t>Sections 3.1, 3.2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3.3</w:t>
      </w:r>
      <w:r>
        <w:rPr>
          <w:rFonts w:ascii="Times New Roman" w:cs="Times New Roman" w:eastAsia="Times New Roman" w:hAnsi="Times New Roman"/>
          <w:sz w:val="16"/>
          <w:szCs w:val="16"/>
          <w:color w:val="auto"/>
        </w:rPr>
        <w:t xml:space="preserve">, as the case may be, have been satisfied or waived in accordance with the terms hereof. The Disbursement Agent shall cause investment income from Permitted Investments on amounts on deposit in the FF&amp;E Proceeds Account to be deposited at all times therein until applied to the payment of Project Costs or applied in accordance with </w:t>
      </w:r>
      <w:r>
        <w:rPr>
          <w:rFonts w:ascii="Times New Roman" w:cs="Times New Roman" w:eastAsia="Times New Roman" w:hAnsi="Times New Roman"/>
          <w:sz w:val="16"/>
          <w:szCs w:val="16"/>
          <w:i w:val="1"/>
          <w:iCs w:val="1"/>
          <w:color w:val="auto"/>
        </w:rPr>
        <w:t>Sections 2.9(e)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2.11</w:t>
      </w:r>
      <w:r>
        <w:rPr>
          <w:rFonts w:ascii="Times New Roman" w:cs="Times New Roman" w:eastAsia="Times New Roman" w:hAnsi="Times New Roman"/>
          <w:sz w:val="16"/>
          <w:szCs w:val="16"/>
          <w:color w:val="auto"/>
        </w:rPr>
        <w:t>, as applicable.</w:t>
      </w:r>
    </w:p>
    <w:p>
      <w:pPr>
        <w:spacing w:after="0" w:line="167" w:lineRule="exact"/>
        <w:rPr>
          <w:sz w:val="20"/>
          <w:szCs w:val="20"/>
          <w:color w:val="auto"/>
        </w:rPr>
      </w:pPr>
    </w:p>
    <w:p>
      <w:pPr>
        <w:ind w:right="120" w:firstLine="351"/>
        <w:spacing w:after="0" w:line="285" w:lineRule="auto"/>
        <w:rPr>
          <w:sz w:val="20"/>
          <w:szCs w:val="20"/>
          <w:color w:val="auto"/>
        </w:rPr>
      </w:pPr>
      <w:r>
        <w:rPr>
          <w:rFonts w:ascii="Times New Roman" w:cs="Times New Roman" w:eastAsia="Times New Roman" w:hAnsi="Times New Roman"/>
          <w:sz w:val="16"/>
          <w:szCs w:val="16"/>
          <w:color w:val="auto"/>
        </w:rPr>
        <w:t xml:space="preserve">2.3.8 </w:t>
      </w:r>
      <w:r>
        <w:rPr>
          <w:rFonts w:ascii="Times New Roman" w:cs="Times New Roman" w:eastAsia="Times New Roman" w:hAnsi="Times New Roman"/>
          <w:sz w:val="16"/>
          <w:szCs w:val="16"/>
          <w:i w:val="1"/>
          <w:iCs w:val="1"/>
          <w:color w:val="auto"/>
        </w:rPr>
        <w:t>Operating Account.</w:t>
      </w:r>
      <w:r>
        <w:rPr>
          <w:rFonts w:ascii="Times New Roman" w:cs="Times New Roman" w:eastAsia="Times New Roman" w:hAnsi="Times New Roman"/>
          <w:sz w:val="16"/>
          <w:szCs w:val="16"/>
          <w:color w:val="auto"/>
        </w:rPr>
        <w:t xml:space="preserve"> On or prior to the Closing Date, the Company shall establish a local deposit account (the "</w:t>
      </w:r>
      <w:r>
        <w:rPr>
          <w:rFonts w:ascii="Times New Roman" w:cs="Times New Roman" w:eastAsia="Times New Roman" w:hAnsi="Times New Roman"/>
          <w:sz w:val="16"/>
          <w:szCs w:val="16"/>
          <w:i w:val="1"/>
          <w:iCs w:val="1"/>
          <w:color w:val="auto"/>
        </w:rPr>
        <w:t>Operating Account</w:t>
      </w:r>
      <w:r>
        <w:rPr>
          <w:rFonts w:ascii="Times New Roman" w:cs="Times New Roman" w:eastAsia="Times New Roman" w:hAnsi="Times New Roman"/>
          <w:sz w:val="16"/>
          <w:szCs w:val="16"/>
          <w:color w:val="auto"/>
        </w:rPr>
        <w:t xml:space="preserve">") in Las Vegas, Nevada at a bank that is reasonably acceptable to the Disbursement Agent and that enters into control agreements in the form of </w:t>
      </w:r>
      <w:r>
        <w:rPr>
          <w:rFonts w:ascii="Times New Roman" w:cs="Times New Roman" w:eastAsia="Times New Roman" w:hAnsi="Times New Roman"/>
          <w:sz w:val="16"/>
          <w:szCs w:val="16"/>
          <w:i w:val="1"/>
          <w:iCs w:val="1"/>
          <w:color w:val="auto"/>
        </w:rPr>
        <w:t>Exhibits Z-1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Z-2 </w:t>
      </w:r>
      <w:r>
        <w:rPr>
          <w:rFonts w:ascii="Times New Roman" w:cs="Times New Roman" w:eastAsia="Times New Roman" w:hAnsi="Times New Roman"/>
          <w:sz w:val="16"/>
          <w:szCs w:val="16"/>
          <w:color w:val="auto"/>
        </w:rPr>
        <w:t>hereto to grant the Bank Lenders and the Second Mortgage Note Holders a first and second priority security interest therein, respectively.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Company shall take such further actions and execute such further documents in connection therewith as the Bank Agent, the Indenture Trustee or the Disbursement Agent may reasonably request in order to perfect or maintain the perfection or priority, to the greatest extent reasonably practicable, of the Liens of the Bank Lenders and the Second Mortgage Note Holders in the Operating Account. There shall be deposited in the Operating Account all revenues received by the Company as a consequence of sales of goods or rendering of services (including, without limitation, revenues from the operations of the art gallery and the gift shop) in the ordinary course of business (including Pre-Opening Deposits) prior to the Completion Date, it being understood that the foregoing shall not apply to On-Site Cash. In addition, there shall be deposited in the Operating Account funds transferred from the Company's Funds Account in accordance with </w:t>
      </w:r>
      <w:r>
        <w:rPr>
          <w:rFonts w:ascii="Times New Roman" w:cs="Times New Roman" w:eastAsia="Times New Roman" w:hAnsi="Times New Roman"/>
          <w:sz w:val="16"/>
          <w:szCs w:val="16"/>
          <w:i w:val="1"/>
          <w:iCs w:val="1"/>
          <w:color w:val="auto"/>
        </w:rPr>
        <w:t>Section 2.3.1</w:t>
      </w:r>
      <w:r>
        <w:rPr>
          <w:rFonts w:ascii="Times New Roman" w:cs="Times New Roman" w:eastAsia="Times New Roman" w:hAnsi="Times New Roman"/>
          <w:sz w:val="16"/>
          <w:szCs w:val="16"/>
          <w:color w:val="auto"/>
        </w:rPr>
        <w:t xml:space="preserve">. Subject to the Disbursement Agent's rights upon the occurrence of an Event of Default, the Company shall be permitted from time to time to draw checks on and otherwise withdraw amounts on deposit in the Operating Account to pay due and payable Operating Costs and, to the extent provided under </w:t>
      </w:r>
      <w:r>
        <w:rPr>
          <w:rFonts w:ascii="Times New Roman" w:cs="Times New Roman" w:eastAsia="Times New Roman" w:hAnsi="Times New Roman"/>
          <w:sz w:val="16"/>
          <w:szCs w:val="16"/>
          <w:i w:val="1"/>
          <w:iCs w:val="1"/>
          <w:color w:val="auto"/>
        </w:rPr>
        <w:t>Section 2.5.4</w:t>
      </w:r>
      <w:r>
        <w:rPr>
          <w:rFonts w:ascii="Times New Roman" w:cs="Times New Roman" w:eastAsia="Times New Roman" w:hAnsi="Times New Roman"/>
          <w:sz w:val="16"/>
          <w:szCs w:val="16"/>
          <w:color w:val="auto"/>
        </w:rPr>
        <w:t xml:space="preserve">, Project Costs. Until the Opening Date, the Company shall at such times as the amounts on deposit in the Operating Account exceed $100,000 promptly withdraw such excess and deposit the same in the Company's Funds Account; </w:t>
      </w:r>
      <w:r>
        <w:rPr>
          <w:rFonts w:ascii="Times New Roman" w:cs="Times New Roman" w:eastAsia="Times New Roman" w:hAnsi="Times New Roman"/>
          <w:sz w:val="16"/>
          <w:szCs w:val="16"/>
          <w:i w:val="1"/>
          <w:iCs w:val="1"/>
          <w:color w:val="auto"/>
        </w:rPr>
        <w:t xml:space="preserve">provided, however, </w:t>
      </w:r>
      <w:r>
        <w:rPr>
          <w:rFonts w:ascii="Times New Roman" w:cs="Times New Roman" w:eastAsia="Times New Roman" w:hAnsi="Times New Roman"/>
          <w:sz w:val="16"/>
          <w:szCs w:val="16"/>
          <w:color w:val="auto"/>
        </w:rPr>
        <w:t>that Pre-Opening Deposits shall be excluded for purposes of determining whether the foregoing $100,000 threshold has been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exceeded. From and after the Opening Date no amounts will be transferred from the Operating Account to the Company's Funds Account. The Disbursement Agent shall cause investment income from Permitted Investments on amounts on deposit in the Operating Account to be deposited at all times therein until applied to the payment of Operating Costs or transferred to the Company's Funds Account in accordance with the preceding sentence. On the Completion Date, the Disbursement Agent shall cause all amounts on deposit in the Operating Account to be transferred to the appropriate "Funding Account" identified by the Bank Agent and established pursuant to </w:t>
      </w:r>
      <w:r>
        <w:rPr>
          <w:rFonts w:ascii="Times New Roman" w:cs="Times New Roman" w:eastAsia="Times New Roman" w:hAnsi="Times New Roman"/>
          <w:sz w:val="16"/>
          <w:szCs w:val="16"/>
          <w:i w:val="1"/>
          <w:iCs w:val="1"/>
          <w:color w:val="auto"/>
        </w:rPr>
        <w:t>Section 6.11(b)</w:t>
      </w:r>
      <w:r>
        <w:rPr>
          <w:rFonts w:ascii="Times New Roman" w:cs="Times New Roman" w:eastAsia="Times New Roman" w:hAnsi="Times New Roman"/>
          <w:sz w:val="16"/>
          <w:szCs w:val="16"/>
          <w:color w:val="auto"/>
        </w:rPr>
        <w:t xml:space="preserve"> of the Bank Credit Agreement.</w:t>
      </w:r>
    </w:p>
    <w:p>
      <w:pPr>
        <w:spacing w:after="0" w:line="389" w:lineRule="exact"/>
        <w:rPr>
          <w:sz w:val="20"/>
          <w:szCs w:val="20"/>
          <w:color w:val="auto"/>
        </w:rPr>
      </w:pPr>
    </w:p>
    <w:p>
      <w:pPr>
        <w:ind w:right="60" w:firstLine="351"/>
        <w:spacing w:after="0" w:line="297" w:lineRule="auto"/>
        <w:rPr>
          <w:sz w:val="20"/>
          <w:szCs w:val="20"/>
          <w:color w:val="auto"/>
        </w:rPr>
      </w:pPr>
      <w:r>
        <w:rPr>
          <w:rFonts w:ascii="Times New Roman" w:cs="Times New Roman" w:eastAsia="Times New Roman" w:hAnsi="Times New Roman"/>
          <w:sz w:val="16"/>
          <w:szCs w:val="16"/>
          <w:color w:val="auto"/>
        </w:rPr>
        <w:t xml:space="preserve">2.3.9 </w:t>
      </w:r>
      <w:r>
        <w:rPr>
          <w:rFonts w:ascii="Times New Roman" w:cs="Times New Roman" w:eastAsia="Times New Roman" w:hAnsi="Times New Roman"/>
          <w:sz w:val="16"/>
          <w:szCs w:val="16"/>
          <w:i w:val="1"/>
          <w:iCs w:val="1"/>
          <w:color w:val="auto"/>
        </w:rPr>
        <w:t>Company's Payment Account.</w:t>
      </w:r>
      <w:r>
        <w:rPr>
          <w:rFonts w:ascii="Times New Roman" w:cs="Times New Roman" w:eastAsia="Times New Roman" w:hAnsi="Times New Roman"/>
          <w:sz w:val="16"/>
          <w:szCs w:val="16"/>
          <w:color w:val="auto"/>
        </w:rPr>
        <w:t xml:space="preserve"> On or prior to the Closing Date, the Company shall establish a local deposit account (the "</w:t>
      </w:r>
      <w:r>
        <w:rPr>
          <w:rFonts w:ascii="Times New Roman" w:cs="Times New Roman" w:eastAsia="Times New Roman" w:hAnsi="Times New Roman"/>
          <w:sz w:val="16"/>
          <w:szCs w:val="16"/>
          <w:i w:val="1"/>
          <w:iCs w:val="1"/>
          <w:color w:val="auto"/>
        </w:rPr>
        <w:t>Company's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 Account</w:t>
      </w:r>
      <w:r>
        <w:rPr>
          <w:rFonts w:ascii="Times New Roman" w:cs="Times New Roman" w:eastAsia="Times New Roman" w:hAnsi="Times New Roman"/>
          <w:sz w:val="16"/>
          <w:szCs w:val="16"/>
          <w:color w:val="auto"/>
        </w:rPr>
        <w:t>") in Las Vegas, Nevada at a bank that is reasonably acceptable to the Disbursement Agent and that enters into control agreements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form of </w:t>
      </w:r>
      <w:r>
        <w:rPr>
          <w:rFonts w:ascii="Times New Roman" w:cs="Times New Roman" w:eastAsia="Times New Roman" w:hAnsi="Times New Roman"/>
          <w:sz w:val="16"/>
          <w:szCs w:val="16"/>
          <w:i w:val="1"/>
          <w:iCs w:val="1"/>
          <w:color w:val="auto"/>
        </w:rPr>
        <w:t>Exhibits Z-1 and Z-2</w:t>
      </w:r>
      <w:r>
        <w:rPr>
          <w:rFonts w:ascii="Times New Roman" w:cs="Times New Roman" w:eastAsia="Times New Roman" w:hAnsi="Times New Roman"/>
          <w:sz w:val="16"/>
          <w:szCs w:val="16"/>
          <w:color w:val="auto"/>
        </w:rPr>
        <w:t xml:space="preserve"> hereto to grant the Bank Lenders and the Second Mortgage Note Holders a first and second priority security interest therein, respectively. The Company shall take such further actions and execute such further documents in connection therewith as the Bank Agent, the Indenture Trustee or the Disbursement Agent may reasonably request in order to perfect or maintain the perfection or priority, to the greatest extent reasonably</w:t>
      </w:r>
    </w:p>
    <w:p>
      <w:pPr>
        <w:spacing w:after="0" w:line="16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6"/>
          <w:szCs w:val="16"/>
          <w:color w:val="auto"/>
        </w:rPr>
        <w:t xml:space="preserve">practicable, of the Liens of the Bank Lenders and the Second Mortgage Note Holders in the Company's Payment Account. Subject to the provisions of </w:t>
      </w:r>
      <w:r>
        <w:rPr>
          <w:rFonts w:ascii="Times New Roman" w:cs="Times New Roman" w:eastAsia="Times New Roman" w:hAnsi="Times New Roman"/>
          <w:sz w:val="16"/>
          <w:szCs w:val="16"/>
          <w:i w:val="1"/>
          <w:iCs w:val="1"/>
          <w:color w:val="auto"/>
        </w:rPr>
        <w:t xml:space="preserve">Section 10.2 </w:t>
      </w:r>
      <w:r>
        <w:rPr>
          <w:rFonts w:ascii="Times New Roman" w:cs="Times New Roman" w:eastAsia="Times New Roman" w:hAnsi="Times New Roman"/>
          <w:sz w:val="16"/>
          <w:szCs w:val="16"/>
          <w:color w:val="auto"/>
        </w:rPr>
        <w:t>and the Company Collateral Account Agreements, on each Advance Date, the Disbursement Agent shall withdraw all funds remaining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deposit in the Disbursement Account after giving effect to the transfers to the Soft Costs Cash Management Account, the Hard Costs Cash Management Account, the Interest Payment Account and the payments to the Prime Contractor and certain other Contractors and/or Subcontractors and/or financial institutions pursuant to </w:t>
      </w:r>
      <w:r>
        <w:rPr>
          <w:rFonts w:ascii="Times New Roman" w:cs="Times New Roman" w:eastAsia="Times New Roman" w:hAnsi="Times New Roman"/>
          <w:sz w:val="16"/>
          <w:szCs w:val="16"/>
          <w:i w:val="1"/>
          <w:iCs w:val="1"/>
          <w:color w:val="auto"/>
        </w:rPr>
        <w:t>Sections 2.6.1(a) through (c)</w:t>
      </w:r>
      <w:r>
        <w:rPr>
          <w:rFonts w:ascii="Times New Roman" w:cs="Times New Roman" w:eastAsia="Times New Roman" w:hAnsi="Times New Roman"/>
          <w:sz w:val="16"/>
          <w:szCs w:val="16"/>
          <w:color w:val="auto"/>
        </w:rPr>
        <w:t xml:space="preserve"> and shall transfer such remaining funds to the Company's Payment Account pursuant to</w:t>
      </w:r>
    </w:p>
    <w:p>
      <w:pPr>
        <w:ind w:right="20"/>
        <w:spacing w:after="0" w:line="295" w:lineRule="auto"/>
        <w:rPr>
          <w:sz w:val="20"/>
          <w:szCs w:val="20"/>
          <w:color w:val="auto"/>
        </w:rPr>
      </w:pPr>
      <w:r>
        <w:rPr>
          <w:rFonts w:ascii="Times New Roman" w:cs="Times New Roman" w:eastAsia="Times New Roman" w:hAnsi="Times New Roman"/>
          <w:sz w:val="16"/>
          <w:szCs w:val="16"/>
          <w:i w:val="1"/>
          <w:iCs w:val="1"/>
          <w:color w:val="auto"/>
        </w:rPr>
        <w:t>Section 2.6.1(d)</w:t>
      </w:r>
      <w:r>
        <w:rPr>
          <w:rFonts w:ascii="Times New Roman" w:cs="Times New Roman" w:eastAsia="Times New Roman" w:hAnsi="Times New Roman"/>
          <w:sz w:val="16"/>
          <w:szCs w:val="16"/>
          <w:color w:val="auto"/>
        </w:rPr>
        <w:t>. Subject to the provisions of</w:t>
      </w:r>
      <w:r>
        <w:rPr>
          <w:rFonts w:ascii="Times New Roman" w:cs="Times New Roman" w:eastAsia="Times New Roman" w:hAnsi="Times New Roman"/>
          <w:sz w:val="16"/>
          <w:szCs w:val="16"/>
          <w:i w:val="1"/>
          <w:iCs w:val="1"/>
          <w:color w:val="auto"/>
        </w:rPr>
        <w:t xml:space="preserve"> Section 10.2 </w:t>
      </w:r>
      <w:r>
        <w:rPr>
          <w:rFonts w:ascii="Times New Roman" w:cs="Times New Roman" w:eastAsia="Times New Roman" w:hAnsi="Times New Roman"/>
          <w:sz w:val="16"/>
          <w:szCs w:val="16"/>
          <w:color w:val="auto"/>
        </w:rPr>
        <w:t>and the Company Collateral Account Agreements, the Company shall be permitted from time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time to draw checks on and otherwise withdraw amounts on deposit in the Company's Payment Account to pay Project Costs in the amounts and to the Contractors and/or Subcontractors listed in the most recent Advance Request (other than the Prime Contractor and any other Contractor or Subcontractor to whom the Disbursement Agent wired funds pursuant to </w:t>
      </w:r>
      <w:r>
        <w:rPr>
          <w:rFonts w:ascii="Times New Roman" w:cs="Times New Roman" w:eastAsia="Times New Roman" w:hAnsi="Times New Roman"/>
          <w:sz w:val="16"/>
          <w:szCs w:val="16"/>
          <w:i w:val="1"/>
          <w:iCs w:val="1"/>
          <w:color w:val="auto"/>
        </w:rPr>
        <w:t>Section 2.6.1(c)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the amount paid during any calendar month to any one</w:t>
      </w:r>
    </w:p>
    <w:p>
      <w:pPr>
        <w:sectPr>
          <w:pgSz w:w="11900" w:h="16909" w:orient="portrait"/>
          <w:cols w:equalWidth="0" w:num="1">
            <w:col w:w="10880"/>
          </w:cols>
          <w:pgMar w:left="780" w:top="123" w:right="239" w:bottom="0" w:gutter="0" w:footer="0" w:header="0"/>
        </w:sectPr>
      </w:pPr>
    </w:p>
    <w:bookmarkStart w:id="13" w:name="page14"/>
    <w:bookmarkEnd w:id="13"/>
    <w:p>
      <w:pPr>
        <w:ind w:left="180" w:right="60"/>
        <w:spacing w:after="0" w:line="258" w:lineRule="auto"/>
        <w:rPr>
          <w:sz w:val="20"/>
          <w:szCs w:val="20"/>
          <w:color w:val="auto"/>
        </w:rPr>
      </w:pPr>
      <w:r>
        <w:rPr>
          <w:rFonts w:ascii="Times New Roman" w:cs="Times New Roman" w:eastAsia="Times New Roman" w:hAnsi="Times New Roman"/>
          <w:sz w:val="18"/>
          <w:szCs w:val="18"/>
          <w:color w:val="auto"/>
        </w:rPr>
        <w:t xml:space="preserve">Contractor or Subcontractor shall not to exceed $7,000,000. On the Final Completion Date, funds remaining in the Company's Payment Account shall be applied by the Disbursement Agent as provided in </w:t>
      </w:r>
      <w:r>
        <w:rPr>
          <w:rFonts w:ascii="Times New Roman" w:cs="Times New Roman" w:eastAsia="Times New Roman" w:hAnsi="Times New Roman"/>
          <w:sz w:val="18"/>
          <w:szCs w:val="18"/>
          <w:i w:val="1"/>
          <w:iCs w:val="1"/>
          <w:color w:val="auto"/>
        </w:rPr>
        <w:t>Section 2.11</w:t>
      </w:r>
      <w:r>
        <w:rPr>
          <w:rFonts w:ascii="Times New Roman" w:cs="Times New Roman" w:eastAsia="Times New Roman" w:hAnsi="Times New Roman"/>
          <w:sz w:val="18"/>
          <w:szCs w:val="18"/>
          <w:color w:val="auto"/>
        </w:rPr>
        <w:t>. The Disbursement Agent shall cause investment income from Permitted Investments on amounts on deposit in the Company's Payment Account to be transferred to and deposited in the Company's Funds Account within two (2) Banking Days following the end of each calendar month.</w:t>
      </w:r>
    </w:p>
    <w:p>
      <w:pPr>
        <w:spacing w:after="0" w:line="188" w:lineRule="exact"/>
        <w:rPr>
          <w:sz w:val="20"/>
          <w:szCs w:val="20"/>
          <w:color w:val="auto"/>
        </w:rPr>
      </w:pPr>
    </w:p>
    <w:p>
      <w:pPr>
        <w:ind w:left="180" w:firstLine="351"/>
        <w:spacing w:after="0" w:line="252" w:lineRule="auto"/>
        <w:rPr>
          <w:sz w:val="20"/>
          <w:szCs w:val="20"/>
          <w:color w:val="auto"/>
        </w:rPr>
      </w:pPr>
      <w:r>
        <w:rPr>
          <w:rFonts w:ascii="Times New Roman" w:cs="Times New Roman" w:eastAsia="Times New Roman" w:hAnsi="Times New Roman"/>
          <w:sz w:val="18"/>
          <w:szCs w:val="18"/>
          <w:color w:val="auto"/>
        </w:rPr>
        <w:t xml:space="preserve">2.3.10 </w:t>
      </w:r>
      <w:r>
        <w:rPr>
          <w:rFonts w:ascii="Times New Roman" w:cs="Times New Roman" w:eastAsia="Times New Roman" w:hAnsi="Times New Roman"/>
          <w:sz w:val="18"/>
          <w:szCs w:val="18"/>
          <w:i w:val="1"/>
          <w:iCs w:val="1"/>
          <w:color w:val="auto"/>
        </w:rPr>
        <w:t>Company's FF&amp;E Payment Account.</w:t>
      </w:r>
      <w:r>
        <w:rPr>
          <w:rFonts w:ascii="Times New Roman" w:cs="Times New Roman" w:eastAsia="Times New Roman" w:hAnsi="Times New Roman"/>
          <w:sz w:val="18"/>
          <w:szCs w:val="18"/>
          <w:color w:val="auto"/>
        </w:rPr>
        <w:t xml:space="preserve"> On or prior to the Closing Date, the Company shall establish a local deposit account (the "</w:t>
      </w:r>
      <w:r>
        <w:rPr>
          <w:rFonts w:ascii="Times New Roman" w:cs="Times New Roman" w:eastAsia="Times New Roman" w:hAnsi="Times New Roman"/>
          <w:sz w:val="18"/>
          <w:szCs w:val="18"/>
          <w:i w:val="1"/>
          <w:iCs w:val="1"/>
          <w:color w:val="auto"/>
        </w:rPr>
        <w:t>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FF&amp;E Payment Account</w:t>
      </w:r>
      <w:r>
        <w:rPr>
          <w:rFonts w:ascii="Times New Roman" w:cs="Times New Roman" w:eastAsia="Times New Roman" w:hAnsi="Times New Roman"/>
          <w:sz w:val="18"/>
          <w:szCs w:val="18"/>
          <w:color w:val="auto"/>
        </w:rPr>
        <w:t>") in Las Vegas, Nevada at a bank that is reasonably acceptable to the Disbursement Agent and that enters into a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in the form of </w:t>
      </w:r>
      <w:r>
        <w:rPr>
          <w:rFonts w:ascii="Times New Roman" w:cs="Times New Roman" w:eastAsia="Times New Roman" w:hAnsi="Times New Roman"/>
          <w:sz w:val="18"/>
          <w:szCs w:val="18"/>
          <w:i w:val="1"/>
          <w:iCs w:val="1"/>
          <w:color w:val="auto"/>
        </w:rPr>
        <w:t>Exhibit Z-3</w:t>
      </w:r>
      <w:r>
        <w:rPr>
          <w:rFonts w:ascii="Times New Roman" w:cs="Times New Roman" w:eastAsia="Times New Roman" w:hAnsi="Times New Roman"/>
          <w:sz w:val="18"/>
          <w:szCs w:val="18"/>
          <w:color w:val="auto"/>
        </w:rPr>
        <w:t xml:space="preserve"> hereto to grant the FF&amp;E Lenders a first priority security interest therein. The Company shall take such further actions and execute such further documents in connection therewith as the FF&amp;E Agent or the Disbursement Agent may reasonably request in order to perfect or maintain the perfection or priority, to the greatest extent reasonably practicable, of the Liens of the FF&amp;E Lenders in the Company's FF&amp;E Payment Account. Subject to the provisions of </w:t>
      </w:r>
      <w:r>
        <w:rPr>
          <w:rFonts w:ascii="Times New Roman" w:cs="Times New Roman" w:eastAsia="Times New Roman" w:hAnsi="Times New Roman"/>
          <w:sz w:val="18"/>
          <w:szCs w:val="18"/>
          <w:i w:val="1"/>
          <w:iCs w:val="1"/>
          <w:color w:val="auto"/>
        </w:rPr>
        <w:t>Section 10.2</w:t>
      </w:r>
      <w:r>
        <w:rPr>
          <w:rFonts w:ascii="Times New Roman" w:cs="Times New Roman" w:eastAsia="Times New Roman" w:hAnsi="Times New Roman"/>
          <w:sz w:val="18"/>
          <w:szCs w:val="18"/>
          <w:color w:val="auto"/>
        </w:rPr>
        <w:t xml:space="preserve"> and the FF&amp;E Local Company Collateral Account Agreement, on each Advance Date, the Disbursement Agent shall withdraw all funds remaining on deposit in the FF&amp;E Proceeds Account after giving effect to the transfers to the Soft Costs Cash Management Account, the Hard Costs Cash Management Account and the payments to the Contractors and/or Subcontractors and/or financial institutions pursuant to </w:t>
      </w:r>
      <w:r>
        <w:rPr>
          <w:rFonts w:ascii="Times New Roman" w:cs="Times New Roman" w:eastAsia="Times New Roman" w:hAnsi="Times New Roman"/>
          <w:sz w:val="18"/>
          <w:szCs w:val="18"/>
          <w:i w:val="1"/>
          <w:iCs w:val="1"/>
          <w:color w:val="auto"/>
        </w:rPr>
        <w:t>Sections 2.6.1(e)</w:t>
      </w:r>
      <w:r>
        <w:rPr>
          <w:rFonts w:ascii="Times New Roman" w:cs="Times New Roman" w:eastAsia="Times New Roman" w:hAnsi="Times New Roman"/>
          <w:sz w:val="18"/>
          <w:szCs w:val="18"/>
          <w:color w:val="auto"/>
        </w:rPr>
        <w:t xml:space="preserve"> and shall transfer such remaining funds to the Company's FF&amp;E Payment Account pursuant to </w:t>
      </w:r>
      <w:r>
        <w:rPr>
          <w:rFonts w:ascii="Times New Roman" w:cs="Times New Roman" w:eastAsia="Times New Roman" w:hAnsi="Times New Roman"/>
          <w:sz w:val="18"/>
          <w:szCs w:val="18"/>
          <w:i w:val="1"/>
          <w:iCs w:val="1"/>
          <w:color w:val="auto"/>
        </w:rPr>
        <w:t>Section 2.6.1(f)</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i w:val="1"/>
          <w:iCs w:val="1"/>
          <w:color w:val="auto"/>
        </w:rPr>
        <w:t>Section 10.2</w:t>
      </w:r>
      <w:r>
        <w:rPr>
          <w:rFonts w:ascii="Times New Roman" w:cs="Times New Roman" w:eastAsia="Times New Roman" w:hAnsi="Times New Roman"/>
          <w:sz w:val="18"/>
          <w:szCs w:val="18"/>
          <w:color w:val="auto"/>
        </w:rPr>
        <w:t xml:space="preserve"> and the FF&amp;E Local Company Collateral Account Agreement, the Company shall be permitted from time to time to draw checks on and otherwise withdraw amounts on deposit in the Company's FF&amp;E Payment Account to pay Project Costs relating to the FF&amp;E Component in the amounts and to the Contractors and/or Subcontractors listed in the most recent Advance Request (other than those Contractors or Subcontractors to whom the Disbursement Agent wired funds pursuant to </w:t>
      </w:r>
      <w:r>
        <w:rPr>
          <w:rFonts w:ascii="Times New Roman" w:cs="Times New Roman" w:eastAsia="Times New Roman" w:hAnsi="Times New Roman"/>
          <w:sz w:val="18"/>
          <w:szCs w:val="18"/>
          <w:i w:val="1"/>
          <w:iCs w:val="1"/>
          <w:color w:val="auto"/>
        </w:rPr>
        <w:t>Section 2.6.1(e)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paid during any calendar month to any one Contractor or Subcontractor shall not to exceed $7,000,000. On the Final Completion Date, funds remaining in the Company's FF&amp;E Payment Account shall be applied by the Disbursement Agent as provided in </w:t>
      </w:r>
      <w:r>
        <w:rPr>
          <w:rFonts w:ascii="Times New Roman" w:cs="Times New Roman" w:eastAsia="Times New Roman" w:hAnsi="Times New Roman"/>
          <w:sz w:val="18"/>
          <w:szCs w:val="18"/>
          <w:i w:val="1"/>
          <w:iCs w:val="1"/>
          <w:color w:val="auto"/>
        </w:rPr>
        <w:t>Section 2.11</w:t>
      </w:r>
      <w:r>
        <w:rPr>
          <w:rFonts w:ascii="Times New Roman" w:cs="Times New Roman" w:eastAsia="Times New Roman" w:hAnsi="Times New Roman"/>
          <w:sz w:val="18"/>
          <w:szCs w:val="18"/>
          <w:color w:val="auto"/>
        </w:rPr>
        <w:t>. The Disbursement Agent shall cause investment income from Permitted Investments on amounts on deposit in the Company's FF&amp;E Payment Account to be transferred to and deposited in the Company's Funds Account within two (2) Banking Days following the end of each calendar month.</w:t>
      </w:r>
    </w:p>
    <w:p>
      <w:pPr>
        <w:spacing w:after="0" w:line="195" w:lineRule="exact"/>
        <w:rPr>
          <w:sz w:val="20"/>
          <w:szCs w:val="20"/>
          <w:color w:val="auto"/>
        </w:rPr>
      </w:pPr>
    </w:p>
    <w:p>
      <w:pPr>
        <w:ind w:left="180" w:right="4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2.3.11 </w:t>
      </w:r>
      <w:r>
        <w:rPr>
          <w:rFonts w:ascii="Times New Roman" w:cs="Times New Roman" w:eastAsia="Times New Roman" w:hAnsi="Times New Roman"/>
          <w:sz w:val="18"/>
          <w:szCs w:val="18"/>
          <w:i w:val="1"/>
          <w:iCs w:val="1"/>
          <w:color w:val="auto"/>
        </w:rPr>
        <w:t>Completion Guaranty Deposit Account.</w:t>
      </w:r>
      <w:r>
        <w:rPr>
          <w:rFonts w:ascii="Times New Roman" w:cs="Times New Roman" w:eastAsia="Times New Roman" w:hAnsi="Times New Roman"/>
          <w:sz w:val="18"/>
          <w:szCs w:val="18"/>
          <w:color w:val="auto"/>
        </w:rPr>
        <w:t xml:space="preserve"> On or prior to the Closing Date, there shall be established at Deutsche Bank Trust Company Americas, as the Securities Intermediary, the Completion Guaranty Deposit Account pursuant to the Completion Guaranty Collateral Account Agreements. There shall be deposited into the Completion Guaranty Deposit Account all cash</w:t>
      </w:r>
    </w:p>
    <w:p>
      <w:pPr>
        <w:spacing w:after="0" w:line="18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120"/>
        <w:spacing w:after="0" w:line="286" w:lineRule="auto"/>
        <w:rPr>
          <w:sz w:val="20"/>
          <w:szCs w:val="20"/>
          <w:color w:val="auto"/>
        </w:rPr>
      </w:pPr>
      <w:r>
        <w:rPr>
          <w:rFonts w:ascii="Times New Roman" w:cs="Times New Roman" w:eastAsia="Times New Roman" w:hAnsi="Times New Roman"/>
          <w:sz w:val="16"/>
          <w:szCs w:val="16"/>
          <w:color w:val="auto"/>
        </w:rPr>
        <w:t xml:space="preserve">amounts described in </w:t>
      </w:r>
      <w:r>
        <w:rPr>
          <w:rFonts w:ascii="Times New Roman" w:cs="Times New Roman" w:eastAsia="Times New Roman" w:hAnsi="Times New Roman"/>
          <w:sz w:val="16"/>
          <w:szCs w:val="16"/>
          <w:i w:val="1"/>
          <w:iCs w:val="1"/>
          <w:color w:val="auto"/>
        </w:rPr>
        <w:t>Section 3.1.25(c)</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i w:val="1"/>
          <w:iCs w:val="1"/>
          <w:color w:val="auto"/>
        </w:rPr>
        <w:t>Section 10.2</w:t>
      </w:r>
      <w:r>
        <w:rPr>
          <w:rFonts w:ascii="Times New Roman" w:cs="Times New Roman" w:eastAsia="Times New Roman" w:hAnsi="Times New Roman"/>
          <w:sz w:val="16"/>
          <w:szCs w:val="16"/>
          <w:color w:val="auto"/>
        </w:rPr>
        <w:t xml:space="preserve"> and the Completion Guaranty Collateral Account Agreements, amounts on deposit in the Completion Guaranty Deposit Account shall, from time to time, be transferred or applied by the Disbursement Agent (a) to the Company's Funds Account in accordance with </w:t>
      </w:r>
      <w:r>
        <w:rPr>
          <w:rFonts w:ascii="Times New Roman" w:cs="Times New Roman" w:eastAsia="Times New Roman" w:hAnsi="Times New Roman"/>
          <w:sz w:val="16"/>
          <w:szCs w:val="16"/>
          <w:i w:val="1"/>
          <w:iCs w:val="1"/>
          <w:color w:val="auto"/>
        </w:rPr>
        <w:t>Section 5.8.3(b)</w:t>
      </w:r>
      <w:r>
        <w:rPr>
          <w:rFonts w:ascii="Times New Roman" w:cs="Times New Roman" w:eastAsia="Times New Roman" w:hAnsi="Times New Roman"/>
          <w:sz w:val="16"/>
          <w:szCs w:val="16"/>
          <w:color w:val="auto"/>
        </w:rPr>
        <w:t xml:space="preserve"> and thereafter transferred to the Disbursement Account or (b) to the Disbursement Account in accordance with </w:t>
      </w:r>
      <w:r>
        <w:rPr>
          <w:rFonts w:ascii="Times New Roman" w:cs="Times New Roman" w:eastAsia="Times New Roman" w:hAnsi="Times New Roman"/>
          <w:sz w:val="16"/>
          <w:szCs w:val="16"/>
          <w:i w:val="1"/>
          <w:iCs w:val="1"/>
          <w:color w:val="auto"/>
        </w:rPr>
        <w:t>Section 5.8.3(c)</w:t>
      </w:r>
      <w:r>
        <w:rPr>
          <w:rFonts w:ascii="Times New Roman" w:cs="Times New Roman" w:eastAsia="Times New Roman" w:hAnsi="Times New Roman"/>
          <w:sz w:val="16"/>
          <w:szCs w:val="16"/>
          <w:color w:val="auto"/>
        </w:rPr>
        <w:t xml:space="preserve">, in each case, for application to pay Project Costs in accordance with </w:t>
      </w:r>
      <w:r>
        <w:rPr>
          <w:rFonts w:ascii="Times New Roman" w:cs="Times New Roman" w:eastAsia="Times New Roman" w:hAnsi="Times New Roman"/>
          <w:sz w:val="16"/>
          <w:szCs w:val="16"/>
          <w:i w:val="1"/>
          <w:iCs w:val="1"/>
          <w:color w:val="auto"/>
        </w:rPr>
        <w:t>Sections 2.4.4(a)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2.5.4</w:t>
      </w:r>
      <w:r>
        <w:rPr>
          <w:rFonts w:ascii="Times New Roman" w:cs="Times New Roman" w:eastAsia="Times New Roman" w:hAnsi="Times New Roman"/>
          <w:sz w:val="16"/>
          <w:szCs w:val="16"/>
          <w:color w:val="auto"/>
        </w:rPr>
        <w:t xml:space="preserve"> or</w:t>
      </w:r>
    </w:p>
    <w:p>
      <w:pPr>
        <w:spacing w:after="0" w:line="2" w:lineRule="exact"/>
        <w:rPr>
          <w:sz w:val="20"/>
          <w:szCs w:val="20"/>
          <w:color w:val="auto"/>
        </w:rPr>
      </w:pPr>
    </w:p>
    <w:p>
      <w:pPr>
        <w:ind w:left="180" w:right="260" w:firstLine="8"/>
        <w:spacing w:after="0" w:line="252" w:lineRule="auto"/>
        <w:tabs>
          <w:tab w:leader="none" w:pos="4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applied to prepayment of the Obligations in accordance with </w:t>
      </w:r>
      <w:r>
        <w:rPr>
          <w:rFonts w:ascii="Times New Roman" w:cs="Times New Roman" w:eastAsia="Times New Roman" w:hAnsi="Times New Roman"/>
          <w:sz w:val="18"/>
          <w:szCs w:val="18"/>
          <w:i w:val="1"/>
          <w:iCs w:val="1"/>
          <w:color w:val="auto"/>
        </w:rPr>
        <w:t>Section 5.21</w:t>
      </w:r>
      <w:r>
        <w:rPr>
          <w:rFonts w:ascii="Times New Roman" w:cs="Times New Roman" w:eastAsia="Times New Roman" w:hAnsi="Times New Roman"/>
          <w:sz w:val="18"/>
          <w:szCs w:val="18"/>
          <w:color w:val="auto"/>
        </w:rPr>
        <w:t xml:space="preserve">. The Disbursement Agent shall cause investment income from Permitted Investments on amounts on deposit in the Completion Guaranty Deposit Account to be transferred to and deposited in the Company's Funds Account within two (2) Banking Days following the end of each calendar month. The Disbursement Agent shall release all amounts remaining on deposit in the Completion Guaranty Account, other than the Reserved Amounts, to the Completion Guarantor on the Completion Guaranty Release Date. The Disbursement Agent shall release all amounts remaining on deposit in the Completion Guaranty Deposit Account to the Completion Guarantor on the Final Completion Date in accordance with </w:t>
      </w:r>
      <w:r>
        <w:rPr>
          <w:rFonts w:ascii="Times New Roman" w:cs="Times New Roman" w:eastAsia="Times New Roman" w:hAnsi="Times New Roman"/>
          <w:sz w:val="18"/>
          <w:szCs w:val="18"/>
          <w:i w:val="1"/>
          <w:iCs w:val="1"/>
          <w:color w:val="auto"/>
        </w:rPr>
        <w:t>Section 2.11</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80" w:firstLine="351"/>
        <w:spacing w:after="0" w:line="289" w:lineRule="auto"/>
        <w:rPr>
          <w:sz w:val="20"/>
          <w:szCs w:val="20"/>
          <w:color w:val="auto"/>
        </w:rPr>
      </w:pPr>
      <w:r>
        <w:rPr>
          <w:rFonts w:ascii="Times New Roman" w:cs="Times New Roman" w:eastAsia="Times New Roman" w:hAnsi="Times New Roman"/>
          <w:sz w:val="16"/>
          <w:szCs w:val="16"/>
          <w:color w:val="auto"/>
        </w:rPr>
        <w:t xml:space="preserve">2.3.12 </w:t>
      </w:r>
      <w:r>
        <w:rPr>
          <w:rFonts w:ascii="Times New Roman" w:cs="Times New Roman" w:eastAsia="Times New Roman" w:hAnsi="Times New Roman"/>
          <w:sz w:val="16"/>
          <w:szCs w:val="16"/>
          <w:i w:val="1"/>
          <w:iCs w:val="1"/>
          <w:color w:val="auto"/>
        </w:rPr>
        <w:t>Project Liquidity Reserve Account.</w:t>
      </w:r>
      <w:r>
        <w:rPr>
          <w:rFonts w:ascii="Times New Roman" w:cs="Times New Roman" w:eastAsia="Times New Roman" w:hAnsi="Times New Roman"/>
          <w:sz w:val="16"/>
          <w:szCs w:val="16"/>
          <w:color w:val="auto"/>
        </w:rPr>
        <w:t xml:space="preserve"> On or prior to the Closing Date, there shall be established at Deutsche Bank Trust Company Americas, as the Securities Intermediary, the Project Liquidity Reserve Account pursuant to the Company Collateral Account Agreements. There shall be deposited into the Project Liquidity Reserve Account all cash amounts described in </w:t>
      </w:r>
      <w:r>
        <w:rPr>
          <w:rFonts w:ascii="Times New Roman" w:cs="Times New Roman" w:eastAsia="Times New Roman" w:hAnsi="Times New Roman"/>
          <w:sz w:val="16"/>
          <w:szCs w:val="16"/>
          <w:i w:val="1"/>
          <w:iCs w:val="1"/>
          <w:color w:val="auto"/>
        </w:rPr>
        <w:t>Section 3.1.25(d)</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i w:val="1"/>
          <w:iCs w:val="1"/>
          <w:color w:val="auto"/>
        </w:rPr>
        <w:t>Section 10.2</w:t>
      </w:r>
      <w:r>
        <w:rPr>
          <w:rFonts w:ascii="Times New Roman" w:cs="Times New Roman" w:eastAsia="Times New Roman" w:hAnsi="Times New Roman"/>
          <w:sz w:val="16"/>
          <w:szCs w:val="16"/>
          <w:color w:val="auto"/>
        </w:rPr>
        <w:t xml:space="preserve"> and the Company Collateral Account Agreements, amounts on deposit in the Project Liquidity Reserve Account shall, from time to time, be transferred by the Disbursement Agent to the Company's Funds Account in accordance with </w:t>
      </w:r>
      <w:r>
        <w:rPr>
          <w:rFonts w:ascii="Times New Roman" w:cs="Times New Roman" w:eastAsia="Times New Roman" w:hAnsi="Times New Roman"/>
          <w:sz w:val="16"/>
          <w:szCs w:val="16"/>
          <w:i w:val="1"/>
          <w:iCs w:val="1"/>
          <w:color w:val="auto"/>
        </w:rPr>
        <w:t>Section 5.8.3(b)</w:t>
      </w:r>
      <w:r>
        <w:rPr>
          <w:rFonts w:ascii="Times New Roman" w:cs="Times New Roman" w:eastAsia="Times New Roman" w:hAnsi="Times New Roman"/>
          <w:sz w:val="16"/>
          <w:szCs w:val="16"/>
          <w:color w:val="auto"/>
        </w:rPr>
        <w:t xml:space="preserve"> and thereafter transferred by the Disbursement Agent to the Disbursement Account for application to pay Project Costs in accordance with </w:t>
      </w:r>
      <w:r>
        <w:rPr>
          <w:rFonts w:ascii="Times New Roman" w:cs="Times New Roman" w:eastAsia="Times New Roman" w:hAnsi="Times New Roman"/>
          <w:sz w:val="16"/>
          <w:szCs w:val="16"/>
          <w:i w:val="1"/>
          <w:iCs w:val="1"/>
          <w:color w:val="auto"/>
        </w:rPr>
        <w:t>Section 2.4.4(a)</w:t>
      </w:r>
      <w:r>
        <w:rPr>
          <w:rFonts w:ascii="Times New Roman" w:cs="Times New Roman" w:eastAsia="Times New Roman" w:hAnsi="Times New Roman"/>
          <w:sz w:val="16"/>
          <w:szCs w:val="16"/>
          <w:color w:val="auto"/>
        </w:rPr>
        <w:t xml:space="preserve"> or applied by the Disbursement Agent to prepayment of the Obligations in accordance with </w:t>
      </w:r>
      <w:r>
        <w:rPr>
          <w:rFonts w:ascii="Times New Roman" w:cs="Times New Roman" w:eastAsia="Times New Roman" w:hAnsi="Times New Roman"/>
          <w:sz w:val="16"/>
          <w:szCs w:val="16"/>
          <w:i w:val="1"/>
          <w:iCs w:val="1"/>
          <w:color w:val="auto"/>
        </w:rPr>
        <w:t>Section 5.21.</w:t>
      </w:r>
      <w:r>
        <w:rPr>
          <w:rFonts w:ascii="Times New Roman" w:cs="Times New Roman" w:eastAsia="Times New Roman" w:hAnsi="Times New Roman"/>
          <w:sz w:val="16"/>
          <w:szCs w:val="16"/>
          <w:color w:val="auto"/>
        </w:rPr>
        <w:t xml:space="preserve"> From and after the Completion Date, amounts on deposit in the Project Liquidity Reserve Account shall be applied by the Bank Agent as provided in </w:t>
      </w:r>
      <w:r>
        <w:rPr>
          <w:rFonts w:ascii="Times New Roman" w:cs="Times New Roman" w:eastAsia="Times New Roman" w:hAnsi="Times New Roman"/>
          <w:sz w:val="16"/>
          <w:szCs w:val="16"/>
          <w:i w:val="1"/>
          <w:iCs w:val="1"/>
          <w:color w:val="auto"/>
        </w:rPr>
        <w:t>Section 7.27</w:t>
      </w:r>
      <w:r>
        <w:rPr>
          <w:rFonts w:ascii="Times New Roman" w:cs="Times New Roman" w:eastAsia="Times New Roman" w:hAnsi="Times New Roman"/>
          <w:sz w:val="16"/>
          <w:szCs w:val="16"/>
          <w:color w:val="auto"/>
        </w:rPr>
        <w:t xml:space="preserve"> of the Bank Credit Agreement and </w:t>
      </w:r>
      <w:r>
        <w:rPr>
          <w:rFonts w:ascii="Times New Roman" w:cs="Times New Roman" w:eastAsia="Times New Roman" w:hAnsi="Times New Roman"/>
          <w:sz w:val="16"/>
          <w:szCs w:val="16"/>
          <w:i w:val="1"/>
          <w:iCs w:val="1"/>
          <w:color w:val="auto"/>
        </w:rPr>
        <w:t>Section 10.03</w:t>
      </w:r>
      <w:r>
        <w:rPr>
          <w:rFonts w:ascii="Times New Roman" w:cs="Times New Roman" w:eastAsia="Times New Roman" w:hAnsi="Times New Roman"/>
          <w:sz w:val="16"/>
          <w:szCs w:val="16"/>
          <w:color w:val="auto"/>
        </w:rPr>
        <w:t xml:space="preserve"> of the Second Mortgage Notes Indenture. The Disbursement Agent shall cause investment income from Permitted Investments on amounts on deposit in the Project Liquidity Reserve Account to be transferred to and deposited in the Company's Funds Account within two (2) Banking Days following the end of each calendar month.</w:t>
      </w:r>
    </w:p>
    <w:p>
      <w:pPr>
        <w:spacing w:after="0" w:line="3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b w:val="1"/>
          <w:bCs w:val="1"/>
          <w:i w:val="1"/>
          <w:iCs w:val="1"/>
          <w:color w:val="auto"/>
        </w:rPr>
        <w:t>Mechanics for Obtaining Advances.</w:t>
      </w:r>
    </w:p>
    <w:p>
      <w:pPr>
        <w:spacing w:after="0" w:line="227"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i w:val="1"/>
          <w:iCs w:val="1"/>
          <w:color w:val="auto"/>
        </w:rPr>
        <w:t>Preliminary Notices From the Company.</w:t>
      </w:r>
    </w:p>
    <w:p>
      <w:pPr>
        <w:spacing w:after="0" w:line="225" w:lineRule="exact"/>
        <w:rPr>
          <w:sz w:val="20"/>
          <w:szCs w:val="20"/>
          <w:color w:val="auto"/>
        </w:rPr>
      </w:pPr>
    </w:p>
    <w:p>
      <w:pPr>
        <w:ind w:left="720" w:firstLine="351"/>
        <w:spacing w:after="0" w:line="234"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i w:val="1"/>
          <w:iCs w:val="1"/>
          <w:color w:val="auto"/>
        </w:rPr>
        <w:t>Section 2.2.2</w:t>
      </w:r>
      <w:r>
        <w:rPr>
          <w:rFonts w:ascii="Times New Roman" w:cs="Times New Roman" w:eastAsia="Times New Roman" w:hAnsi="Times New Roman"/>
          <w:sz w:val="18"/>
          <w:szCs w:val="18"/>
          <w:color w:val="auto"/>
        </w:rPr>
        <w:t>, the Company shall have the right, from time to time, to deliver to the Disbursement Agent and the Construction Consultant a preliminary Advance Request requesting that an Advance be made on or after the seventeenth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delivery of such preliminary Advance Request appropriately completed and duly executed including all necessary exhibits, attachments and certificates (other than the Construction Consultant's Advance Certificate);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have completed its internal audit of the Project Costs described in such preliminary Advance Request.</w:t>
      </w:r>
    </w:p>
    <w:p>
      <w:pPr>
        <w:spacing w:after="0" w:line="207" w:lineRule="exact"/>
        <w:rPr>
          <w:sz w:val="20"/>
          <w:szCs w:val="20"/>
          <w:color w:val="auto"/>
        </w:rPr>
      </w:pPr>
    </w:p>
    <w:p>
      <w:pPr>
        <w:ind w:left="720" w:right="20" w:firstLine="360"/>
        <w:spacing w:after="0" w:line="256" w:lineRule="auto"/>
        <w:tabs>
          <w:tab w:leader="none" w:pos="13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preliminary Advance Request shall include, among other things, the Prime Contractor's Advance Certificate, the Golf Course Contractor's Advance Certificate, the Golf Course Designer's Advance Certificate and the Aqua Theater Designer's Advance Certificate, in each case, to the extent that such Advance Request requests that payment be made to such Person or to any Contractor or Subcontractor implementing the work designed by such Person. The Company's preliminary Advance Request shall also include, among other things, a certificate with respect to such Advance Request, in the form of </w:t>
      </w:r>
      <w:r>
        <w:rPr>
          <w:rFonts w:ascii="Times New Roman" w:cs="Times New Roman" w:eastAsia="Times New Roman" w:hAnsi="Times New Roman"/>
          <w:sz w:val="18"/>
          <w:szCs w:val="18"/>
          <w:i w:val="1"/>
          <w:iCs w:val="1"/>
          <w:color w:val="auto"/>
        </w:rPr>
        <w:t>Exhibit C-3</w:t>
      </w:r>
    </w:p>
    <w:p>
      <w:pPr>
        <w:sectPr>
          <w:pgSz w:w="11900" w:h="16838" w:orient="portrait"/>
          <w:cols w:equalWidth="0" w:num="1">
            <w:col w:w="11040"/>
          </w:cols>
          <w:pgMar w:left="600" w:top="125" w:right="259" w:bottom="744" w:gutter="0" w:footer="0" w:header="0"/>
        </w:sectPr>
      </w:pPr>
    </w:p>
    <w:p>
      <w:pPr>
        <w:spacing w:after="0" w:line="1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25" w:right="259" w:bottom="744" w:gutter="0" w:footer="0" w:header="0"/>
          <w:type w:val="continuous"/>
        </w:sectPr>
      </w:pPr>
    </w:p>
    <w:bookmarkStart w:id="14" w:name="page15"/>
    <w:bookmarkEnd w:id="14"/>
    <w:p>
      <w:pPr>
        <w:ind w:left="720" w:right="460"/>
        <w:spacing w:after="0" w:line="275" w:lineRule="auto"/>
        <w:rPr>
          <w:sz w:val="20"/>
          <w:szCs w:val="20"/>
          <w:color w:val="auto"/>
        </w:rPr>
      </w:pPr>
      <w:r>
        <w:rPr>
          <w:rFonts w:ascii="Times New Roman" w:cs="Times New Roman" w:eastAsia="Times New Roman" w:hAnsi="Times New Roman"/>
          <w:sz w:val="18"/>
          <w:szCs w:val="18"/>
          <w:color w:val="auto"/>
        </w:rPr>
        <w:t>confirming, among other things, the substantial conformity of construction undertaken to date with the Final Plans and Specifications for the Project (the "</w:t>
      </w:r>
      <w:r>
        <w:rPr>
          <w:rFonts w:ascii="Times New Roman" w:cs="Times New Roman" w:eastAsia="Times New Roman" w:hAnsi="Times New Roman"/>
          <w:sz w:val="18"/>
          <w:szCs w:val="18"/>
          <w:i w:val="1"/>
          <w:iCs w:val="1"/>
          <w:color w:val="auto"/>
        </w:rPr>
        <w:t>Project Architect's Advance Certificate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720" w:right="40" w:firstLine="360"/>
        <w:spacing w:after="0" w:line="301" w:lineRule="auto"/>
        <w:tabs>
          <w:tab w:leader="none" w:pos="1354"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delivery by the Company of each preliminary Advance Request pursuant to subsection (a) above, the Company shall deliver (i) to the FF&amp;E Agent, a copy of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to the preliminary Advance Request and (ii) to the Funding Agents and the Disbursement Agent a preliminary Notice of Advance Request in the form of </w:t>
      </w:r>
      <w:r>
        <w:rPr>
          <w:rFonts w:ascii="Times New Roman" w:cs="Times New Roman" w:eastAsia="Times New Roman" w:hAnsi="Times New Roman"/>
          <w:sz w:val="16"/>
          <w:szCs w:val="16"/>
          <w:i w:val="1"/>
          <w:iCs w:val="1"/>
          <w:color w:val="auto"/>
        </w:rPr>
        <w:t>Exhibit D</w:t>
      </w:r>
      <w:r>
        <w:rPr>
          <w:rFonts w:ascii="Times New Roman" w:cs="Times New Roman" w:eastAsia="Times New Roman" w:hAnsi="Times New Roman"/>
          <w:sz w:val="16"/>
          <w:szCs w:val="16"/>
          <w:color w:val="auto"/>
        </w:rPr>
        <w:t xml:space="preserve"> hereto. Such preliminary Notice of Advance Request shall reference the requested Advance Date set forth in the preliminary Advance Request and shall contain the other information required thereby.</w:t>
      </w:r>
    </w:p>
    <w:p>
      <w:pPr>
        <w:spacing w:after="0" w:line="157" w:lineRule="exact"/>
        <w:rPr>
          <w:rFonts w:ascii="Times New Roman" w:cs="Times New Roman" w:eastAsia="Times New Roman" w:hAnsi="Times New Roman"/>
          <w:sz w:val="16"/>
          <w:szCs w:val="16"/>
          <w:color w:val="auto"/>
        </w:rPr>
      </w:pPr>
    </w:p>
    <w:p>
      <w:pPr>
        <w:ind w:left="1380" w:hanging="300"/>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Advance Request delivered by the Company pursuant to subsection (a) above shall request Advances in order to</w:t>
      </w:r>
    </w:p>
    <w:p>
      <w:pPr>
        <w:spacing w:after="0" w:line="21" w:lineRule="exact"/>
        <w:rPr>
          <w:rFonts w:ascii="Times New Roman" w:cs="Times New Roman" w:eastAsia="Times New Roman" w:hAnsi="Times New Roman"/>
          <w:sz w:val="18"/>
          <w:szCs w:val="18"/>
          <w:color w:val="auto"/>
        </w:rPr>
      </w:pPr>
    </w:p>
    <w:p>
      <w:pPr>
        <w:ind w:left="720" w:right="20" w:firstLine="8"/>
        <w:spacing w:after="0" w:line="283" w:lineRule="auto"/>
        <w:tabs>
          <w:tab w:leader="none" w:pos="9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until the Completion Date, pay interest and fees under the Bank Credit Agreement, the Second Mortgage Notes, and the FF&amp;E Facility which will become due and payable on or after the requested Advance Date and prior to the next succeeding Advance Date, and/or (ii) pay other Project Costs estimated to become due and payable on or prior to the requested Advance Date (with respect to the initial Advance Request to be delivered hereunder, the Company shall request $38,000,000 be advanced under the FF&amp;E Facility to refinance the purchase of the Aircraft described in the first sentence of </w:t>
      </w:r>
      <w:r>
        <w:rPr>
          <w:rFonts w:ascii="Times New Roman" w:cs="Times New Roman" w:eastAsia="Times New Roman" w:hAnsi="Times New Roman"/>
          <w:sz w:val="16"/>
          <w:szCs w:val="16"/>
          <w:i w:val="1"/>
          <w:iCs w:val="1"/>
          <w:color w:val="auto"/>
        </w:rPr>
        <w:t>Section 2.5.5</w:t>
      </w:r>
      <w:r>
        <w:rPr>
          <w:rFonts w:ascii="Times New Roman" w:cs="Times New Roman" w:eastAsia="Times New Roman" w:hAnsi="Times New Roman"/>
          <w:sz w:val="16"/>
          <w:szCs w:val="16"/>
          <w:color w:val="auto"/>
        </w:rPr>
        <w:t xml:space="preserve">), and/or (iii) issue a Letter of Credit under the Bank Credit Facility, and/or (iv) replenish funds, or increase funds on deposit, in the Soft Costs Cash Management Account or the Hard Costs Cash Management Account (or, with respect to the initial Advance Request to be delivered hereunder, the Company shall request that $2,500,000 be deposited in the Soft Costs Cash Management Account and $3,000,000 be deposited in the Hard Costs Cash Management Account) or the Operating Account to the extent necessary to pay Operating Costs set forth in the Project Budget anticipated to become due and payable through the end of the ensuing calendar month. The Company shall not be permitted to obtain Advances for the purpose of paying Debt Service at any time after the Completion Date. Each such preliminary Advance Request shall include an estimated cash flow for the requested Advance broken down by Contractor and Line Item and shall certify as to various matters including, without limitation, (1) funding sequence, (2) accuracy of the Project Budget, (3) Line Item allocations, (4) application of proceeds, (5) with respect to the Advance that will leave an amount equal to but not more than the Second Mortgage Notes Interest Reserve Amount in the Second Mortgage Notes Proceeds Account,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to the Advance Request indicating the items of Eligible FF&amp;E Equipment in respect of which any Advances will have been made from the Company's Funds Account or the Second Mortgage Notes Proceeds Account and which the Company would like to designate as FF&amp;E Component and cover with the FF&amp;E Reimbursement Advance and also indicating value thereof (segregated between amounts associated with "Gaming Equipment," "Non-Gaming Equipment" and "Transaction Costs," each as defined in the FF&amp;E Facility Agreement) and (6) with respect to each Advance thereafter,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to the Advance Request indicating the items of Eligible FF&amp;E Equipment that the Company would like to designate as FF&amp;E Component and for which an Advance is requested under the FF&amp;E Facility in such Advance Request. Promptly after delivery of each preliminary Advance Request, the Disbursement Agent and the Construction Consultant shall review such Advance Request and attachments thereto to determine whether all required documentation has been provided, and shall use commercially reasonable efforts to notify the Company of any deficiency within three (3) Banking Days after delivery thereof by the Company, it being acknowledged that any failure to notify the Company of any deficiency in the Advance Request so delivered within the aforesaid time period shall in no event be deemed an approval thereof. The Construction Consultant also shall review the work referenced in such preliminary Advance Request, including work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estimated to be completed through the applicable Advance Date as such work is being performed.</w:t>
      </w:r>
    </w:p>
    <w:p>
      <w:pPr>
        <w:spacing w:after="0" w:line="223" w:lineRule="exact"/>
        <w:rPr>
          <w:sz w:val="20"/>
          <w:szCs w:val="20"/>
          <w:color w:val="auto"/>
        </w:rPr>
      </w:pPr>
    </w:p>
    <w:p>
      <w:pPr>
        <w:ind w:left="720" w:firstLine="360"/>
        <w:spacing w:after="0" w:line="284" w:lineRule="auto"/>
        <w:tabs>
          <w:tab w:leader="none" w:pos="135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FF&amp;E Agent shall have the right to disapprove any items of Eligible FF&amp;E Collateral listed by the Company in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to the Company's preliminary Advance Request as items to be funded in part by the FF&amp;E Facility pursuant to the FF&amp;E Reimbursement Advance or </w:t>
      </w:r>
      <w:r>
        <w:rPr>
          <w:rFonts w:ascii="Times New Roman" w:cs="Times New Roman" w:eastAsia="Times New Roman" w:hAnsi="Times New Roman"/>
          <w:sz w:val="16"/>
          <w:szCs w:val="16"/>
          <w:i w:val="1"/>
          <w:iCs w:val="1"/>
          <w:color w:val="auto"/>
        </w:rPr>
        <w:t>Section 2.5.1(a)(iii); provided, however</w:t>
      </w:r>
      <w:r>
        <w:rPr>
          <w:rFonts w:ascii="Times New Roman" w:cs="Times New Roman" w:eastAsia="Times New Roman" w:hAnsi="Times New Roman"/>
          <w:sz w:val="16"/>
          <w:szCs w:val="16"/>
          <w:color w:val="auto"/>
        </w:rPr>
        <w:t>, that the FF&amp;E Agent's failure to so disapprove any items of Eligible FF&amp;E Equipment identified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Company on such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on or before the date the Company delivers the final Advance Request pursuant to </w:t>
      </w:r>
      <w:r>
        <w:rPr>
          <w:rFonts w:ascii="Times New Roman" w:cs="Times New Roman" w:eastAsia="Times New Roman" w:hAnsi="Times New Roman"/>
          <w:sz w:val="16"/>
          <w:szCs w:val="16"/>
          <w:i w:val="1"/>
          <w:iCs w:val="1"/>
          <w:color w:val="auto"/>
        </w:rPr>
        <w:t>Section 2.4.2</w:t>
      </w:r>
      <w:r>
        <w:rPr>
          <w:rFonts w:ascii="Times New Roman" w:cs="Times New Roman" w:eastAsia="Times New Roman" w:hAnsi="Times New Roman"/>
          <w:sz w:val="16"/>
          <w:szCs w:val="16"/>
          <w:color w:val="auto"/>
        </w:rPr>
        <w:t xml:space="preserve"> below shall be deemed to constitute the FF&amp;E Agent's and the FF&amp;E Lenders' approval thereof and the items of Eligible FF&amp;E Equipment identified on such </w:t>
      </w:r>
      <w:r>
        <w:rPr>
          <w:rFonts w:ascii="Times New Roman" w:cs="Times New Roman" w:eastAsia="Times New Roman" w:hAnsi="Times New Roman"/>
          <w:sz w:val="16"/>
          <w:szCs w:val="16"/>
          <w:i w:val="1"/>
          <w:iCs w:val="1"/>
          <w:color w:val="auto"/>
        </w:rPr>
        <w:t xml:space="preserve">Appendix XI </w:t>
      </w:r>
      <w:r>
        <w:rPr>
          <w:rFonts w:ascii="Times New Roman" w:cs="Times New Roman" w:eastAsia="Times New Roman" w:hAnsi="Times New Roman"/>
          <w:sz w:val="16"/>
          <w:szCs w:val="16"/>
          <w:color w:val="auto"/>
        </w:rPr>
        <w:t>shall be funded in part by the FF&amp;E Facility pursuant to the FF&amp;E Reimbursement Advance or</w:t>
      </w:r>
      <w:r>
        <w:rPr>
          <w:rFonts w:ascii="Times New Roman" w:cs="Times New Roman" w:eastAsia="Times New Roman" w:hAnsi="Times New Roman"/>
          <w:sz w:val="16"/>
          <w:szCs w:val="16"/>
          <w:i w:val="1"/>
          <w:iCs w:val="1"/>
          <w:color w:val="auto"/>
        </w:rPr>
        <w:t xml:space="preserve"> Section 2.5.1(a)(iii) </w:t>
      </w:r>
      <w:r>
        <w:rPr>
          <w:rFonts w:ascii="Times New Roman" w:cs="Times New Roman" w:eastAsia="Times New Roman" w:hAnsi="Times New Roman"/>
          <w:sz w:val="16"/>
          <w:szCs w:val="16"/>
          <w:color w:val="auto"/>
        </w:rPr>
        <w:t>, as the case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be, and thereafter comprise a portion of the FF&amp;E Component financed under the FF&amp;E Facility. In the event that the FF&amp;E Agent timely disapproves any items of Eligible FF&amp;E Collateral listed on such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the Company shall have the option of either removing such items from the final Advance Request or requesting in the final Advance Request that such items be financed by Resort Component Funding Sources pursuant to </w:t>
      </w:r>
      <w:r>
        <w:rPr>
          <w:rFonts w:ascii="Times New Roman" w:cs="Times New Roman" w:eastAsia="Times New Roman" w:hAnsi="Times New Roman"/>
          <w:sz w:val="16"/>
          <w:szCs w:val="16"/>
          <w:i w:val="1"/>
          <w:iCs w:val="1"/>
          <w:color w:val="auto"/>
        </w:rPr>
        <w:t>Section 2.5.2</w:t>
      </w:r>
      <w:r>
        <w:rPr>
          <w:rFonts w:ascii="Times New Roman" w:cs="Times New Roman" w:eastAsia="Times New Roman" w:hAnsi="Times New Roman"/>
          <w:sz w:val="16"/>
          <w:szCs w:val="16"/>
          <w:color w:val="auto"/>
        </w:rPr>
        <w:t xml:space="preserve">. Notwithstanding anything to the contrary in this </w:t>
      </w:r>
      <w:r>
        <w:rPr>
          <w:rFonts w:ascii="Times New Roman" w:cs="Times New Roman" w:eastAsia="Times New Roman" w:hAnsi="Times New Roman"/>
          <w:sz w:val="16"/>
          <w:szCs w:val="16"/>
          <w:i w:val="1"/>
          <w:iCs w:val="1"/>
          <w:color w:val="auto"/>
        </w:rPr>
        <w:t>Section 2.4.1(e)</w:t>
      </w:r>
      <w:r>
        <w:rPr>
          <w:rFonts w:ascii="Times New Roman" w:cs="Times New Roman" w:eastAsia="Times New Roman" w:hAnsi="Times New Roman"/>
          <w:sz w:val="16"/>
          <w:szCs w:val="16"/>
          <w:color w:val="auto"/>
        </w:rPr>
        <w:t xml:space="preserve">, the FF&amp;E Agent shall have no right (1) to disapprove any items of Eligible FF&amp;E Collateral consisting of "Gaming Equipment" or "Transaction Costs" associated with Gaming Equipment (each as defined in the FF&amp;E Facility Agreement) listed by the Company in </w:t>
      </w:r>
      <w:r>
        <w:rPr>
          <w:rFonts w:ascii="Times New Roman" w:cs="Times New Roman" w:eastAsia="Times New Roman" w:hAnsi="Times New Roman"/>
          <w:sz w:val="16"/>
          <w:szCs w:val="16"/>
          <w:i w:val="1"/>
          <w:iCs w:val="1"/>
          <w:color w:val="auto"/>
        </w:rPr>
        <w:t>Appendix XI</w:t>
      </w:r>
      <w:r>
        <w:rPr>
          <w:rFonts w:ascii="Times New Roman" w:cs="Times New Roman" w:eastAsia="Times New Roman" w:hAnsi="Times New Roman"/>
          <w:sz w:val="16"/>
          <w:szCs w:val="16"/>
          <w:color w:val="auto"/>
        </w:rPr>
        <w:t xml:space="preserve"> to the Company's preliminary Advance Request from and after the time that (A) the aggregate of the unutilized "Gaming Equipment Commitments" specified in the FF&amp;E Facility and amounts on deposit in the FF&amp;E Proceeds Account is greater than or equal to (B) the aggregate Remaining Costs for Line Items allocated to Eligible FF&amp;E Equipment consisting of "Gaming Equipment" and "Transaction Costs" associated with Gaming Equipment (each as defined in the FF&amp;E Facility Agreement) which has not yet been purchased; and (2) to disapprove any items of Eligible FF&amp;E Collateral consisting of "Non-Gaming Equipment" or "Transaction Costs" associated with Non-Gaming Equipment (each as defined in the FF&amp;E Facility Agreement) listed by the Company in </w:t>
      </w:r>
      <w:r>
        <w:rPr>
          <w:rFonts w:ascii="Times New Roman" w:cs="Times New Roman" w:eastAsia="Times New Roman" w:hAnsi="Times New Roman"/>
          <w:sz w:val="16"/>
          <w:szCs w:val="16"/>
          <w:i w:val="1"/>
          <w:iCs w:val="1"/>
          <w:color w:val="auto"/>
        </w:rPr>
        <w:t xml:space="preserve">Appendix XI </w:t>
      </w:r>
      <w:r>
        <w:rPr>
          <w:rFonts w:ascii="Times New Roman" w:cs="Times New Roman" w:eastAsia="Times New Roman" w:hAnsi="Times New Roman"/>
          <w:sz w:val="16"/>
          <w:szCs w:val="16"/>
          <w:color w:val="auto"/>
        </w:rPr>
        <w:t>to the Company's preliminary Advance Request from and after the time that (A) the aggregate of the unutilized "Non-Gaming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Equipment Commitments" under the FF&amp;E Facility and amounts on deposit in the FF&amp;E Proceeds Account (excluding amounts on deposit in the FF&amp;E Proceeds Account counted in clause (1)(A) above) is greater than or equal to (B) the aggregate Remaining Costs for Line Items allocated to Eligible FF&amp;E Equipment consisting of "Non-Gaming Equipment" and "Transaction Costs" associated with Non-Gaming Equipment (each as defined in the FF&amp;E Facility Agreement) which has not yet been purchased.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6"/>
          <w:szCs w:val="16"/>
          <w:i w:val="1"/>
          <w:iCs w:val="1"/>
          <w:color w:val="auto"/>
        </w:rPr>
        <w:t>Final Notices From the Company.</w:t>
      </w:r>
    </w:p>
    <w:p>
      <w:pPr>
        <w:spacing w:after="0" w:line="225" w:lineRule="exact"/>
        <w:rPr>
          <w:sz w:val="20"/>
          <w:szCs w:val="20"/>
          <w:color w:val="auto"/>
        </w:rPr>
      </w:pPr>
    </w:p>
    <w:p>
      <w:pPr>
        <w:ind w:left="720" w:right="320" w:firstLine="360"/>
        <w:spacing w:after="0" w:line="290" w:lineRule="auto"/>
        <w:tabs>
          <w:tab w:leader="none" w:pos="13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the right, with respect to each preliminary Advance Request delivered in accordance with </w:t>
      </w:r>
      <w:r>
        <w:rPr>
          <w:rFonts w:ascii="Times New Roman" w:cs="Times New Roman" w:eastAsia="Times New Roman" w:hAnsi="Times New Roman"/>
          <w:sz w:val="16"/>
          <w:szCs w:val="16"/>
          <w:i w:val="1"/>
          <w:iCs w:val="1"/>
          <w:color w:val="auto"/>
        </w:rPr>
        <w:t>Section 2.4.1(a)</w:t>
      </w:r>
      <w:r>
        <w:rPr>
          <w:rFonts w:ascii="Times New Roman" w:cs="Times New Roman" w:eastAsia="Times New Roman" w:hAnsi="Times New Roman"/>
          <w:sz w:val="16"/>
          <w:szCs w:val="16"/>
          <w:color w:val="auto"/>
        </w:rPr>
        <w:t xml:space="preserve"> above, to deliver to the Disbursement Agent and the Construction Consultant a final Advance Request containing all exhibits, attachments and certificates required thereby, to the extent that such exhibits, attachments and certificates were not previously delivered with the preliminary Advance Request or have been modified subsequent to such delivery (other than the Construction Consultant's Advance Certificate), all appropriately completed and duly executed by a Responsible Officer of the Company. Each final Advance Request shall be accompanied by a letter identifying and reconciling any corrections made between the preliminary Advance Request and the final Advance Request. Each final Advance Request shall be delivered no later than eight (8) Banking Days prior to the requested Advance Date (it being understood that the Company may request an Advance Date that is later than the date originally requested pursuant to the preliminary Advance Request).</w:t>
      </w:r>
    </w:p>
    <w:p>
      <w:pPr>
        <w:sectPr>
          <w:pgSz w:w="11900" w:h="16838" w:orient="portrait"/>
          <w:cols w:equalWidth="0" w:num="1">
            <w:col w:w="11060"/>
          </w:cols>
          <w:pgMar w:left="600" w:top="125" w:right="239" w:bottom="0" w:gutter="0" w:footer="0" w:header="0"/>
        </w:sectPr>
      </w:pPr>
    </w:p>
    <w:bookmarkStart w:id="15" w:name="page16"/>
    <w:bookmarkEnd w:id="15"/>
    <w:p>
      <w:pPr>
        <w:ind w:left="4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60"/>
        <w:spacing w:after="0" w:line="253"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by the Company of each final Advance Request pursuant to subsection (a) above, the Company shall deliver to each Funding Agent and the Disbursement Agent a final Notice of Advance Request appropriately completed and duly executed by a Responsible Officer of the Company, which final Notice of Advance request shall include </w:t>
      </w:r>
      <w:r>
        <w:rPr>
          <w:rFonts w:ascii="Times New Roman" w:cs="Times New Roman" w:eastAsia="Times New Roman" w:hAnsi="Times New Roman"/>
          <w:sz w:val="18"/>
          <w:szCs w:val="18"/>
          <w:i w:val="1"/>
          <w:iCs w:val="1"/>
          <w:color w:val="auto"/>
        </w:rPr>
        <w:t>Appendix XI</w:t>
      </w:r>
      <w:r>
        <w:rPr>
          <w:rFonts w:ascii="Times New Roman" w:cs="Times New Roman" w:eastAsia="Times New Roman" w:hAnsi="Times New Roman"/>
          <w:sz w:val="18"/>
          <w:szCs w:val="18"/>
          <w:color w:val="auto"/>
        </w:rPr>
        <w:t xml:space="preserve"> to the Advance Request as approved, deemed approved and/or revised pursuant to </w:t>
      </w:r>
      <w:r>
        <w:rPr>
          <w:rFonts w:ascii="Times New Roman" w:cs="Times New Roman" w:eastAsia="Times New Roman" w:hAnsi="Times New Roman"/>
          <w:sz w:val="18"/>
          <w:szCs w:val="18"/>
          <w:i w:val="1"/>
          <w:iCs w:val="1"/>
          <w:color w:val="auto"/>
        </w:rPr>
        <w:t>Section 2.4.1(e)</w:t>
      </w:r>
      <w:r>
        <w:rPr>
          <w:rFonts w:ascii="Times New Roman" w:cs="Times New Roman" w:eastAsia="Times New Roman" w:hAnsi="Times New Roman"/>
          <w:sz w:val="18"/>
          <w:szCs w:val="18"/>
          <w:color w:val="auto"/>
        </w:rPr>
        <w:t xml:space="preserve"> above. Each final Notice of Advance Request shall state that pursuant to an Advance Request being concurrently delivered to the Disbursement Agent, the Company is requesting that an Advance be made on the Advance Date set forth in such final Advance Request. Each Funding Agent shall, as soon as practicable (but no later than two (2) Banking Days) after receiving each final Notice of Advance Request, deliver a notice confirming such receipt to the Disbursement Agent and, in the case of the Bank Agent and the FF&amp;E Agent, confirming that the Company's calculation of interest and fees to become due and payable under their respective Facilities on and after the requested Advance Date and through the scheduled next succeeding Advance Date is accurate (or, if not accurate, shall provide the appropriate revisions to the Disbursement Agent).</w:t>
      </w:r>
    </w:p>
    <w:p>
      <w:pPr>
        <w:spacing w:after="0" w:line="194" w:lineRule="exact"/>
        <w:rPr>
          <w:rFonts w:ascii="Times New Roman" w:cs="Times New Roman" w:eastAsia="Times New Roman" w:hAnsi="Times New Roman"/>
          <w:sz w:val="18"/>
          <w:szCs w:val="18"/>
          <w:color w:val="auto"/>
        </w:rPr>
      </w:pPr>
    </w:p>
    <w:p>
      <w:pPr>
        <w:ind w:right="80" w:firstLine="360"/>
        <w:spacing w:after="0" w:line="253" w:lineRule="auto"/>
        <w:tabs>
          <w:tab w:leader="none" w:pos="6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days (but in no event later than four (4) Banking Days prior to the requested Advance Date) after its receipt of each final Advance Request pursuant to subsection (a) above, the Construction Consultant shall deliver directly to the Disbursement Agent (with a copy to the Company) its certificate with respect to such Advance Request, in the form of </w:t>
      </w:r>
      <w:r>
        <w:rPr>
          <w:rFonts w:ascii="Times New Roman" w:cs="Times New Roman" w:eastAsia="Times New Roman" w:hAnsi="Times New Roman"/>
          <w:sz w:val="18"/>
          <w:szCs w:val="18"/>
          <w:i w:val="1"/>
          <w:iCs w:val="1"/>
          <w:color w:val="auto"/>
        </w:rPr>
        <w:t>Exhibit C-2</w:t>
      </w:r>
      <w:r>
        <w:rPr>
          <w:rFonts w:ascii="Times New Roman" w:cs="Times New Roman" w:eastAsia="Times New Roman" w:hAnsi="Times New Roman"/>
          <w:sz w:val="18"/>
          <w:szCs w:val="18"/>
          <w:color w:val="auto"/>
        </w:rPr>
        <w:t xml:space="preserve"> either approving or disapproving the Advance Request (the "</w:t>
      </w:r>
      <w:r>
        <w:rPr>
          <w:rFonts w:ascii="Times New Roman" w:cs="Times New Roman" w:eastAsia="Times New Roman" w:hAnsi="Times New Roman"/>
          <w:sz w:val="18"/>
          <w:szCs w:val="18"/>
          <w:i w:val="1"/>
          <w:iCs w:val="1"/>
          <w:color w:val="auto"/>
        </w:rPr>
        <w:t>Construction Consultant's Advance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Construction Consultant disapproves one or more particular payments or disbursements to any Contractor or Subcontractor requested by the Advance Request, but the Advance Request otherwise complies with the requirements hereof, then the Construction Consultant shall approve the Advance Request and all payments and disbursements requested therein other than the particular payments or disbursements so disapproved. If the Construction Consultant disapproves the Advance Request or any one or more particular payments requested therein, the Construction Consultant shall provide the Company, in reasonable detail, its reason(s) for such disapproval.</w:t>
      </w:r>
    </w:p>
    <w:p>
      <w:pPr>
        <w:spacing w:after="0" w:line="197" w:lineRule="exact"/>
        <w:rPr>
          <w:rFonts w:ascii="Times New Roman" w:cs="Times New Roman" w:eastAsia="Times New Roman" w:hAnsi="Times New Roman"/>
          <w:sz w:val="18"/>
          <w:szCs w:val="18"/>
          <w:color w:val="auto"/>
        </w:rPr>
      </w:pPr>
    </w:p>
    <w:p>
      <w:pPr>
        <w:ind w:left="-180" w:right="80" w:firstLine="540"/>
        <w:spacing w:after="0" w:line="501" w:lineRule="auto"/>
        <w:tabs>
          <w:tab w:leader="none" w:pos="6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 request therefor, the Disbursement Agent shall deliver copies of any Advance Request to the Funding Agents. 2.4.3 </w:t>
      </w:r>
      <w:r>
        <w:rPr>
          <w:rFonts w:ascii="Times New Roman" w:cs="Times New Roman" w:eastAsia="Times New Roman" w:hAnsi="Times New Roman"/>
          <w:sz w:val="18"/>
          <w:szCs w:val="18"/>
          <w:i w:val="1"/>
          <w:iCs w:val="1"/>
          <w:color w:val="auto"/>
        </w:rPr>
        <w:t>Funding Notices from Disbursement Agent.</w:t>
      </w:r>
    </w:p>
    <w:p>
      <w:pPr>
        <w:ind w:right="40" w:firstLine="360"/>
        <w:spacing w:after="0" w:line="253"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Promptly after delivery of each final Advance Request and related final Notice of Advance Request by the Company pursuant to </w:t>
      </w:r>
      <w:r>
        <w:rPr>
          <w:rFonts w:ascii="Times New Roman" w:cs="Times New Roman" w:eastAsia="Times New Roman" w:hAnsi="Times New Roman"/>
          <w:sz w:val="18"/>
          <w:szCs w:val="18"/>
          <w:i w:val="1"/>
          <w:iCs w:val="1"/>
          <w:color w:val="auto"/>
        </w:rPr>
        <w:t xml:space="preserve">Section 2.4.2(a)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 </w:t>
      </w:r>
      <w:r>
        <w:rPr>
          <w:rFonts w:ascii="Times New Roman" w:cs="Times New Roman" w:eastAsia="Times New Roman" w:hAnsi="Times New Roman"/>
          <w:sz w:val="18"/>
          <w:szCs w:val="18"/>
          <w:color w:val="auto"/>
        </w:rPr>
        <w:t>above, the Disbursement Agent shall review the same in order to reconcile the information set forth in the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Request with the information set forth in the related Notice of Advance Request and determine whether all required documentation has been provided and whether all applicable conditions precedent pursuant to this Agreement have been satisfied. In particular, and without limiting the generality of the foregoing, the Disbursement Agent shall verify, to the extent contemplated herein, based on information provided to it by the Funding Agents, the Company and the Construction Consultant, (A) the Company's calculation of Available Funds, including Anticipated Earnings, set forth in the Advance Request, (B) that the Project is In Balance, (C) that the allocation of the requested Advance among the various funding sources complies with the provisions of </w:t>
      </w:r>
      <w:r>
        <w:rPr>
          <w:rFonts w:ascii="Times New Roman" w:cs="Times New Roman" w:eastAsia="Times New Roman" w:hAnsi="Times New Roman"/>
          <w:sz w:val="18"/>
          <w:szCs w:val="18"/>
          <w:i w:val="1"/>
          <w:iCs w:val="1"/>
          <w:color w:val="auto"/>
        </w:rPr>
        <w:t>Section 2.5</w:t>
      </w:r>
      <w:r>
        <w:rPr>
          <w:rFonts w:ascii="Times New Roman" w:cs="Times New Roman" w:eastAsia="Times New Roman" w:hAnsi="Times New Roman"/>
          <w:sz w:val="18"/>
          <w:szCs w:val="18"/>
          <w:color w:val="auto"/>
        </w:rPr>
        <w:t xml:space="preserve">, and (D) that the Company's calculation of interest and fees to become due and payable under the Bank Credit Agreement, the Second Mortgage Notes and the FF&amp;E Facility, in each case, from and after the requested Advance Date and prior to the immediately succeeding Advance Date, is accurate. Subject to the other subsections of this </w:t>
      </w:r>
      <w:r>
        <w:rPr>
          <w:rFonts w:ascii="Times New Roman" w:cs="Times New Roman" w:eastAsia="Times New Roman" w:hAnsi="Times New Roman"/>
          <w:sz w:val="18"/>
          <w:szCs w:val="18"/>
          <w:i w:val="1"/>
          <w:iCs w:val="1"/>
          <w:color w:val="auto"/>
        </w:rPr>
        <w:t>Section 2.4</w:t>
      </w:r>
      <w:r>
        <w:rPr>
          <w:rFonts w:ascii="Times New Roman" w:cs="Times New Roman" w:eastAsia="Times New Roman" w:hAnsi="Times New Roman"/>
          <w:sz w:val="18"/>
          <w:szCs w:val="18"/>
          <w:color w:val="auto"/>
        </w:rPr>
        <w:t xml:space="preserve">, at such time as the Disbursement Agent has received the Construction Consultant's Advance Certificate as required by </w:t>
      </w:r>
      <w:r>
        <w:rPr>
          <w:rFonts w:ascii="Times New Roman" w:cs="Times New Roman" w:eastAsia="Times New Roman" w:hAnsi="Times New Roman"/>
          <w:sz w:val="18"/>
          <w:szCs w:val="18"/>
          <w:i w:val="1"/>
          <w:iCs w:val="1"/>
          <w:color w:val="auto"/>
        </w:rPr>
        <w:t>Section 2.4.2(c)</w:t>
      </w:r>
      <w:r>
        <w:rPr>
          <w:rFonts w:ascii="Times New Roman" w:cs="Times New Roman" w:eastAsia="Times New Roman" w:hAnsi="Times New Roman"/>
          <w:sz w:val="18"/>
          <w:szCs w:val="18"/>
          <w:color w:val="auto"/>
        </w:rPr>
        <w:t xml:space="preserve"> , and otherwise</w:t>
      </w:r>
    </w:p>
    <w:p>
      <w:pPr>
        <w:spacing w:after="0" w:line="19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 xml:space="preserve">determines that the applicable conditions precedent set forth in </w:t>
      </w:r>
      <w:r>
        <w:rPr>
          <w:rFonts w:ascii="Times New Roman" w:cs="Times New Roman" w:eastAsia="Times New Roman" w:hAnsi="Times New Roman"/>
          <w:sz w:val="18"/>
          <w:szCs w:val="18"/>
          <w:i w:val="1"/>
          <w:iCs w:val="1"/>
          <w:color w:val="auto"/>
        </w:rPr>
        <w:t>Article 3</w:t>
      </w:r>
      <w:r>
        <w:rPr>
          <w:rFonts w:ascii="Times New Roman" w:cs="Times New Roman" w:eastAsia="Times New Roman" w:hAnsi="Times New Roman"/>
          <w:sz w:val="18"/>
          <w:szCs w:val="18"/>
          <w:color w:val="auto"/>
        </w:rPr>
        <w:t xml:space="preserve"> with respect to a requested Advance have been satisfied, but no less than three (3) Banking Days prior to the requested Advance Date, the Disbursement Agent shall countersign the Notice of Advance Request and deliver the same to the Company and each of the Funding Agents (as so countersigned, an "</w:t>
      </w:r>
      <w:r>
        <w:rPr>
          <w:rFonts w:ascii="Times New Roman" w:cs="Times New Roman" w:eastAsia="Times New Roman" w:hAnsi="Times New Roman"/>
          <w:sz w:val="18"/>
          <w:szCs w:val="18"/>
          <w:i w:val="1"/>
          <w:iCs w:val="1"/>
          <w:color w:val="auto"/>
        </w:rPr>
        <w:t>Advance Confirmation Notice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40" w:firstLine="360"/>
        <w:spacing w:after="0" w:line="285" w:lineRule="auto"/>
        <w:tabs>
          <w:tab w:leader="none" w:pos="119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pursuant to </w:t>
      </w:r>
      <w:r>
        <w:rPr>
          <w:rFonts w:ascii="Times New Roman" w:cs="Times New Roman" w:eastAsia="Times New Roman" w:hAnsi="Times New Roman"/>
          <w:sz w:val="16"/>
          <w:szCs w:val="16"/>
          <w:i w:val="1"/>
          <w:iCs w:val="1"/>
          <w:color w:val="auto"/>
        </w:rPr>
        <w:t>Section 2.4.2(c)</w:t>
      </w:r>
      <w:r>
        <w:rPr>
          <w:rFonts w:ascii="Times New Roman" w:cs="Times New Roman" w:eastAsia="Times New Roman" w:hAnsi="Times New Roman"/>
          <w:sz w:val="16"/>
          <w:szCs w:val="16"/>
          <w:color w:val="auto"/>
        </w:rPr>
        <w:t xml:space="preserve">, the Construction Consultant approves only a portion of the payments or disbursements requested by the Advance Request or, if based on its review of the Advance Request and accompanying Notice of Advance Request, the Disbursement Agent finds any minor or purely mathematical errors or inaccuracies in the Advance Request or the Notice of Advance Request (including any inaccuracy in the allocations made pursuant to </w:t>
      </w:r>
      <w:r>
        <w:rPr>
          <w:rFonts w:ascii="Times New Roman" w:cs="Times New Roman" w:eastAsia="Times New Roman" w:hAnsi="Times New Roman"/>
          <w:sz w:val="16"/>
          <w:szCs w:val="16"/>
          <w:i w:val="1"/>
          <w:iCs w:val="1"/>
          <w:color w:val="auto"/>
        </w:rPr>
        <w:t>Section 2.5</w:t>
      </w:r>
      <w:r>
        <w:rPr>
          <w:rFonts w:ascii="Times New Roman" w:cs="Times New Roman" w:eastAsia="Times New Roman" w:hAnsi="Times New Roman"/>
          <w:sz w:val="16"/>
          <w:szCs w:val="16"/>
          <w:color w:val="auto"/>
        </w:rPr>
        <w:t xml:space="preserve"> hereof), but the Advance Request and Notice of Advance Request otherwise conform to the requirements of this Agreement, the Disbursement Agent shall (A) notify the Company thereof, (B) revise (to the extent it is able to do so) or request that the Company revise such certificates to remove the request for the disapproved payment and/or rectify any errors or inaccuracies, (C) deliver or request that the Company execute and deliver to the Funding Agents the revised Notice of Advance Request and (D) approve the requested Advance and issue the Advance Confirmation Notice after making the required revisions (or receiving from the Company the revised certificates) on the basis of the certificates as so revised. In the event that the Disbursement Agent revises the Advance Request and Notice of Advance Request so as to increase the amounts to be advanced under the Bank Credit Facility or the FF&amp;E Facility, the amounts of such increase shall constitute the same type of Loans as requested in such Advance Request (unless otherwise prohibited under the Bank Credit Agreement or the FF&amp;E Facility Agreement, as applicable). In the event that the Disbursement Agent revises the Advance Request and Notice of Advance Request so as to decrease the amounts to be advanced under the Bank Credit Facility or the FF&amp;E Facility, the amounts of such decrease shall (unless otherwise requested by the Company and permitted under the Bank Credit Agreement or the FF&amp;E Facility Agreement, as applicable) first reduce the amount of Base Rate Loans requested under such Facility and then reduce the amount of Eurodollar Loans requested under such Facility. All references to a particular requested Advance, Advance Request or Notice of Advance Request in the ensuing provisions of this </w:t>
      </w:r>
      <w:r>
        <w:rPr>
          <w:rFonts w:ascii="Times New Roman" w:cs="Times New Roman" w:eastAsia="Times New Roman" w:hAnsi="Times New Roman"/>
          <w:sz w:val="16"/>
          <w:szCs w:val="16"/>
          <w:i w:val="1"/>
          <w:iCs w:val="1"/>
          <w:color w:val="auto"/>
        </w:rPr>
        <w:t xml:space="preserve">Article 2 </w:t>
      </w:r>
      <w:r>
        <w:rPr>
          <w:rFonts w:ascii="Times New Roman" w:cs="Times New Roman" w:eastAsia="Times New Roman" w:hAnsi="Times New Roman"/>
          <w:sz w:val="16"/>
          <w:szCs w:val="16"/>
          <w:color w:val="auto"/>
        </w:rPr>
        <w:t>shall, to the extent the context so requires, refer to the same as revised or modified pursuant to the preceding sentence.</w:t>
      </w:r>
    </w:p>
    <w:p>
      <w:pPr>
        <w:spacing w:after="0" w:line="391" w:lineRule="exact"/>
        <w:rPr>
          <w:rFonts w:ascii="Times New Roman" w:cs="Times New Roman" w:eastAsia="Times New Roman" w:hAnsi="Times New Roman"/>
          <w:sz w:val="16"/>
          <w:szCs w:val="16"/>
          <w:color w:val="auto"/>
        </w:rPr>
      </w:pPr>
    </w:p>
    <w:p>
      <w:pPr>
        <w:ind w:firstLine="360"/>
        <w:spacing w:after="0" w:line="289" w:lineRule="auto"/>
        <w:tabs>
          <w:tab w:leader="none" w:pos="64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the Disbursement Agent (i) on or prior to the requested Advance Date determines pursuant to </w:t>
      </w:r>
      <w:r>
        <w:rPr>
          <w:rFonts w:ascii="Times New Roman" w:cs="Times New Roman" w:eastAsia="Times New Roman" w:hAnsi="Times New Roman"/>
          <w:sz w:val="16"/>
          <w:szCs w:val="16"/>
          <w:i w:val="1"/>
          <w:iCs w:val="1"/>
          <w:color w:val="auto"/>
        </w:rPr>
        <w:t>Section 2.4.3(a)</w:t>
      </w:r>
      <w:r>
        <w:rPr>
          <w:rFonts w:ascii="Times New Roman" w:cs="Times New Roman" w:eastAsia="Times New Roman" w:hAnsi="Times New Roman"/>
          <w:sz w:val="16"/>
          <w:szCs w:val="16"/>
          <w:color w:val="auto"/>
        </w:rPr>
        <w:t xml:space="preserve"> that the conditions precedent to an Advance have not been satisfied or (ii) prior to the requested Advance Date receives notice from any Funding Agent that a Potential Event of Default or an Event of Default has occurred and is continuing, then the Disbursement Agent shall notify the Company and each Funding Agent thereof as soon as reasonably possible but in no event later than one (1) Banking Day after such determination or receipt, as the case may be (a "</w:t>
      </w:r>
      <w:r>
        <w:rPr>
          <w:rFonts w:ascii="Times New Roman" w:cs="Times New Roman" w:eastAsia="Times New Roman" w:hAnsi="Times New Roman"/>
          <w:sz w:val="16"/>
          <w:szCs w:val="16"/>
          <w:i w:val="1"/>
          <w:iCs w:val="1"/>
          <w:color w:val="auto"/>
        </w:rPr>
        <w:t>Stop Funding Notice</w:t>
      </w:r>
      <w:r>
        <w:rPr>
          <w:rFonts w:ascii="Times New Roman" w:cs="Times New Roman" w:eastAsia="Times New Roman" w:hAnsi="Times New Roman"/>
          <w:sz w:val="16"/>
          <w:szCs w:val="16"/>
          <w:color w:val="auto"/>
        </w:rPr>
        <w:t xml:space="preserve">"). The Stop Funding Notice shall specify, in reasonable detail, the conditions precedent which the Disbursement Agent has determined have not been satisfied and/or shall attach a copy of any notice of default received by the Disbursement Agent. Upon such written notice from the Disbursement Agent, and subject to the provisions of </w:t>
      </w:r>
      <w:r>
        <w:rPr>
          <w:rFonts w:ascii="Times New Roman" w:cs="Times New Roman" w:eastAsia="Times New Roman" w:hAnsi="Times New Roman"/>
          <w:sz w:val="16"/>
          <w:szCs w:val="16"/>
          <w:i w:val="1"/>
          <w:iCs w:val="1"/>
          <w:color w:val="auto"/>
        </w:rPr>
        <w:t>Section 3.5</w:t>
      </w:r>
      <w:r>
        <w:rPr>
          <w:rFonts w:ascii="Times New Roman" w:cs="Times New Roman" w:eastAsia="Times New Roman" w:hAnsi="Times New Roman"/>
          <w:sz w:val="16"/>
          <w:szCs w:val="16"/>
          <w:color w:val="auto"/>
        </w:rPr>
        <w:t>, (i) neither the Bank Lenders nor the FF&amp;E Lenders shall have any obligation to advance their respective Facilities' portion of the requested Advance, if any, (ii) the Disbursement Agent shall not withdraw any funds from the Second Mortgage Notes Proceeds Account for the purpose of transferring such funds to the</w:t>
      </w:r>
    </w:p>
    <w:p>
      <w:pPr>
        <w:sectPr>
          <w:pgSz w:w="11900" w:h="16838" w:orient="portrait"/>
          <w:cols w:equalWidth="0" w:num="1">
            <w:col w:w="10340"/>
          </w:cols>
          <w:pgMar w:left="1320" w:top="125" w:right="239" w:bottom="0" w:gutter="0" w:footer="0" w:header="0"/>
        </w:sectPr>
      </w:pPr>
    </w:p>
    <w:bookmarkStart w:id="16" w:name="page17"/>
    <w:bookmarkEnd w:id="16"/>
    <w:p>
      <w:pPr>
        <w:ind w:left="180" w:right="700"/>
        <w:spacing w:after="0" w:line="275" w:lineRule="auto"/>
        <w:rPr>
          <w:sz w:val="20"/>
          <w:szCs w:val="20"/>
          <w:color w:val="auto"/>
        </w:rPr>
      </w:pPr>
      <w:r>
        <w:rPr>
          <w:rFonts w:ascii="Times New Roman" w:cs="Times New Roman" w:eastAsia="Times New Roman" w:hAnsi="Times New Roman"/>
          <w:sz w:val="18"/>
          <w:szCs w:val="18"/>
          <w:color w:val="auto"/>
        </w:rPr>
        <w:t>Disbursement Account or for the purpose of paying any Debt Service on the Bank Credit Facility or the FF&amp;E Facility (provided that the Disbursement Agent shall withdraw funds from the Second Mortgage Notes Proceeds Account for the purpose of paying</w:t>
      </w:r>
    </w:p>
    <w:p>
      <w:pPr>
        <w:spacing w:after="0" w:line="17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6"/>
          <w:szCs w:val="16"/>
          <w:color w:val="auto"/>
        </w:rPr>
        <w:t xml:space="preserve">scheduled Debt Service on the Second Mortgage Notes), (iii) subject to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color w:val="auto"/>
        </w:rPr>
        <w:t xml:space="preserve"> the Disbursement Agent shall not withdraw any funds from the Company's Funds Account to satisfy such requested Advance, (iv) the Disbursement Agent shall not withdraw, transfer or release any funds on deposit in the Interest Payment Account, (v) the Disbursement Agent shall not withdraw, transfer or release to the Company any funds then on deposit in the Disbursement Account or the FF&amp;E Proceeds Account (other than in respect of wires previously issued under </w:t>
      </w:r>
      <w:r>
        <w:rPr>
          <w:rFonts w:ascii="Times New Roman" w:cs="Times New Roman" w:eastAsia="Times New Roman" w:hAnsi="Times New Roman"/>
          <w:sz w:val="16"/>
          <w:szCs w:val="16"/>
          <w:i w:val="1"/>
          <w:iCs w:val="1"/>
          <w:color w:val="auto"/>
        </w:rPr>
        <w:t>Sections 2.6.1(c) or</w:t>
      </w:r>
    </w:p>
    <w:p>
      <w:pPr>
        <w:spacing w:after="0" w:line="2" w:lineRule="exact"/>
        <w:rPr>
          <w:sz w:val="20"/>
          <w:szCs w:val="20"/>
          <w:color w:val="auto"/>
        </w:rPr>
      </w:pPr>
    </w:p>
    <w:p>
      <w:pPr>
        <w:ind w:left="180" w:right="140"/>
        <w:spacing w:after="0" w:line="254" w:lineRule="auto"/>
        <w:rPr>
          <w:sz w:val="20"/>
          <w:szCs w:val="20"/>
          <w:color w:val="auto"/>
        </w:rPr>
      </w:pP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and (vi) any Advance Confirmation Notice issued prior to the issuance of a Stop Funding Notice (if the Advance to which such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Confirmation Notice relates has not been made) shall become null and void and of no force or effect; provided that such nullification of any such Advance Confirmation Notice shall not affect the obligations of the Company for break funding costs under the Bank Credit Facility and the FF&amp;E Facility.</w:t>
      </w:r>
    </w:p>
    <w:p>
      <w:pPr>
        <w:spacing w:after="0" w:line="190" w:lineRule="exact"/>
        <w:rPr>
          <w:sz w:val="20"/>
          <w:szCs w:val="20"/>
          <w:color w:val="auto"/>
        </w:rPr>
      </w:pPr>
    </w:p>
    <w:p>
      <w:pPr>
        <w:ind w:left="180" w:right="20" w:firstLine="360"/>
        <w:spacing w:after="0" w:line="255" w:lineRule="auto"/>
        <w:tabs>
          <w:tab w:leader="none" w:pos="8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earliest of (i) termination of the "</w:t>
      </w:r>
      <w:r>
        <w:rPr>
          <w:rFonts w:ascii="Times New Roman" w:cs="Times New Roman" w:eastAsia="Times New Roman" w:hAnsi="Times New Roman"/>
          <w:sz w:val="18"/>
          <w:szCs w:val="18"/>
          <w:i w:val="1"/>
          <w:iCs w:val="1"/>
          <w:color w:val="auto"/>
        </w:rPr>
        <w:t>Term Loan Commitments</w:t>
      </w:r>
      <w:r>
        <w:rPr>
          <w:rFonts w:ascii="Times New Roman" w:cs="Times New Roman" w:eastAsia="Times New Roman" w:hAnsi="Times New Roman"/>
          <w:sz w:val="18"/>
          <w:szCs w:val="18"/>
          <w:color w:val="auto"/>
        </w:rPr>
        <w:t>" (as defined in the Bank Credit Agreement) other than due to the funding in full thereof, (ii) termination of the "</w:t>
      </w:r>
      <w:r>
        <w:rPr>
          <w:rFonts w:ascii="Times New Roman" w:cs="Times New Roman" w:eastAsia="Times New Roman" w:hAnsi="Times New Roman"/>
          <w:sz w:val="18"/>
          <w:szCs w:val="18"/>
          <w:i w:val="1"/>
          <w:iCs w:val="1"/>
          <w:color w:val="auto"/>
        </w:rPr>
        <w:t>Revolving Credit Commitments</w:t>
      </w:r>
      <w:r>
        <w:rPr>
          <w:rFonts w:ascii="Times New Roman" w:cs="Times New Roman" w:eastAsia="Times New Roman" w:hAnsi="Times New Roman"/>
          <w:sz w:val="18"/>
          <w:szCs w:val="18"/>
          <w:color w:val="auto"/>
        </w:rPr>
        <w:t>" (as defined in the Bank Credit Agreement), (iii) termination of the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(as defined in the FF&amp;E Facility Agreement) and (iv) the exercise of remedies by any Funding Agent in respect of any Project Security, unless any such action has been rescinded, at such time, if ever, as the Disbursement Agent (x) determines that the condition precedent to the requested Advance which had not been satisfied has become satisfied or (y) receives notice from the Funding Agent who issued the notice of default described in the preceding paragraph that such Potential Event of Default or Event of Default no longer exists, as the case may be, the Disbursement Agent shall deliver an Advance Confirmation Notice to the Company and each of the Funding Agents.</w:t>
      </w:r>
    </w:p>
    <w:p>
      <w:pPr>
        <w:spacing w:after="0" w:line="189" w:lineRule="exact"/>
        <w:rPr>
          <w:rFonts w:ascii="Times New Roman" w:cs="Times New Roman" w:eastAsia="Times New Roman" w:hAnsi="Times New Roman"/>
          <w:sz w:val="18"/>
          <w:szCs w:val="18"/>
          <w:color w:val="auto"/>
        </w:rPr>
      </w:pPr>
    </w:p>
    <w:p>
      <w:pPr>
        <w:ind w:left="180" w:right="160" w:firstLine="360"/>
        <w:spacing w:after="0" w:line="255" w:lineRule="auto"/>
        <w:tabs>
          <w:tab w:leader="none" w:pos="8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Funding Agent entitled to waive conditions precedent to funding pursuant to </w:t>
      </w:r>
      <w:r>
        <w:rPr>
          <w:rFonts w:ascii="Times New Roman" w:cs="Times New Roman" w:eastAsia="Times New Roman" w:hAnsi="Times New Roman"/>
          <w:sz w:val="18"/>
          <w:szCs w:val="18"/>
          <w:i w:val="1"/>
          <w:iCs w:val="1"/>
          <w:color w:val="auto"/>
        </w:rPr>
        <w:t>Section 3.5</w:t>
      </w:r>
      <w:r>
        <w:rPr>
          <w:rFonts w:ascii="Times New Roman" w:cs="Times New Roman" w:eastAsia="Times New Roman" w:hAnsi="Times New Roman"/>
          <w:sz w:val="18"/>
          <w:szCs w:val="18"/>
          <w:color w:val="auto"/>
        </w:rPr>
        <w:t xml:space="preserve"> informs the Disbursement Agent in writing that it has waived the event or events giving rise to the Stop Funding Notice, the Disbursement Agent shall deliver an Advance Confirmation Notice (modified, if required, to apply only to amounts to be advanced under such Funding Agent's Facility unless all Funding Agents entitled to waive conditions with respect to such Advance Request have waived the conditions, in which case the Disbursement Agent shall deliver an Advance Confirmation Notice with respect to all Advances requested by the Company) to the Company and each of the Funding Agents.</w:t>
      </w:r>
    </w:p>
    <w:p>
      <w:pPr>
        <w:spacing w:after="0" w:line="1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6"/>
          <w:szCs w:val="16"/>
          <w:i w:val="1"/>
          <w:iCs w:val="1"/>
          <w:color w:val="auto"/>
        </w:rPr>
        <w:t>Provision of Funds by the Funding Agents.</w:t>
      </w:r>
    </w:p>
    <w:p>
      <w:pPr>
        <w:spacing w:after="0" w:line="225" w:lineRule="exact"/>
        <w:rPr>
          <w:sz w:val="20"/>
          <w:szCs w:val="20"/>
          <w:color w:val="auto"/>
        </w:rPr>
      </w:pPr>
    </w:p>
    <w:p>
      <w:pPr>
        <w:ind w:left="820" w:hanging="280"/>
        <w:spacing w:after="0"/>
        <w:tabs>
          <w:tab w:leader="none" w:pos="8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 In the case of an Advance Confirmation Notice issued pursuant to </w:t>
      </w:r>
      <w:r>
        <w:rPr>
          <w:rFonts w:ascii="Times New Roman" w:cs="Times New Roman" w:eastAsia="Times New Roman" w:hAnsi="Times New Roman"/>
          <w:sz w:val="18"/>
          <w:szCs w:val="18"/>
          <w:i w:val="1"/>
          <w:iCs w:val="1"/>
          <w:color w:val="auto"/>
        </w:rPr>
        <w:t>Section 2.4.3(a)</w:t>
      </w:r>
      <w:r>
        <w:rPr>
          <w:rFonts w:ascii="Times New Roman" w:cs="Times New Roman" w:eastAsia="Times New Roman" w:hAnsi="Times New Roman"/>
          <w:sz w:val="18"/>
          <w:szCs w:val="18"/>
          <w:color w:val="auto"/>
        </w:rPr>
        <w:t xml:space="preserve"> above, on the requested Advance Date, and</w:t>
      </w:r>
    </w:p>
    <w:p>
      <w:pPr>
        <w:spacing w:after="0" w:line="23" w:lineRule="exact"/>
        <w:rPr>
          <w:rFonts w:ascii="Times New Roman" w:cs="Times New Roman" w:eastAsia="Times New Roman" w:hAnsi="Times New Roman"/>
          <w:sz w:val="18"/>
          <w:szCs w:val="18"/>
          <w:color w:val="auto"/>
        </w:rPr>
      </w:pPr>
    </w:p>
    <w:p>
      <w:pPr>
        <w:ind w:left="180" w:right="20" w:firstLine="8"/>
        <w:spacing w:after="0"/>
        <w:tabs>
          <w:tab w:leader="none" w:pos="4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Advance Confirmation Notice issued pursuant to </w:t>
      </w:r>
      <w:r>
        <w:rPr>
          <w:rFonts w:ascii="Times New Roman" w:cs="Times New Roman" w:eastAsia="Times New Roman" w:hAnsi="Times New Roman"/>
          <w:sz w:val="18"/>
          <w:szCs w:val="18"/>
          <w:i w:val="1"/>
          <w:iCs w:val="1"/>
          <w:color w:val="auto"/>
        </w:rPr>
        <w:t>Section 2.4.3(c)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above,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Banking Day after such issuance, before 12:00 p.m. New York, New York time, (x) the Bank Lenders (subject to </w:t>
      </w:r>
      <w:r>
        <w:rPr>
          <w:rFonts w:ascii="Times New Roman" w:cs="Times New Roman" w:eastAsia="Times New Roman" w:hAnsi="Times New Roman"/>
          <w:sz w:val="18"/>
          <w:szCs w:val="18"/>
          <w:i w:val="1"/>
          <w:iCs w:val="1"/>
          <w:color w:val="auto"/>
        </w:rPr>
        <w:t>Section 2.5.3</w:t>
      </w:r>
      <w:r>
        <w:rPr>
          <w:rFonts w:ascii="Times New Roman" w:cs="Times New Roman" w:eastAsia="Times New Roman" w:hAnsi="Times New Roman"/>
          <w:sz w:val="18"/>
          <w:szCs w:val="18"/>
          <w:color w:val="auto"/>
        </w:rPr>
        <w:t xml:space="preserve">) shall deposit or cause to be deposited in the Disbursement Account, in immediately available funds, their Facility's portion of the requested Advance, if any, as determined pursuant to </w:t>
      </w:r>
      <w:r>
        <w:rPr>
          <w:rFonts w:ascii="Times New Roman" w:cs="Times New Roman" w:eastAsia="Times New Roman" w:hAnsi="Times New Roman"/>
          <w:sz w:val="18"/>
          <w:szCs w:val="18"/>
          <w:i w:val="1"/>
          <w:iCs w:val="1"/>
          <w:color w:val="auto"/>
        </w:rPr>
        <w:t xml:space="preserve">Sections 2.5.1, 2.5.2 and 2.5.4 </w:t>
      </w:r>
      <w:r>
        <w:rPr>
          <w:rFonts w:ascii="Times New Roman" w:cs="Times New Roman" w:eastAsia="Times New Roman" w:hAnsi="Times New Roman"/>
          <w:sz w:val="18"/>
          <w:szCs w:val="18"/>
          <w:color w:val="auto"/>
        </w:rPr>
        <w:t>and set forth in the related Advance Confirmation Notice and (y) the FF&amp;E Lenders (subject to</w:t>
      </w:r>
      <w:r>
        <w:rPr>
          <w:rFonts w:ascii="Times New Roman" w:cs="Times New Roman" w:eastAsia="Times New Roman" w:hAnsi="Times New Roman"/>
          <w:sz w:val="18"/>
          <w:szCs w:val="18"/>
          <w:i w:val="1"/>
          <w:iCs w:val="1"/>
          <w:color w:val="auto"/>
        </w:rPr>
        <w:t xml:space="preserve"> Section 2.5.5</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deposit or cause to be deposited in the FF&amp;E Proceeds Account, in immediately available funds, their Facility's portion of the requested Advance, if any, as determined pursuant to </w:t>
      </w:r>
      <w:r>
        <w:rPr>
          <w:rFonts w:ascii="Times New Roman" w:cs="Times New Roman" w:eastAsia="Times New Roman" w:hAnsi="Times New Roman"/>
          <w:sz w:val="18"/>
          <w:szCs w:val="18"/>
          <w:i w:val="1"/>
          <w:iCs w:val="1"/>
          <w:color w:val="auto"/>
        </w:rPr>
        <w:t>Section 2.5.1</w:t>
      </w:r>
      <w:r>
        <w:rPr>
          <w:rFonts w:ascii="Times New Roman" w:cs="Times New Roman" w:eastAsia="Times New Roman" w:hAnsi="Times New Roman"/>
          <w:sz w:val="18"/>
          <w:szCs w:val="18"/>
          <w:color w:val="auto"/>
        </w:rPr>
        <w:t xml:space="preserve"> and set forth in the related Advance Confirmation Notice and, if the final Notice of Advance Request includes a request for the issuance of one or more Letters of Credit under the Bank Revolving Facility, the Bank Agent shall also send written notice to the Disbursement Agent that the "Issuing Lenders" (as defined in the Bank Credit Agreement) under the Bank Revolving Facility are committed to issue each such Letter of Credit. Amounts deposited by or on behalf of ULLICO, as Bank Lender, shall be deemed to have been applied to fund Project Costs due and owing to the Prime Contractor; it being</w:t>
      </w:r>
    </w:p>
    <w:p>
      <w:pPr>
        <w:spacing w:after="0" w:line="20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480"/>
        <w:spacing w:after="0" w:line="275" w:lineRule="auto"/>
        <w:rPr>
          <w:sz w:val="20"/>
          <w:szCs w:val="20"/>
          <w:color w:val="auto"/>
        </w:rPr>
      </w:pPr>
      <w:r>
        <w:rPr>
          <w:rFonts w:ascii="Times New Roman" w:cs="Times New Roman" w:eastAsia="Times New Roman" w:hAnsi="Times New Roman"/>
          <w:sz w:val="18"/>
          <w:szCs w:val="18"/>
          <w:color w:val="auto"/>
        </w:rPr>
        <w:t>understood that, notwithstanding such application, ULLICO shall enjoy the same rights and privileges over the Project Security as any other Project Secured Party.</w:t>
      </w:r>
    </w:p>
    <w:p>
      <w:pPr>
        <w:spacing w:after="0" w:line="174" w:lineRule="exact"/>
        <w:rPr>
          <w:sz w:val="20"/>
          <w:szCs w:val="20"/>
          <w:color w:val="auto"/>
        </w:rPr>
      </w:pPr>
    </w:p>
    <w:p>
      <w:pPr>
        <w:ind w:left="720" w:right="120" w:firstLine="360"/>
        <w:spacing w:after="0" w:line="288" w:lineRule="auto"/>
        <w:tabs>
          <w:tab w:leader="none" w:pos="1374"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confirming that all funds required to be deposited in the Disbursement Account and the FF&amp;E Proceeds Account pursuant to clause (i) above have been deposited and, if applicable, upon receipt of the Bank Agent's confirmation that the "Issuing Lenders" (as defined in the Bank Credit Agreement) under the Bank Revolving Facility are committed to issue each requested Letter of Credit, the Disbursement Agent shall (subject to </w:t>
      </w:r>
      <w:r>
        <w:rPr>
          <w:rFonts w:ascii="Times New Roman" w:cs="Times New Roman" w:eastAsia="Times New Roman" w:hAnsi="Times New Roman"/>
          <w:sz w:val="16"/>
          <w:szCs w:val="16"/>
          <w:i w:val="1"/>
          <w:iCs w:val="1"/>
          <w:color w:val="auto"/>
        </w:rPr>
        <w:t>Section 2.4.3(b)</w:t>
      </w:r>
      <w:r>
        <w:rPr>
          <w:rFonts w:ascii="Times New Roman" w:cs="Times New Roman" w:eastAsia="Times New Roman" w:hAnsi="Times New Roman"/>
          <w:sz w:val="16"/>
          <w:szCs w:val="16"/>
          <w:color w:val="auto"/>
        </w:rPr>
        <w:t xml:space="preserve">) promptly, considering the requirements of this Agreement, withdraw from the Company's Funds Account, the Second Mortgage Notes Proceeds Account and the Bank Proceeds Account the portion of the Advance to be funded from each such account as determined pursuant to </w:t>
      </w:r>
      <w:r>
        <w:rPr>
          <w:rFonts w:ascii="Times New Roman" w:cs="Times New Roman" w:eastAsia="Times New Roman" w:hAnsi="Times New Roman"/>
          <w:sz w:val="16"/>
          <w:szCs w:val="16"/>
          <w:i w:val="1"/>
          <w:iCs w:val="1"/>
          <w:color w:val="auto"/>
        </w:rPr>
        <w:t>Sections 2.5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2.9(d)</w:t>
      </w:r>
      <w:r>
        <w:rPr>
          <w:rFonts w:ascii="Times New Roman" w:cs="Times New Roman" w:eastAsia="Times New Roman" w:hAnsi="Times New Roman"/>
          <w:sz w:val="16"/>
          <w:szCs w:val="16"/>
          <w:color w:val="auto"/>
        </w:rPr>
        <w:t xml:space="preserve"> and set forth in the related Advance Confirmation Notice and deposit such funds in the Disbursement Account and shall notify the Bank Agent that such transfer to the Disbursement Account has been made. Upon receipt of such notice, if applicable, the Bank Agent shall instruct the "Issuing Lenders" (as defined in the Bank Credit Agreement) under the Bank Revolving Facility to issue the requested Letters of Credit. All funds so deposited in the Disbursement Account shall thereafter be applied by the Disbursement Agent as provided in </w:t>
      </w:r>
      <w:r>
        <w:rPr>
          <w:rFonts w:ascii="Times New Roman" w:cs="Times New Roman" w:eastAsia="Times New Roman" w:hAnsi="Times New Roman"/>
          <w:sz w:val="16"/>
          <w:szCs w:val="16"/>
          <w:i w:val="1"/>
          <w:iCs w:val="1"/>
          <w:color w:val="auto"/>
        </w:rPr>
        <w:t>Section 2.6</w:t>
      </w:r>
      <w:r>
        <w:rPr>
          <w:rFonts w:ascii="Times New Roman" w:cs="Times New Roman" w:eastAsia="Times New Roman" w:hAnsi="Times New Roman"/>
          <w:sz w:val="16"/>
          <w:szCs w:val="16"/>
          <w:color w:val="auto"/>
        </w:rPr>
        <w:t>.</w:t>
      </w:r>
    </w:p>
    <w:p>
      <w:pPr>
        <w:spacing w:after="0" w:line="389" w:lineRule="exact"/>
        <w:rPr>
          <w:rFonts w:ascii="Times New Roman" w:cs="Times New Roman" w:eastAsia="Times New Roman" w:hAnsi="Times New Roman"/>
          <w:sz w:val="16"/>
          <w:szCs w:val="16"/>
          <w:color w:val="auto"/>
        </w:rPr>
      </w:pPr>
    </w:p>
    <w:p>
      <w:pPr>
        <w:ind w:left="180" w:firstLine="360"/>
        <w:spacing w:after="0" w:line="286" w:lineRule="auto"/>
        <w:tabs>
          <w:tab w:leader="none" w:pos="82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Disbursement Agent, the Bank Agent or the FF&amp;E Agent shall be responsible for any Bank Lender's or FF&amp;E Lender's failure to make any required Advance (including, if applicable, the failure of any "Issuing Lender" under the Bank Revolving Facility to issue any Letter of Credit). The Disbursement Agent shall not release to the Company any amounts properly advanced until all Advances requested by the relevant Advance Request have been deposited in the Disbursement Account and the FF&amp;E Proceeds Account and, if applicable, the Bank Agent has confirmed that the "Issuing Lenders" (as defined in the Bank Credit Agreement) under the Bank Revolving Facility are committed to issue each requested Letter of Credit, unless the Lenders who have made the Advances request such release (the Disbursement Agent shall promptly notify all Funding Agents upon receiving any such request). However, the withholding of such Advances by the Disbursement Agent shall not release the Lender who failed to make the Advance under its Facility (including, if applicable, any Issuing Lender under the Bank Revolving Facility who failed to issue a Letter of Credit) from liability to the other Lenders and the Company. The Disbursement Agent shall have no liability to the Company arising from any Stop Funding Notice issued pursuant to </w:t>
      </w:r>
      <w:r>
        <w:rPr>
          <w:rFonts w:ascii="Times New Roman" w:cs="Times New Roman" w:eastAsia="Times New Roman" w:hAnsi="Times New Roman"/>
          <w:sz w:val="16"/>
          <w:szCs w:val="16"/>
          <w:i w:val="1"/>
          <w:iCs w:val="1"/>
          <w:color w:val="auto"/>
        </w:rPr>
        <w:t>Section 2.4.3(b)</w:t>
      </w:r>
      <w:r>
        <w:rPr>
          <w:rFonts w:ascii="Times New Roman" w:cs="Times New Roman" w:eastAsia="Times New Roman" w:hAnsi="Times New Roman"/>
          <w:sz w:val="16"/>
          <w:szCs w:val="16"/>
          <w:color w:val="auto"/>
        </w:rPr>
        <w:t xml:space="preserve"> at the request of any Funding Agent (a "</w:t>
      </w:r>
      <w:r>
        <w:rPr>
          <w:rFonts w:ascii="Times New Roman" w:cs="Times New Roman" w:eastAsia="Times New Roman" w:hAnsi="Times New Roman"/>
          <w:sz w:val="16"/>
          <w:szCs w:val="16"/>
          <w:i w:val="1"/>
          <w:iCs w:val="1"/>
          <w:color w:val="auto"/>
        </w:rPr>
        <w:t>Stop Funding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Request</w:t>
      </w:r>
      <w:r>
        <w:rPr>
          <w:rFonts w:ascii="Times New Roman" w:cs="Times New Roman" w:eastAsia="Times New Roman" w:hAnsi="Times New Roman"/>
          <w:sz w:val="16"/>
          <w:szCs w:val="16"/>
          <w:color w:val="auto"/>
        </w:rPr>
        <w:t>"), whether or not such Funding Agent was entitled to make any such Stop Funding Request. None of the Funding Agents shall have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liability to the Company, the Disbursement Agent, any other Funding Agent or any Lender arising from any Stop Funding Notice issued by the Disbursement Agent in response to a Stop Funding Request by such Funding Agent;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herein shall release from liability the Funding Agent who issued the Stop Funding Request if such issuance resulted from, or constituted an act of gross negligence or willful misconduct on the part of such Funding Agent, as finally judicially determined by a court of competent jurisdiction.</w:t>
      </w:r>
    </w:p>
    <w:p>
      <w:pPr>
        <w:sectPr>
          <w:pgSz w:w="11900" w:h="16838" w:orient="portrait"/>
          <w:cols w:equalWidth="0" w:num="1">
            <w:col w:w="10520"/>
          </w:cols>
          <w:pgMar w:left="1140" w:top="125" w:right="239" w:bottom="0" w:gutter="0" w:footer="0" w:header="0"/>
        </w:sectPr>
      </w:pPr>
    </w:p>
    <w:bookmarkStart w:id="17" w:name="page18"/>
    <w:bookmarkEnd w:id="17"/>
    <w:p>
      <w:pPr>
        <w:ind w:left="1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i w:val="1"/>
          <w:iCs w:val="1"/>
          <w:color w:val="auto"/>
        </w:rPr>
        <w:t>Change in Facts Certified.</w:t>
      </w:r>
      <w:r>
        <w:rPr>
          <w:rFonts w:ascii="Times New Roman" w:cs="Times New Roman" w:eastAsia="Times New Roman" w:hAnsi="Times New Roman"/>
          <w:sz w:val="18"/>
          <w:szCs w:val="18"/>
          <w:color w:val="auto"/>
        </w:rPr>
        <w:t xml:space="preserve"> The Company shall promptly notify the Disbursement Agent prior to the making of any Advances in the event that any of the matters to which the Company certified in the corresponding Advance Request are no longer true and correct in all material respects (provided that the foregoing materiality qualifier shall not apply to any certification contained in such Advance Request which by its own terms already includes a standard of materiality), as of the applicable Advance Date (except that any certification that relates expressly to an earlier date shall be deemed made only as of such earlier date). The acceptance by the</w:t>
      </w:r>
    </w:p>
    <w:p>
      <w:pPr>
        <w:spacing w:after="0" w:line="1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80"/>
        <w:spacing w:after="0" w:line="275" w:lineRule="auto"/>
        <w:rPr>
          <w:sz w:val="20"/>
          <w:szCs w:val="20"/>
          <w:color w:val="auto"/>
        </w:rPr>
      </w:pPr>
      <w:r>
        <w:rPr>
          <w:rFonts w:ascii="Times New Roman" w:cs="Times New Roman" w:eastAsia="Times New Roman" w:hAnsi="Times New Roman"/>
          <w:sz w:val="18"/>
          <w:szCs w:val="18"/>
          <w:color w:val="auto"/>
        </w:rPr>
        <w:t>Company of the proceeds of any Advance shall constitute a re-certification by the Company, as of the applicable Advance Date, of all matters certified to in the related Advance Request.</w:t>
      </w:r>
    </w:p>
    <w:p>
      <w:pPr>
        <w:spacing w:after="0" w:line="172" w:lineRule="exact"/>
        <w:rPr>
          <w:sz w:val="20"/>
          <w:szCs w:val="20"/>
          <w:color w:val="auto"/>
        </w:rPr>
      </w:pPr>
    </w:p>
    <w:p>
      <w:pPr>
        <w:ind w:left="180" w:right="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i w:val="1"/>
          <w:iCs w:val="1"/>
          <w:color w:val="auto"/>
        </w:rPr>
        <w:t>References to Dates.</w:t>
      </w:r>
      <w:r>
        <w:rPr>
          <w:rFonts w:ascii="Times New Roman" w:cs="Times New Roman" w:eastAsia="Times New Roman" w:hAnsi="Times New Roman"/>
          <w:sz w:val="18"/>
          <w:szCs w:val="18"/>
          <w:color w:val="auto"/>
        </w:rPr>
        <w:t xml:space="preserve"> In the event that any day or date referred to in the foregoing provisions of this </w:t>
      </w:r>
      <w:r>
        <w:rPr>
          <w:rFonts w:ascii="Times New Roman" w:cs="Times New Roman" w:eastAsia="Times New Roman" w:hAnsi="Times New Roman"/>
          <w:sz w:val="18"/>
          <w:szCs w:val="18"/>
          <w:i w:val="1"/>
          <w:iCs w:val="1"/>
          <w:color w:val="auto"/>
        </w:rPr>
        <w:t>Section 2.4</w:t>
      </w:r>
      <w:r>
        <w:rPr>
          <w:rFonts w:ascii="Times New Roman" w:cs="Times New Roman" w:eastAsia="Times New Roman" w:hAnsi="Times New Roman"/>
          <w:sz w:val="18"/>
          <w:szCs w:val="18"/>
          <w:color w:val="auto"/>
        </w:rPr>
        <w:t xml:space="preserve"> occurs on a day that is not a Banking Day, the reference shall be deemed to be to the next succeeding Banking Day.</w:t>
      </w:r>
    </w:p>
    <w:p>
      <w:pPr>
        <w:spacing w:after="0" w:line="1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6"/>
          <w:szCs w:val="16"/>
          <w:b w:val="1"/>
          <w:bCs w:val="1"/>
          <w:i w:val="1"/>
          <w:iCs w:val="1"/>
          <w:color w:val="auto"/>
        </w:rPr>
        <w:t>Allocation of Advances.</w:t>
      </w:r>
    </w:p>
    <w:p>
      <w:pPr>
        <w:spacing w:after="0" w:line="227"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6"/>
          <w:szCs w:val="16"/>
          <w:i w:val="1"/>
          <w:iCs w:val="1"/>
          <w:color w:val="auto"/>
        </w:rPr>
        <w:t>Advances for FF&amp;E Component.</w:t>
      </w:r>
    </w:p>
    <w:p>
      <w:pPr>
        <w:spacing w:after="0" w:line="227" w:lineRule="exact"/>
        <w:rPr>
          <w:sz w:val="20"/>
          <w:szCs w:val="20"/>
          <w:color w:val="auto"/>
        </w:rPr>
      </w:pPr>
    </w:p>
    <w:p>
      <w:pPr>
        <w:ind w:left="720" w:right="160" w:firstLine="360"/>
        <w:spacing w:after="0" w:line="275" w:lineRule="auto"/>
        <w:tabs>
          <w:tab w:leader="none" w:pos="13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Project Costs allocated pursuant to the Project Budget to the FF&amp;E Component shall be made from the following sources and in the following order of priority:</w:t>
      </w:r>
    </w:p>
    <w:p>
      <w:pPr>
        <w:spacing w:after="0" w:line="173" w:lineRule="exact"/>
        <w:rPr>
          <w:rFonts w:ascii="Times New Roman" w:cs="Times New Roman" w:eastAsia="Times New Roman" w:hAnsi="Times New Roman"/>
          <w:sz w:val="18"/>
          <w:szCs w:val="18"/>
          <w:color w:val="auto"/>
        </w:rPr>
      </w:pPr>
    </w:p>
    <w:p>
      <w:pPr>
        <w:ind w:left="1260" w:right="660" w:firstLine="448"/>
        <w:spacing w:after="0" w:line="275" w:lineRule="auto"/>
        <w:tabs>
          <w:tab w:leader="none" w:pos="1953"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from the Closing Date and until the final Advance from the Second Mortgage Notes Proceeds Account pursuant to clause (ii) below, from funds from time to time on deposit in the Company's Funds Account, until Exhausted;</w:t>
      </w:r>
    </w:p>
    <w:p>
      <w:pPr>
        <w:spacing w:after="0" w:line="173" w:lineRule="exact"/>
        <w:rPr>
          <w:rFonts w:ascii="Times New Roman" w:cs="Times New Roman" w:eastAsia="Times New Roman" w:hAnsi="Times New Roman"/>
          <w:sz w:val="18"/>
          <w:szCs w:val="18"/>
          <w:color w:val="auto"/>
        </w:rPr>
      </w:pPr>
    </w:p>
    <w:p>
      <w:pPr>
        <w:ind w:left="1260" w:right="240" w:firstLine="360"/>
        <w:spacing w:after="0" w:line="339" w:lineRule="auto"/>
        <w:tabs>
          <w:tab w:leader="none" w:pos="1914"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then, from funds from time to time on deposit in the Second Mortgage Notes Proceeds Account, until the amount remaining in the Second Mortgage Notes Proceeds Account equals but does not exceed the Second Mortgage Notes Interest Reserve Amount; and</w:t>
      </w:r>
    </w:p>
    <w:p>
      <w:pPr>
        <w:spacing w:after="0" w:line="128" w:lineRule="exact"/>
        <w:rPr>
          <w:rFonts w:ascii="Times New Roman" w:cs="Times New Roman" w:eastAsia="Times New Roman" w:hAnsi="Times New Roman"/>
          <w:sz w:val="16"/>
          <w:szCs w:val="16"/>
          <w:color w:val="auto"/>
        </w:rPr>
      </w:pPr>
    </w:p>
    <w:p>
      <w:pPr>
        <w:ind w:left="1260" w:right="20" w:firstLine="360"/>
        <w:spacing w:after="0" w:line="285" w:lineRule="auto"/>
        <w:tabs>
          <w:tab w:leader="none" w:pos="1962"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then, from funds available to be drawn under the FF&amp;E Facility and the Resort Component Funding Sources, until Exhausted, in such amounts so that after giving effect to the requested Advance, the aggregate amount of all Project Costs allocated pursuant to the Project Budget to the FF&amp;E Component (other than the amounts advanced in connection with the Aircraft under clause (b) below) shall have been Advanced in the following percentages:(A) seventy-five percent (75%) shall have been Advanced from the FF&amp;E Facility, and</w:t>
      </w:r>
    </w:p>
    <w:p>
      <w:pPr>
        <w:spacing w:after="0" w:line="2" w:lineRule="exact"/>
        <w:rPr>
          <w:rFonts w:ascii="Times New Roman" w:cs="Times New Roman" w:eastAsia="Times New Roman" w:hAnsi="Times New Roman"/>
          <w:sz w:val="16"/>
          <w:szCs w:val="16"/>
          <w:color w:val="auto"/>
        </w:rPr>
      </w:pPr>
    </w:p>
    <w:p>
      <w:pPr>
        <w:ind w:left="1260" w:firstLine="9"/>
        <w:spacing w:after="0" w:line="255" w:lineRule="auto"/>
        <w:tabs>
          <w:tab w:leader="none" w:pos="15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shall have been Advanced from the Resort Component Funding Sources. For purposes of the foregoing calculation it shall be deemed that the amount represented by the FF&amp;E Reimbursement Advance was Advanced by the FF&amp;E Facility and not by the Resort Component Funding Sources.</w:t>
      </w:r>
    </w:p>
    <w:p>
      <w:pPr>
        <w:spacing w:after="0" w:line="192" w:lineRule="exact"/>
        <w:rPr>
          <w:rFonts w:ascii="Times New Roman" w:cs="Times New Roman" w:eastAsia="Times New Roman" w:hAnsi="Times New Roman"/>
          <w:sz w:val="18"/>
          <w:szCs w:val="18"/>
          <w:color w:val="auto"/>
        </w:rPr>
      </w:pPr>
    </w:p>
    <w:p>
      <w:pPr>
        <w:ind w:left="720" w:right="120" w:firstLine="360"/>
        <w:spacing w:after="0" w:line="262" w:lineRule="auto"/>
        <w:tabs>
          <w:tab w:leader="none" w:pos="13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Project Costs allocated pursuant to the Project Budget to the purchase (or indebtedness incurred to fund the purchase) or refinancing of the Aircraft (including any replacement Aircraft) shall be made from funds available to be drawn under the FF&amp;E Facility (to the extent provided therein).</w:t>
      </w:r>
    </w:p>
    <w:p>
      <w:pPr>
        <w:spacing w:after="0" w:line="184" w:lineRule="exact"/>
        <w:rPr>
          <w:sz w:val="20"/>
          <w:szCs w:val="20"/>
          <w:color w:val="auto"/>
        </w:rPr>
      </w:pPr>
    </w:p>
    <w:p>
      <w:pPr>
        <w:ind w:left="180" w:right="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i w:val="1"/>
          <w:iCs w:val="1"/>
          <w:color w:val="auto"/>
        </w:rPr>
        <w:t>Advances For Resort Component.</w:t>
      </w:r>
      <w:r>
        <w:rPr>
          <w:rFonts w:ascii="Times New Roman" w:cs="Times New Roman" w:eastAsia="Times New Roman" w:hAnsi="Times New Roman"/>
          <w:sz w:val="18"/>
          <w:szCs w:val="18"/>
          <w:color w:val="auto"/>
        </w:rPr>
        <w:t xml:space="preserve"> The (i) full amount of all Project Costs allocated pursuant to the Project Budget to the Resort Component and (ii) portion of the Project Costs allocated pursuant to the Project Budget to the FF&amp;E Component which are to be funded from Resort Component Funding Sources pursuant to </w:t>
      </w:r>
      <w:r>
        <w:rPr>
          <w:rFonts w:ascii="Times New Roman" w:cs="Times New Roman" w:eastAsia="Times New Roman" w:hAnsi="Times New Roman"/>
          <w:sz w:val="18"/>
          <w:szCs w:val="18"/>
          <w:i w:val="1"/>
          <w:iCs w:val="1"/>
          <w:color w:val="auto"/>
        </w:rPr>
        <w:t>Section 2.5.1(a)(iii)</w:t>
      </w:r>
      <w:r>
        <w:rPr>
          <w:rFonts w:ascii="Times New Roman" w:cs="Times New Roman" w:eastAsia="Times New Roman" w:hAnsi="Times New Roman"/>
          <w:sz w:val="18"/>
          <w:szCs w:val="18"/>
          <w:color w:val="auto"/>
        </w:rPr>
        <w:t xml:space="preserve"> above shall be made from the following sources and in the following order of priority:</w:t>
      </w:r>
    </w:p>
    <w:p>
      <w:pPr>
        <w:spacing w:after="0" w:line="183" w:lineRule="exact"/>
        <w:rPr>
          <w:sz w:val="20"/>
          <w:szCs w:val="20"/>
          <w:color w:val="auto"/>
        </w:rPr>
      </w:pPr>
    </w:p>
    <w:p>
      <w:pPr>
        <w:ind w:left="1360" w:hanging="280"/>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from funds from time to time on deposit in the Company's Funds Account, until Exhausted;</w:t>
      </w:r>
    </w:p>
    <w:p>
      <w:pPr>
        <w:spacing w:after="0" w:line="225" w:lineRule="exact"/>
        <w:rPr>
          <w:rFonts w:ascii="Times New Roman" w:cs="Times New Roman" w:eastAsia="Times New Roman" w:hAnsi="Times New Roman"/>
          <w:sz w:val="18"/>
          <w:szCs w:val="18"/>
          <w:color w:val="auto"/>
        </w:rPr>
      </w:pPr>
    </w:p>
    <w:p>
      <w:pPr>
        <w:ind w:left="720" w:right="520" w:firstLine="360"/>
        <w:spacing w:after="0" w:line="275" w:lineRule="auto"/>
        <w:tabs>
          <w:tab w:leader="none" w:pos="13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from funds from time to time on deposit in the Second Mortgage Notes Proceeds Account, until the amount remaining in the Second Mortgage Notes Proceeds Account equals but does not exceed the Second Mortgage Notes Interest Reserve Amount; and</w:t>
      </w:r>
    </w:p>
    <w:p>
      <w:pPr>
        <w:spacing w:after="0" w:line="171" w:lineRule="exact"/>
        <w:rPr>
          <w:rFonts w:ascii="Times New Roman" w:cs="Times New Roman" w:eastAsia="Times New Roman" w:hAnsi="Times New Roman"/>
          <w:sz w:val="18"/>
          <w:szCs w:val="18"/>
          <w:color w:val="auto"/>
        </w:rPr>
      </w:pPr>
    </w:p>
    <w:p>
      <w:pPr>
        <w:ind w:left="1360" w:hanging="280"/>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then, subject to </w:t>
      </w:r>
      <w:r>
        <w:rPr>
          <w:rFonts w:ascii="Times New Roman" w:cs="Times New Roman" w:eastAsia="Times New Roman" w:hAnsi="Times New Roman"/>
          <w:sz w:val="18"/>
          <w:szCs w:val="18"/>
          <w:i w:val="1"/>
          <w:iCs w:val="1"/>
          <w:color w:val="auto"/>
        </w:rPr>
        <w:t>Section 2.5.6</w:t>
      </w:r>
      <w:r>
        <w:rPr>
          <w:rFonts w:ascii="Times New Roman" w:cs="Times New Roman" w:eastAsia="Times New Roman" w:hAnsi="Times New Roman"/>
          <w:sz w:val="18"/>
          <w:szCs w:val="18"/>
          <w:color w:val="auto"/>
        </w:rPr>
        <w:t>, from funds available to be drawn under the Bank Credit Facility, until Exhausted.</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1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i w:val="1"/>
          <w:iCs w:val="1"/>
          <w:color w:val="auto"/>
        </w:rPr>
        <w:t>Advances Under the Bank Credit Facility.</w:t>
      </w:r>
      <w:r>
        <w:rPr>
          <w:rFonts w:ascii="Times New Roman" w:cs="Times New Roman" w:eastAsia="Times New Roman" w:hAnsi="Times New Roman"/>
          <w:sz w:val="18"/>
          <w:szCs w:val="18"/>
          <w:color w:val="auto"/>
        </w:rPr>
        <w:t xml:space="preserve"> All issuances of Letters of Credit under the Bank Credit Facility shall be satisfied through the Bank Revolving Facility pursuant to the procedures set forth in </w:t>
      </w:r>
      <w:r>
        <w:rPr>
          <w:rFonts w:ascii="Times New Roman" w:cs="Times New Roman" w:eastAsia="Times New Roman" w:hAnsi="Times New Roman"/>
          <w:sz w:val="18"/>
          <w:szCs w:val="18"/>
          <w:i w:val="1"/>
          <w:iCs w:val="1"/>
          <w:color w:val="auto"/>
        </w:rPr>
        <w:t>Article 3</w:t>
      </w:r>
      <w:r>
        <w:rPr>
          <w:rFonts w:ascii="Times New Roman" w:cs="Times New Roman" w:eastAsia="Times New Roman" w:hAnsi="Times New Roman"/>
          <w:sz w:val="18"/>
          <w:szCs w:val="18"/>
          <w:color w:val="auto"/>
        </w:rPr>
        <w:t xml:space="preserve"> of the Bank Credit Agreement. All other amounts required to be obtained from the Bank Credit Facility for deposit in the Disbursement Account shall be satisfied as follows:</w:t>
      </w:r>
    </w:p>
    <w:p>
      <w:pPr>
        <w:spacing w:after="0" w:line="183" w:lineRule="exact"/>
        <w:rPr>
          <w:sz w:val="20"/>
          <w:szCs w:val="20"/>
          <w:color w:val="auto"/>
        </w:rPr>
      </w:pPr>
    </w:p>
    <w:p>
      <w:pPr>
        <w:ind w:left="720" w:right="240" w:firstLine="360"/>
        <w:spacing w:after="0" w:line="275" w:lineRule="auto"/>
        <w:tabs>
          <w:tab w:leader="none" w:pos="13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from amounts on deposit in the Bank Proceeds Account on the relevant date, to the extent thereof (excluding amounts previously advanced to the Bank Proceeds Account pursuant to </w:t>
      </w:r>
      <w:r>
        <w:rPr>
          <w:rFonts w:ascii="Times New Roman" w:cs="Times New Roman" w:eastAsia="Times New Roman" w:hAnsi="Times New Roman"/>
          <w:sz w:val="18"/>
          <w:szCs w:val="18"/>
          <w:i w:val="1"/>
          <w:iCs w:val="1"/>
          <w:color w:val="auto"/>
        </w:rPr>
        <w:t>Section 2.6.1(a)</w:t>
      </w:r>
      <w:r>
        <w:rPr>
          <w:rFonts w:ascii="Times New Roman" w:cs="Times New Roman" w:eastAsia="Times New Roman" w:hAnsi="Times New Roman"/>
          <w:sz w:val="18"/>
          <w:szCs w:val="18"/>
          <w:color w:val="auto"/>
        </w:rPr>
        <w:t xml:space="preserve"> which are intended to be used for Company payroll); and</w:t>
      </w:r>
    </w:p>
    <w:p>
      <w:pPr>
        <w:spacing w:after="0" w:line="173" w:lineRule="exact"/>
        <w:rPr>
          <w:rFonts w:ascii="Times New Roman" w:cs="Times New Roman" w:eastAsia="Times New Roman" w:hAnsi="Times New Roman"/>
          <w:sz w:val="18"/>
          <w:szCs w:val="18"/>
          <w:color w:val="auto"/>
        </w:rPr>
      </w:pPr>
    </w:p>
    <w:p>
      <w:pPr>
        <w:ind w:left="1380" w:hanging="300"/>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through Advances by the Bank Lenders.</w:t>
      </w:r>
    </w:p>
    <w:p>
      <w:pPr>
        <w:spacing w:after="0" w:line="223" w:lineRule="exact"/>
        <w:rPr>
          <w:sz w:val="20"/>
          <w:szCs w:val="20"/>
          <w:color w:val="auto"/>
        </w:rPr>
      </w:pPr>
    </w:p>
    <w:p>
      <w:pPr>
        <w:ind w:left="180" w:right="2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i w:val="1"/>
          <w:iCs w:val="1"/>
          <w:color w:val="auto"/>
        </w:rPr>
        <w:t>Advances After Completion Date.</w:t>
      </w:r>
      <w:r>
        <w:rPr>
          <w:rFonts w:ascii="Times New Roman" w:cs="Times New Roman" w:eastAsia="Times New Roman" w:hAnsi="Times New Roman"/>
          <w:sz w:val="18"/>
          <w:szCs w:val="18"/>
          <w:color w:val="auto"/>
        </w:rPr>
        <w:t xml:space="preserve"> Notwithstanding the foregoing, after Exhaustion of the Required Completion Amount on deposit in the Bank Proceeds Account and the FF&amp;E Proceeds Account, other amounts required to be obtained to pay Project Costs incurred to achieve Final Completion shall be satisfied as follows:</w:t>
      </w:r>
    </w:p>
    <w:p>
      <w:pPr>
        <w:spacing w:after="0" w:line="183" w:lineRule="exact"/>
        <w:rPr>
          <w:sz w:val="20"/>
          <w:szCs w:val="20"/>
          <w:color w:val="auto"/>
        </w:rPr>
      </w:pPr>
    </w:p>
    <w:p>
      <w:pPr>
        <w:ind w:left="720" w:right="80" w:firstLine="360"/>
        <w:spacing w:after="0" w:line="275" w:lineRule="auto"/>
        <w:tabs>
          <w:tab w:leader="none" w:pos="13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borrowing funds under the Bank Revolving Facility until the aggregate amount borrowed thereunder (excluding any borrowings of the Bank Debt Service Commitment Portion) shall equal $718,490,525;</w:t>
      </w:r>
    </w:p>
    <w:p>
      <w:pPr>
        <w:spacing w:after="0" w:line="173" w:lineRule="exact"/>
        <w:rPr>
          <w:rFonts w:ascii="Times New Roman" w:cs="Times New Roman" w:eastAsia="Times New Roman" w:hAnsi="Times New Roman"/>
          <w:sz w:val="18"/>
          <w:szCs w:val="18"/>
          <w:color w:val="auto"/>
        </w:rPr>
      </w:pPr>
    </w:p>
    <w:p>
      <w:pPr>
        <w:ind w:left="720" w:right="320" w:firstLine="360"/>
        <w:spacing w:after="0" w:line="275" w:lineRule="auto"/>
        <w:tabs>
          <w:tab w:leader="none" w:pos="13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by withdrawing funds on deposit in the Completion Guaranty Deposit Account and transferring such funds to the Disbursement Account; and</w:t>
      </w:r>
    </w:p>
    <w:p>
      <w:pPr>
        <w:spacing w:after="0" w:line="173" w:lineRule="exact"/>
        <w:rPr>
          <w:rFonts w:ascii="Times New Roman" w:cs="Times New Roman" w:eastAsia="Times New Roman" w:hAnsi="Times New Roman"/>
          <w:sz w:val="18"/>
          <w:szCs w:val="18"/>
          <w:color w:val="auto"/>
        </w:rPr>
      </w:pPr>
    </w:p>
    <w:p>
      <w:pPr>
        <w:ind w:left="1360" w:hanging="280"/>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by using other amounts available to the Company (other than funds available under the Bank Revolving Facility).</w:t>
      </w:r>
    </w:p>
    <w:p>
      <w:pPr>
        <w:sectPr>
          <w:pgSz w:w="11900" w:h="16838" w:orient="portrait"/>
          <w:cols w:equalWidth="0" w:num="1">
            <w:col w:w="11040"/>
          </w:cols>
          <w:pgMar w:left="600" w:top="123" w:right="259" w:bottom="0" w:gutter="0" w:footer="0" w:header="0"/>
        </w:sectPr>
      </w:pPr>
    </w:p>
    <w:bookmarkStart w:id="18" w:name="page19"/>
    <w:bookmarkEnd w:id="18"/>
    <w:p>
      <w:pPr>
        <w:spacing w:after="0" w:line="18" w:lineRule="exact"/>
        <w:rPr>
          <w:sz w:val="20"/>
          <w:szCs w:val="20"/>
          <w:color w:val="auto"/>
        </w:rPr>
      </w:pPr>
    </w:p>
    <w:p>
      <w:pPr>
        <w:ind w:left="1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i w:val="1"/>
          <w:iCs w:val="1"/>
          <w:color w:val="auto"/>
        </w:rPr>
        <w:t>Advances Under the FF&amp;E Facility.</w:t>
      </w:r>
      <w:r>
        <w:rPr>
          <w:rFonts w:ascii="Times New Roman" w:cs="Times New Roman" w:eastAsia="Times New Roman" w:hAnsi="Times New Roman"/>
          <w:sz w:val="18"/>
          <w:szCs w:val="18"/>
          <w:color w:val="auto"/>
        </w:rPr>
        <w:t xml:space="preserve"> The amount of $38,000,000 required to be obtained from the FF&amp;E Facility to refinance the purchase of the Aircraft shall be satisfied through Advances of funds by the FF&amp;E Lenders to the FF&amp;E Agent and (i) Advances of funds by the FF&amp;E Agent in the amount of $28,523,995.42 directly to the Original Aircraft Lender and (ii) Advances of funds by the Agent in the amount of $9,476,004.58 which shall be deposited into the Company's Funds Account. All other amounts required to be obtained from the FF&amp;E Facility for deposit in the FF&amp;E Proceeds Account shall be satisfied as follows:</w:t>
      </w:r>
    </w:p>
    <w:p>
      <w:pPr>
        <w:spacing w:after="0" w:line="190" w:lineRule="exact"/>
        <w:rPr>
          <w:sz w:val="20"/>
          <w:szCs w:val="20"/>
          <w:color w:val="auto"/>
        </w:rPr>
      </w:pPr>
    </w:p>
    <w:p>
      <w:pPr>
        <w:ind w:left="1360" w:hanging="280"/>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from amounts on deposit in the FF&amp;E Proceeds Account on the relevant date, to the extent thereof; and</w:t>
      </w:r>
    </w:p>
    <w:p>
      <w:pPr>
        <w:spacing w:after="0" w:line="225" w:lineRule="exact"/>
        <w:rPr>
          <w:rFonts w:ascii="Times New Roman" w:cs="Times New Roman" w:eastAsia="Times New Roman" w:hAnsi="Times New Roman"/>
          <w:sz w:val="18"/>
          <w:szCs w:val="18"/>
          <w:color w:val="auto"/>
        </w:rPr>
      </w:pPr>
    </w:p>
    <w:p>
      <w:pPr>
        <w:ind w:left="1380" w:hanging="30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through Advances by the FF&amp;E Lenders.</w:t>
      </w:r>
    </w:p>
    <w:p>
      <w:pPr>
        <w:spacing w:after="0" w:line="223" w:lineRule="exact"/>
        <w:rPr>
          <w:sz w:val="20"/>
          <w:szCs w:val="20"/>
          <w:color w:val="auto"/>
        </w:rPr>
      </w:pPr>
    </w:p>
    <w:p>
      <w:pPr>
        <w:ind w:left="180" w:right="1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2.5.6 </w:t>
      </w:r>
      <w:r>
        <w:rPr>
          <w:rFonts w:ascii="Times New Roman" w:cs="Times New Roman" w:eastAsia="Times New Roman" w:hAnsi="Times New Roman"/>
          <w:sz w:val="18"/>
          <w:szCs w:val="18"/>
          <w:i w:val="1"/>
          <w:iCs w:val="1"/>
          <w:color w:val="auto"/>
        </w:rPr>
        <w:t>Advances of Second Mortgage Notes Interest Reserve Amount.</w:t>
      </w:r>
      <w:r>
        <w:rPr>
          <w:rFonts w:ascii="Times New Roman" w:cs="Times New Roman" w:eastAsia="Times New Roman" w:hAnsi="Times New Roman"/>
          <w:sz w:val="18"/>
          <w:szCs w:val="18"/>
          <w:color w:val="auto"/>
        </w:rPr>
        <w:t xml:space="preserve"> Notwithstanding the foregoing, from and after the initial Advance under the Bank Credit Agreement, Debt Service on the Second Mortgage Notes shall, until funds in the Second Mortgage Notes Proceeds Account have been Exhausted, be paid exclusively from amounts on deposit in the Second Mortgage Notes Proceeds Account.</w:t>
      </w:r>
    </w:p>
    <w:p>
      <w:pPr>
        <w:spacing w:after="0" w:line="181" w:lineRule="exact"/>
        <w:rPr>
          <w:sz w:val="20"/>
          <w:szCs w:val="20"/>
          <w:color w:val="auto"/>
        </w:rPr>
      </w:pPr>
    </w:p>
    <w:p>
      <w:pPr>
        <w:ind w:left="180" w:right="3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2.5.7 </w:t>
      </w:r>
      <w:r>
        <w:rPr>
          <w:rFonts w:ascii="Times New Roman" w:cs="Times New Roman" w:eastAsia="Times New Roman" w:hAnsi="Times New Roman"/>
          <w:sz w:val="18"/>
          <w:szCs w:val="18"/>
          <w:i w:val="1"/>
          <w:iCs w:val="1"/>
          <w:color w:val="auto"/>
        </w:rPr>
        <w:t>Post-Funding Reallocations.</w:t>
      </w:r>
      <w:r>
        <w:rPr>
          <w:rFonts w:ascii="Times New Roman" w:cs="Times New Roman" w:eastAsia="Times New Roman" w:hAnsi="Times New Roman"/>
          <w:sz w:val="18"/>
          <w:szCs w:val="18"/>
          <w:color w:val="auto"/>
        </w:rPr>
        <w:t xml:space="preserve"> In the event that at any time the Disbursement Agent determines that the allocations made in any previous Advance Requests pursuant to the foregoing provisions of this </w:t>
      </w:r>
      <w:r>
        <w:rPr>
          <w:rFonts w:ascii="Times New Roman" w:cs="Times New Roman" w:eastAsia="Times New Roman" w:hAnsi="Times New Roman"/>
          <w:sz w:val="18"/>
          <w:szCs w:val="18"/>
          <w:i w:val="1"/>
          <w:iCs w:val="1"/>
          <w:color w:val="auto"/>
        </w:rPr>
        <w:t>Section 2.5</w:t>
      </w:r>
      <w:r>
        <w:rPr>
          <w:rFonts w:ascii="Times New Roman" w:cs="Times New Roman" w:eastAsia="Times New Roman" w:hAnsi="Times New Roman"/>
          <w:sz w:val="18"/>
          <w:szCs w:val="18"/>
          <w:color w:val="auto"/>
        </w:rPr>
        <w:t xml:space="preserve"> were erroneous or inaccurate, the parties shall cooperate to rectify such misallocations by allocating future Advances in a manner that accounts for the previous misallocation or by using such other methods reasonably determined by the Disbursement Agent.</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6"/>
          <w:szCs w:val="16"/>
          <w:b w:val="1"/>
          <w:bCs w:val="1"/>
          <w:i w:val="1"/>
          <w:iCs w:val="1"/>
          <w:color w:val="auto"/>
        </w:rPr>
        <w:t>Disbursements.</w:t>
      </w:r>
    </w:p>
    <w:p>
      <w:pPr>
        <w:spacing w:after="0" w:line="227" w:lineRule="exact"/>
        <w:rPr>
          <w:sz w:val="20"/>
          <w:szCs w:val="20"/>
          <w:color w:val="auto"/>
        </w:rPr>
      </w:pPr>
    </w:p>
    <w:p>
      <w:pPr>
        <w:ind w:left="180" w:right="3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i w:val="1"/>
          <w:iCs w:val="1"/>
          <w:color w:val="auto"/>
        </w:rPr>
        <w:t>Disbursement Procedures.</w:t>
      </w:r>
      <w:r>
        <w:rPr>
          <w:rFonts w:ascii="Times New Roman" w:cs="Times New Roman" w:eastAsia="Times New Roman" w:hAnsi="Times New Roman"/>
          <w:sz w:val="18"/>
          <w:szCs w:val="18"/>
          <w:color w:val="auto"/>
        </w:rPr>
        <w:t xml:space="preserve"> No later than 2:00 p.m. New York, New York time on the requested Advance Date, or such later date as may occur pursuant to </w:t>
      </w:r>
      <w:r>
        <w:rPr>
          <w:rFonts w:ascii="Times New Roman" w:cs="Times New Roman" w:eastAsia="Times New Roman" w:hAnsi="Times New Roman"/>
          <w:sz w:val="18"/>
          <w:szCs w:val="18"/>
          <w:i w:val="1"/>
          <w:iCs w:val="1"/>
          <w:color w:val="auto"/>
        </w:rPr>
        <w:t>Section 2.4.4(a)</w:t>
      </w:r>
      <w:r>
        <w:rPr>
          <w:rFonts w:ascii="Times New Roman" w:cs="Times New Roman" w:eastAsia="Times New Roman" w:hAnsi="Times New Roman"/>
          <w:sz w:val="18"/>
          <w:szCs w:val="18"/>
          <w:color w:val="auto"/>
        </w:rPr>
        <w:t>, if the Disbursement Agent has (i) received funds from each Bank Lender and each FF&amp;E Lender</w:t>
      </w:r>
    </w:p>
    <w:p>
      <w:pPr>
        <w:spacing w:after="0" w:line="1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20"/>
        <w:spacing w:after="0" w:line="253" w:lineRule="auto"/>
        <w:rPr>
          <w:sz w:val="20"/>
          <w:szCs w:val="20"/>
          <w:color w:val="auto"/>
        </w:rPr>
      </w:pPr>
      <w:r>
        <w:rPr>
          <w:rFonts w:ascii="Times New Roman" w:cs="Times New Roman" w:eastAsia="Times New Roman" w:hAnsi="Times New Roman"/>
          <w:sz w:val="18"/>
          <w:szCs w:val="18"/>
          <w:color w:val="auto"/>
        </w:rPr>
        <w:t xml:space="preserve">required to make an Advance pursuant to the relevant Advance Request (other than (x) $28,523,995.42 to refinance indebtedness incurred to fund the original purchase of an Aircraft, which shall be paid by the FF&amp;E Agent directly to the Original Aircraft Lender, (y) $9,476,004.58 to be advanced by the FF&amp;E Agent and deposited in the Company's Funds Account and (z) any portion of such Advance for which a Letter of Credit is to be issued under the Bank Credit Facility) (or if the applicable Lenders make the request described in the second sentence of </w:t>
      </w:r>
      <w:r>
        <w:rPr>
          <w:rFonts w:ascii="Times New Roman" w:cs="Times New Roman" w:eastAsia="Times New Roman" w:hAnsi="Times New Roman"/>
          <w:sz w:val="18"/>
          <w:szCs w:val="18"/>
          <w:i w:val="1"/>
          <w:iCs w:val="1"/>
          <w:color w:val="auto"/>
        </w:rPr>
        <w:t>Section 2.4.4(b)</w:t>
      </w:r>
      <w:r>
        <w:rPr>
          <w:rFonts w:ascii="Times New Roman" w:cs="Times New Roman" w:eastAsia="Times New Roman" w:hAnsi="Times New Roman"/>
          <w:sz w:val="18"/>
          <w:szCs w:val="18"/>
          <w:color w:val="auto"/>
        </w:rPr>
        <w:t xml:space="preserve">), (ii) if applicable, received confirmation from the Bank Agent that the "Issuing Lenders" (as defined in the Bank Credit Agreement) under the Bank Revolving Facility are committed to issue each requested Letter of Credit, and (iii) transferred funds from the Company's Funds Account, the Second Mortgage Note Proceeds Account, the Bank Proceeds Account and/or the Completion Guaranty Deposit Account to the Disbursement Account as required pursuant to the terms hereof, the Disbursement Agent shall transfer all such funds (or, where applicable, the funds as to which the request described in the second sentence of </w:t>
      </w:r>
      <w:r>
        <w:rPr>
          <w:rFonts w:ascii="Times New Roman" w:cs="Times New Roman" w:eastAsia="Times New Roman" w:hAnsi="Times New Roman"/>
          <w:sz w:val="18"/>
          <w:szCs w:val="18"/>
          <w:i w:val="1"/>
          <w:iCs w:val="1"/>
          <w:color w:val="auto"/>
        </w:rPr>
        <w:t xml:space="preserve">Section 2.4.4(b) </w:t>
      </w:r>
      <w:r>
        <w:rPr>
          <w:rFonts w:ascii="Times New Roman" w:cs="Times New Roman" w:eastAsia="Times New Roman" w:hAnsi="Times New Roman"/>
          <w:sz w:val="18"/>
          <w:szCs w:val="18"/>
          <w:color w:val="auto"/>
        </w:rPr>
        <w:t>has been made) as follows:</w:t>
      </w:r>
    </w:p>
    <w:p>
      <w:pPr>
        <w:spacing w:after="0" w:line="197" w:lineRule="exact"/>
        <w:rPr>
          <w:sz w:val="20"/>
          <w:szCs w:val="20"/>
          <w:color w:val="auto"/>
        </w:rPr>
      </w:pPr>
    </w:p>
    <w:p>
      <w:pPr>
        <w:ind w:left="1360" w:hanging="280"/>
        <w:spacing w:after="0"/>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set forth in the Advance Request, by disbursement to the Interest Payment Account and/or the Bank Proceeds Account;</w:t>
      </w:r>
    </w:p>
    <w:p>
      <w:pPr>
        <w:spacing w:after="0" w:line="225" w:lineRule="exact"/>
        <w:rPr>
          <w:rFonts w:ascii="Times New Roman" w:cs="Times New Roman" w:eastAsia="Times New Roman" w:hAnsi="Times New Roman"/>
          <w:sz w:val="18"/>
          <w:szCs w:val="18"/>
          <w:color w:val="auto"/>
        </w:rPr>
      </w:pPr>
    </w:p>
    <w:p>
      <w:pPr>
        <w:ind w:left="720" w:right="60" w:firstLine="360"/>
        <w:spacing w:after="0" w:line="275" w:lineRule="auto"/>
        <w:tabs>
          <w:tab w:leader="none" w:pos="13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set forth in the Advance Request, by disbursement to the Soft Costs Cash Management Account and/or the Hard Costs Cash Management Account;</w:t>
      </w:r>
    </w:p>
    <w:p>
      <w:pPr>
        <w:spacing w:after="0" w:line="173" w:lineRule="exact"/>
        <w:rPr>
          <w:rFonts w:ascii="Times New Roman" w:cs="Times New Roman" w:eastAsia="Times New Roman" w:hAnsi="Times New Roman"/>
          <w:sz w:val="18"/>
          <w:szCs w:val="18"/>
          <w:color w:val="auto"/>
        </w:rPr>
      </w:pPr>
    </w:p>
    <w:p>
      <w:pPr>
        <w:ind w:left="1360" w:hanging="280"/>
        <w:spacing w:after="0"/>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amounts requested by the Advance Request to be paid from the Disbursement Account to (i) the Prime Contractor,</w:t>
      </w:r>
    </w:p>
    <w:p>
      <w:pPr>
        <w:spacing w:after="0" w:line="21" w:lineRule="exact"/>
        <w:rPr>
          <w:rFonts w:ascii="Times New Roman" w:cs="Times New Roman" w:eastAsia="Times New Roman" w:hAnsi="Times New Roman"/>
          <w:sz w:val="18"/>
          <w:szCs w:val="18"/>
          <w:color w:val="auto"/>
        </w:rPr>
      </w:pPr>
    </w:p>
    <w:p>
      <w:pPr>
        <w:ind w:left="980" w:hanging="252"/>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other Contractor and Subcontractor owed Project Costs to be paid pursuant to </w:t>
      </w:r>
      <w:r>
        <w:rPr>
          <w:rFonts w:ascii="Times New Roman" w:cs="Times New Roman" w:eastAsia="Times New Roman" w:hAnsi="Times New Roman"/>
          <w:sz w:val="18"/>
          <w:szCs w:val="18"/>
          <w:i w:val="1"/>
          <w:iCs w:val="1"/>
          <w:color w:val="auto"/>
        </w:rPr>
        <w:t>Sections 2.5.2 or 2.5.4</w:t>
      </w:r>
      <w:r>
        <w:rPr>
          <w:rFonts w:ascii="Times New Roman" w:cs="Times New Roman" w:eastAsia="Times New Roman" w:hAnsi="Times New Roman"/>
          <w:sz w:val="18"/>
          <w:szCs w:val="18"/>
          <w:color w:val="auto"/>
        </w:rPr>
        <w:t xml:space="preserve"> in excess of $7,000,000, and</w:t>
      </w:r>
    </w:p>
    <w:p>
      <w:pPr>
        <w:spacing w:after="0" w:line="9" w:lineRule="exact"/>
        <w:rPr>
          <w:rFonts w:ascii="Times New Roman" w:cs="Times New Roman" w:eastAsia="Times New Roman" w:hAnsi="Times New Roman"/>
          <w:sz w:val="18"/>
          <w:szCs w:val="18"/>
          <w:color w:val="auto"/>
        </w:rPr>
      </w:pPr>
    </w:p>
    <w:p>
      <w:pPr>
        <w:ind w:left="720" w:right="200" w:firstLine="8"/>
        <w:spacing w:after="0" w:line="255" w:lineRule="auto"/>
        <w:tabs>
          <w:tab w:leader="none" w:pos="10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institution that will be issuing a commercial letter of credit for the account of the Company that will be cash-collateralized in accordance with clause (g) of the definition of "Project Costs," by wiring funds directly to the account of such Person set forth in the Company's Advance Request;</w:t>
      </w:r>
    </w:p>
    <w:p>
      <w:pPr>
        <w:spacing w:after="0" w:line="192" w:lineRule="exact"/>
        <w:rPr>
          <w:rFonts w:ascii="Times New Roman" w:cs="Times New Roman" w:eastAsia="Times New Roman" w:hAnsi="Times New Roman"/>
          <w:sz w:val="18"/>
          <w:szCs w:val="18"/>
          <w:color w:val="auto"/>
        </w:rPr>
      </w:pPr>
    </w:p>
    <w:p>
      <w:pPr>
        <w:ind w:left="720" w:right="160" w:firstLine="360"/>
        <w:spacing w:after="0" w:line="262" w:lineRule="auto"/>
        <w:tabs>
          <w:tab w:leader="none" w:pos="13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transferring any remaining funds in the Disbursement Account to the Company's Payment Account for further distribution by the Company to each Contractor and Subcontractor owed Project Costs to be paid pursuant to </w:t>
      </w:r>
      <w:r>
        <w:rPr>
          <w:rFonts w:ascii="Times New Roman" w:cs="Times New Roman" w:eastAsia="Times New Roman" w:hAnsi="Times New Roman"/>
          <w:sz w:val="18"/>
          <w:szCs w:val="18"/>
          <w:i w:val="1"/>
          <w:iCs w:val="1"/>
          <w:color w:val="auto"/>
        </w:rPr>
        <w:t>Sections 2.5.2 or 2.5.4</w:t>
      </w:r>
      <w:r>
        <w:rPr>
          <w:rFonts w:ascii="Times New Roman" w:cs="Times New Roman" w:eastAsia="Times New Roman" w:hAnsi="Times New Roman"/>
          <w:sz w:val="18"/>
          <w:szCs w:val="18"/>
          <w:color w:val="auto"/>
        </w:rPr>
        <w:t xml:space="preserve"> in an amount less than or equal to $7,000,000 (excluding the Prime Contractor);</w:t>
      </w:r>
    </w:p>
    <w:p>
      <w:pPr>
        <w:spacing w:after="0" w:line="186" w:lineRule="exact"/>
        <w:rPr>
          <w:rFonts w:ascii="Times New Roman" w:cs="Times New Roman" w:eastAsia="Times New Roman" w:hAnsi="Times New Roman"/>
          <w:sz w:val="18"/>
          <w:szCs w:val="18"/>
          <w:color w:val="auto"/>
        </w:rPr>
      </w:pPr>
    </w:p>
    <w:p>
      <w:pPr>
        <w:ind w:left="720" w:right="40" w:firstLine="360"/>
        <w:spacing w:after="0" w:line="256" w:lineRule="auto"/>
        <w:tabs>
          <w:tab w:leader="none" w:pos="13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amounts requested by the Advance Request to be paid from the FF&amp;E Proceeds Account to (i) each Contractor and Subcontractor owed Project Costs allocated to the FF&amp;E Component in excess of $7,000,000, and (ii) any financial institution that will be issuing a commercial letter of credit allocated to the FF&amp;E Component for the account of the Company that will be cash-collateralized in accordance with clause (g) of the definition of "Project Costs," by wiring funds directly to the account of such Person set forth in the Company's Advance Request; and</w:t>
      </w:r>
    </w:p>
    <w:p>
      <w:pPr>
        <w:spacing w:after="0" w:line="192" w:lineRule="exact"/>
        <w:rPr>
          <w:rFonts w:ascii="Times New Roman" w:cs="Times New Roman" w:eastAsia="Times New Roman" w:hAnsi="Times New Roman"/>
          <w:sz w:val="18"/>
          <w:szCs w:val="18"/>
          <w:color w:val="auto"/>
        </w:rPr>
      </w:pPr>
    </w:p>
    <w:p>
      <w:pPr>
        <w:jc w:val="both"/>
        <w:ind w:left="720" w:right="200" w:firstLine="360"/>
        <w:spacing w:after="0" w:line="262" w:lineRule="auto"/>
        <w:tabs>
          <w:tab w:leader="none" w:pos="14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transferring any remaining funds in the FF&amp;E Proceeds Account to the Company's FF&amp;E Payment Account for further distribution by the Company to each Contractor and Subcontractor owed Project Costs allocated to the FF&amp;E Component in an amount less than or equal to $7,000,000.</w:t>
      </w:r>
    </w:p>
    <w:p>
      <w:pPr>
        <w:spacing w:after="0" w:line="184" w:lineRule="exact"/>
        <w:rPr>
          <w:sz w:val="20"/>
          <w:szCs w:val="20"/>
          <w:color w:val="auto"/>
        </w:rPr>
      </w:pPr>
    </w:p>
    <w:p>
      <w:pPr>
        <w:ind w:left="180"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i w:val="1"/>
          <w:iCs w:val="1"/>
          <w:color w:val="auto"/>
        </w:rPr>
        <w:t>Special Procedures for Unpaid Contractors.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i w:val="1"/>
          <w:iCs w:val="1"/>
          <w:color w:val="auto"/>
        </w:rPr>
        <w:t>Section 2.6.1</w:t>
      </w:r>
      <w:r>
        <w:rPr>
          <w:rFonts w:ascii="Times New Roman" w:cs="Times New Roman" w:eastAsia="Times New Roman" w:hAnsi="Times New Roman"/>
          <w:sz w:val="18"/>
          <w:szCs w:val="18"/>
          <w:color w:val="auto"/>
        </w:rPr>
        <w:t xml:space="preserve"> above, the Company agrees that the Disbursement Agent may make Advances and transfer any or all sums in the Disbursement Account (and in the case of amounts owing to Contractors allocable to the FF&amp;E Component, in the FF&amp;E Proceeds Account) directly into the account of any Contractor for amounts due and owing to such Contractor under the relevant Contract, or any other Subcontractors in payment of amounts due and owing to such parties from the Company without further authorization from the Company and the Company hereby constitutes and appoints the</w:t>
      </w:r>
    </w:p>
    <w:p>
      <w:pPr>
        <w:spacing w:after="0" w:line="1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40"/>
        <w:spacing w:after="0" w:line="296" w:lineRule="auto"/>
        <w:rPr>
          <w:sz w:val="20"/>
          <w:szCs w:val="20"/>
          <w:color w:val="auto"/>
        </w:rPr>
      </w:pPr>
      <w:r>
        <w:rPr>
          <w:rFonts w:ascii="Times New Roman" w:cs="Times New Roman" w:eastAsia="Times New Roman" w:hAnsi="Times New Roman"/>
          <w:sz w:val="16"/>
          <w:szCs w:val="16"/>
          <w:color w:val="auto"/>
        </w:rPr>
        <w:t xml:space="preserve">Disbursement Agent its true and lawful attorney-in-fact to make such direct payments and this power of attorney shall be deemed to be a power coupled with an interest and shall be irrevocable;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except upon the occurrence and continuation of an Event of Default, the Disbursement Agent shall not exercise its rights under this power of attorney except to make payments (a) as directed by the Company pursuant to an Advance Request and otherwise as permitted by </w:t>
      </w:r>
      <w:r>
        <w:rPr>
          <w:rFonts w:ascii="Times New Roman" w:cs="Times New Roman" w:eastAsia="Times New Roman" w:hAnsi="Times New Roman"/>
          <w:sz w:val="16"/>
          <w:szCs w:val="16"/>
          <w:i w:val="1"/>
          <w:iCs w:val="1"/>
          <w:color w:val="auto"/>
        </w:rPr>
        <w:t>Section 2.6.1</w:t>
      </w:r>
      <w:r>
        <w:rPr>
          <w:rFonts w:ascii="Times New Roman" w:cs="Times New Roman" w:eastAsia="Times New Roman" w:hAnsi="Times New Roman"/>
          <w:sz w:val="16"/>
          <w:szCs w:val="16"/>
          <w:color w:val="auto"/>
        </w:rPr>
        <w:t xml:space="preserve"> or (b) which the Disbursement Agent reasonably believes, if not promptly made, are reasonably likely to have a Material Adverse Effect. No further direction or authorization from the Company shall be necessary to warrant or permit the Disbursement Agent to make</w:t>
      </w:r>
    </w:p>
    <w:p>
      <w:pPr>
        <w:sectPr>
          <w:pgSz w:w="11900" w:h="16856" w:orient="portrait"/>
          <w:cols w:equalWidth="0" w:num="1">
            <w:col w:w="11060"/>
          </w:cols>
          <w:pgMar w:left="600" w:top="123" w:right="239" w:bottom="0" w:gutter="0" w:footer="0" w:header="0"/>
        </w:sectPr>
      </w:pPr>
    </w:p>
    <w:bookmarkStart w:id="19" w:name="page20"/>
    <w:bookmarkEnd w:id="19"/>
    <w:p>
      <w:pPr>
        <w:ind w:left="540" w:right="140"/>
        <w:spacing w:after="0" w:line="301" w:lineRule="auto"/>
        <w:rPr>
          <w:sz w:val="20"/>
          <w:szCs w:val="20"/>
          <w:color w:val="auto"/>
        </w:rPr>
      </w:pPr>
      <w:r>
        <w:rPr>
          <w:rFonts w:ascii="Times New Roman" w:cs="Times New Roman" w:eastAsia="Times New Roman" w:hAnsi="Times New Roman"/>
          <w:sz w:val="16"/>
          <w:szCs w:val="16"/>
          <w:color w:val="auto"/>
        </w:rPr>
        <w:t xml:space="preserve">such Advances in accordance with the foregoing sentence and, to the extent funds in the Disbursement Account (and in the case of amounts owing to Contractors allocable to the FF&amp;E Component, in the FF&amp;E Proceeds Account) are not sufficient to make such Advances, the Disbursement Agent shall withdraw the shortfall from the Company's Funds Account, the Second Mortgage Notes Proceeds Account and/or the Bank Proceeds Account in accordance with </w:t>
      </w:r>
      <w:r>
        <w:rPr>
          <w:rFonts w:ascii="Times New Roman" w:cs="Times New Roman" w:eastAsia="Times New Roman" w:hAnsi="Times New Roman"/>
          <w:sz w:val="16"/>
          <w:szCs w:val="16"/>
          <w:i w:val="1"/>
          <w:iCs w:val="1"/>
          <w:color w:val="auto"/>
        </w:rPr>
        <w:t>Sections 2.5.1 and/or 2.5.2</w:t>
      </w:r>
      <w:r>
        <w:rPr>
          <w:rFonts w:ascii="Times New Roman" w:cs="Times New Roman" w:eastAsia="Times New Roman" w:hAnsi="Times New Roman"/>
          <w:sz w:val="16"/>
          <w:szCs w:val="16"/>
          <w:color w:val="auto"/>
        </w:rPr>
        <w:t xml:space="preserve"> and transfer sufficient funds to the Disbursement Account as needed to make such Advances.</w:t>
      </w:r>
    </w:p>
    <w:p>
      <w:pPr>
        <w:spacing w:after="0" w:line="155" w:lineRule="exact"/>
        <w:rPr>
          <w:sz w:val="20"/>
          <w:szCs w:val="20"/>
          <w:color w:val="auto"/>
        </w:rPr>
      </w:pPr>
    </w:p>
    <w:p>
      <w:pPr>
        <w:jc w:val="both"/>
        <w:ind w:left="540" w:right="1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i w:val="1"/>
          <w:iCs w:val="1"/>
          <w:color w:val="auto"/>
        </w:rPr>
        <w:t>Special Procedures for Payroll.</w:t>
      </w:r>
      <w:r>
        <w:rPr>
          <w:rFonts w:ascii="Times New Roman" w:cs="Times New Roman" w:eastAsia="Times New Roman" w:hAnsi="Times New Roman"/>
          <w:sz w:val="18"/>
          <w:szCs w:val="18"/>
          <w:color w:val="auto"/>
        </w:rPr>
        <w:t xml:space="preserve"> From time to time (but no more frequently than once every two weeks) upon satisfaction of the following conditions precedent, the Disbursement Agent shall transfer amounts previously advanced to the Bank Proceeds Account pursuant to </w:t>
      </w:r>
      <w:r>
        <w:rPr>
          <w:rFonts w:ascii="Times New Roman" w:cs="Times New Roman" w:eastAsia="Times New Roman" w:hAnsi="Times New Roman"/>
          <w:sz w:val="18"/>
          <w:szCs w:val="18"/>
          <w:i w:val="1"/>
          <w:iCs w:val="1"/>
          <w:color w:val="auto"/>
        </w:rPr>
        <w:t>Section 2.6.1(a)</w:t>
      </w:r>
      <w:r>
        <w:rPr>
          <w:rFonts w:ascii="Times New Roman" w:cs="Times New Roman" w:eastAsia="Times New Roman" w:hAnsi="Times New Roman"/>
          <w:sz w:val="18"/>
          <w:szCs w:val="18"/>
          <w:color w:val="auto"/>
        </w:rPr>
        <w:t xml:space="preserve"> to the Soft Costs Cash Management Account:</w:t>
      </w:r>
    </w:p>
    <w:p>
      <w:pPr>
        <w:spacing w:after="0" w:line="183" w:lineRule="exact"/>
        <w:rPr>
          <w:sz w:val="20"/>
          <w:szCs w:val="20"/>
          <w:color w:val="auto"/>
        </w:rPr>
      </w:pPr>
    </w:p>
    <w:p>
      <w:pPr>
        <w:ind w:left="1080" w:right="180" w:firstLine="360"/>
        <w:spacing w:after="0" w:line="275" w:lineRule="auto"/>
        <w:tabs>
          <w:tab w:leader="none" w:pos="17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certified to the Disbursement Agent that the amount requested to be transferred is necessary to pay Soft Costs consisting of Company payroll in accordance with the Project Budget during the ensuing seven (7) days; and</w:t>
      </w:r>
    </w:p>
    <w:p>
      <w:pPr>
        <w:spacing w:after="0" w:line="173" w:lineRule="exact"/>
        <w:rPr>
          <w:rFonts w:ascii="Times New Roman" w:cs="Times New Roman" w:eastAsia="Times New Roman" w:hAnsi="Times New Roman"/>
          <w:sz w:val="18"/>
          <w:szCs w:val="18"/>
          <w:color w:val="auto"/>
        </w:rPr>
      </w:pPr>
    </w:p>
    <w:p>
      <w:pPr>
        <w:jc w:val="both"/>
        <w:ind w:left="1080" w:right="240" w:firstLine="360"/>
        <w:spacing w:after="0" w:line="310" w:lineRule="auto"/>
        <w:tabs>
          <w:tab w:leader="none" w:pos="17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substantiated to the Disbursement Agent's satisfaction, in the manner contemplated by the Advance Request, that amounts previously transferred by the Disbursement Agent from the Bank Proceeds Account to the Soft Costs Cash Management Account pursuant to this </w:t>
      </w:r>
      <w:r>
        <w:rPr>
          <w:rFonts w:ascii="Times New Roman" w:cs="Times New Roman" w:eastAsia="Times New Roman" w:hAnsi="Times New Roman"/>
          <w:sz w:val="16"/>
          <w:szCs w:val="16"/>
          <w:i w:val="1"/>
          <w:iCs w:val="1"/>
          <w:color w:val="auto"/>
        </w:rPr>
        <w:t>Section 2.6.3</w:t>
      </w:r>
      <w:r>
        <w:rPr>
          <w:rFonts w:ascii="Times New Roman" w:cs="Times New Roman" w:eastAsia="Times New Roman" w:hAnsi="Times New Roman"/>
          <w:sz w:val="16"/>
          <w:szCs w:val="16"/>
          <w:color w:val="auto"/>
        </w:rPr>
        <w:t xml:space="preserve"> have been used to pay Soft Costs associated with Company payroll in accordance with the Project Budget.</w:t>
      </w:r>
    </w:p>
    <w:p>
      <w:pPr>
        <w:spacing w:after="0" w:line="149" w:lineRule="exact"/>
        <w:rPr>
          <w:sz w:val="20"/>
          <w:szCs w:val="20"/>
          <w:color w:val="auto"/>
        </w:rPr>
      </w:pPr>
    </w:p>
    <w:p>
      <w:pPr>
        <w:ind w:left="540" w:right="1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2.6.4 </w:t>
      </w:r>
      <w:r>
        <w:rPr>
          <w:rFonts w:ascii="Times New Roman" w:cs="Times New Roman" w:eastAsia="Times New Roman" w:hAnsi="Times New Roman"/>
          <w:sz w:val="18"/>
          <w:szCs w:val="18"/>
          <w:i w:val="1"/>
          <w:iCs w:val="1"/>
          <w:color w:val="auto"/>
        </w:rPr>
        <w:t>Satisfaction of Funding Obligations.</w:t>
      </w:r>
      <w:r>
        <w:rPr>
          <w:rFonts w:ascii="Times New Roman" w:cs="Times New Roman" w:eastAsia="Times New Roman" w:hAnsi="Times New Roman"/>
          <w:sz w:val="18"/>
          <w:szCs w:val="18"/>
          <w:color w:val="auto"/>
        </w:rPr>
        <w:t xml:space="preserve"> All disbursements made pursuant to </w:t>
      </w:r>
      <w:r>
        <w:rPr>
          <w:rFonts w:ascii="Times New Roman" w:cs="Times New Roman" w:eastAsia="Times New Roman" w:hAnsi="Times New Roman"/>
          <w:sz w:val="18"/>
          <w:szCs w:val="18"/>
          <w:i w:val="1"/>
          <w:iCs w:val="1"/>
          <w:color w:val="auto"/>
        </w:rPr>
        <w:t>Sections 2.6.1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2.6.3</w:t>
      </w:r>
      <w:r>
        <w:rPr>
          <w:rFonts w:ascii="Times New Roman" w:cs="Times New Roman" w:eastAsia="Times New Roman" w:hAnsi="Times New Roman"/>
          <w:sz w:val="18"/>
          <w:szCs w:val="18"/>
          <w:color w:val="auto"/>
        </w:rPr>
        <w:t xml:space="preserve"> above shall satisfy, in and of themselves, the obligations of the Disbursement Agent, the Funding Agents and each Lender hereunder and under the relevant Facility Agreements with respect to the Advance so made and (except for amounts which were obtained from the Company's Funds Account) shall be secured by the Facilities' respective Security Documents, if any, to the same extent as if made directly to the Company, regardless of the disposition thereof by the payees of such disbursements.</w:t>
      </w:r>
    </w:p>
    <w:p>
      <w:pPr>
        <w:spacing w:after="0" w:line="186" w:lineRule="exact"/>
        <w:rPr>
          <w:sz w:val="20"/>
          <w:szCs w:val="20"/>
          <w:color w:val="auto"/>
        </w:rPr>
      </w:pPr>
    </w:p>
    <w:p>
      <w:pPr>
        <w:ind w:left="360"/>
        <w:spacing w:after="0"/>
        <w:tabs>
          <w:tab w:leader="none" w:pos="740" w:val="left"/>
          <w:tab w:leader="none" w:pos="31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i w:val="1"/>
          <w:iCs w:val="1"/>
          <w:color w:val="auto"/>
        </w:rPr>
        <w:t>Payments of Interest and Fees.</w:t>
      </w:r>
      <w:r>
        <w:rPr>
          <w:sz w:val="20"/>
          <w:szCs w:val="20"/>
          <w:color w:val="auto"/>
        </w:rPr>
        <w:tab/>
      </w:r>
      <w:r>
        <w:rPr>
          <w:rFonts w:ascii="Times New Roman" w:cs="Times New Roman" w:eastAsia="Times New Roman" w:hAnsi="Times New Roman"/>
          <w:sz w:val="16"/>
          <w:szCs w:val="16"/>
          <w:color w:val="auto"/>
        </w:rPr>
        <w:t>Until the Completion Date, the Company shall include in each Advance Request delivered pursuant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Sections 2.4.1(a)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2.4.2(a) </w:t>
      </w:r>
      <w:r>
        <w:rPr>
          <w:rFonts w:ascii="Times New Roman" w:cs="Times New Roman" w:eastAsia="Times New Roman" w:hAnsi="Times New Roman"/>
          <w:sz w:val="18"/>
          <w:szCs w:val="18"/>
          <w:color w:val="auto"/>
        </w:rPr>
        <w:t>a request that an Advance be made to pay the interest and fees that will become due and payable under each of the Bank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the Second Mortgage Notes and the FF&amp;E Facility on or after the requested Advance Date under such Advance Request and prior to the immediately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succeeding Advance Date. Each such Advance Request shall specify the Facility, the amount and the date on which such interest or fees will become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If the Company fails to set forth such information in any Advance Request or fails to deliver timely any Advance Request, then the Bank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Indenture Trustee and the FF&amp;E Agent as to their respective Facilities may deliver such information and a request for payment to the Disbursement Agent upon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request the Disbursement Agent shall revise the Advance Request and related Notice of Advance Request to provide for such payment.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acknowledges that failure of any notice referenced in this </w:t>
      </w:r>
      <w:r>
        <w:rPr>
          <w:rFonts w:ascii="Times New Roman" w:cs="Times New Roman" w:eastAsia="Times New Roman" w:hAnsi="Times New Roman"/>
          <w:sz w:val="16"/>
          <w:szCs w:val="16"/>
          <w:i w:val="1"/>
          <w:iCs w:val="1"/>
          <w:color w:val="auto"/>
        </w:rPr>
        <w:t>Section 2.7</w:t>
      </w:r>
      <w:r>
        <w:rPr>
          <w:rFonts w:ascii="Times New Roman" w:cs="Times New Roman" w:eastAsia="Times New Roman" w:hAnsi="Times New Roman"/>
          <w:sz w:val="16"/>
          <w:szCs w:val="16"/>
          <w:color w:val="auto"/>
        </w:rPr>
        <w:t xml:space="preserve"> to be delivered to the Disbursement Agent shall not in any way exonerate or diminish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obligation to make all payments under each of the Bank Credit Agreement, the Second Mortgage Notes and the FF&amp;E Facility as and when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6"/>
          <w:szCs w:val="16"/>
          <w:color w:val="auto"/>
        </w:rPr>
        <w:t xml:space="preserve">to the provisions of </w:t>
      </w:r>
      <w:r>
        <w:rPr>
          <w:rFonts w:ascii="Times New Roman" w:cs="Times New Roman" w:eastAsia="Times New Roman" w:hAnsi="Times New Roman"/>
          <w:sz w:val="16"/>
          <w:szCs w:val="16"/>
          <w:i w:val="1"/>
          <w:iCs w:val="1"/>
          <w:color w:val="auto"/>
        </w:rPr>
        <w:t>Section 10.2</w:t>
      </w:r>
      <w:r>
        <w:rPr>
          <w:rFonts w:ascii="Times New Roman" w:cs="Times New Roman" w:eastAsia="Times New Roman" w:hAnsi="Times New Roman"/>
          <w:sz w:val="16"/>
          <w:szCs w:val="16"/>
          <w:color w:val="auto"/>
        </w:rPr>
        <w:t xml:space="preserve"> and the Company Collateral Account Agreements, the Disbursement Agent shall apply amounts on deposit in the Interest Payment Account and, to the extent set forth in </w:t>
      </w:r>
      <w:r>
        <w:rPr>
          <w:rFonts w:ascii="Times New Roman" w:cs="Times New Roman" w:eastAsia="Times New Roman" w:hAnsi="Times New Roman"/>
          <w:sz w:val="16"/>
          <w:szCs w:val="16"/>
          <w:i w:val="1"/>
          <w:iCs w:val="1"/>
          <w:color w:val="auto"/>
        </w:rPr>
        <w:t>Section 2.5.6</w:t>
      </w:r>
      <w:r>
        <w:rPr>
          <w:rFonts w:ascii="Times New Roman" w:cs="Times New Roman" w:eastAsia="Times New Roman" w:hAnsi="Times New Roman"/>
          <w:sz w:val="16"/>
          <w:szCs w:val="16"/>
          <w:color w:val="auto"/>
        </w:rPr>
        <w:t xml:space="preserve">, the Second Mortgage Notes Proceeds Account, to the payment of interest and fees under the Bank Credit Agreement, the Second Mortgage Notes and/or the FF&amp;E Facility, in each case, on the date that the Disbursement Agent is advised such amounts will become due and payable. The Company shall not be permitted to obtain Advances for the purpose of paying interest, fees or other Debt Service at any time after the Completion Date, except for amounts payable from the Second Mortgage Notes Proceeds Account in accordance with </w:t>
      </w:r>
      <w:r>
        <w:rPr>
          <w:rFonts w:ascii="Times New Roman" w:cs="Times New Roman" w:eastAsia="Times New Roman" w:hAnsi="Times New Roman"/>
          <w:sz w:val="16"/>
          <w:szCs w:val="16"/>
          <w:i w:val="1"/>
          <w:iCs w:val="1"/>
          <w:color w:val="auto"/>
        </w:rPr>
        <w:t>Section 2.5.6</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b w:val="1"/>
          <w:bCs w:val="1"/>
          <w:i w:val="1"/>
          <w:iCs w:val="1"/>
          <w:color w:val="auto"/>
        </w:rPr>
        <w:t>FF&amp;E Facility: Initial Advance, FF&amp;E Reimbursement Amount Advance, and Cash Management Account Reimbursements.</w:t>
      </w:r>
    </w:p>
    <w:p>
      <w:pPr>
        <w:spacing w:after="0" w:line="227"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 xml:space="preserve">On the Closing Date, the Company shall include in its initial Advance Request delivered pursuant to </w:t>
      </w:r>
      <w:r>
        <w:rPr>
          <w:rFonts w:ascii="Times New Roman" w:cs="Times New Roman" w:eastAsia="Times New Roman" w:hAnsi="Times New Roman"/>
          <w:sz w:val="18"/>
          <w:szCs w:val="18"/>
          <w:i w:val="1"/>
          <w:iCs w:val="1"/>
          <w:color w:val="auto"/>
        </w:rPr>
        <w:t>Sections 2.4.1(a)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2.4.2</w:t>
      </w:r>
      <w:r>
        <w:rPr>
          <w:rFonts w:ascii="Times New Roman" w:cs="Times New Roman" w:eastAsia="Times New Roman" w:hAnsi="Times New Roman"/>
          <w:sz w:val="18"/>
          <w:szCs w:val="18"/>
          <w:color w:val="auto"/>
        </w:rPr>
        <w:t xml:space="preserve"> a request to Advance, and each FF&amp;E Lender shall Advance, to the extent of its "Aircraft Commitment Percentage" (as defined in the FF&amp;E Facility), $38,000,000 under the FF&amp;E Facility of which $28,523,995.42 shall be delivered directly to the FF&amp;E Agent who will then distribute such amount to the Original Aircraft Lender in order to refinance the purchase of the Aircraft and $9,476,004.58 shall be deposited into the Company's Funds Account. On the date the Company delivers a preliminary Advance Request pursuant to </w:t>
      </w:r>
      <w:r>
        <w:rPr>
          <w:rFonts w:ascii="Times New Roman" w:cs="Times New Roman" w:eastAsia="Times New Roman" w:hAnsi="Times New Roman"/>
          <w:sz w:val="18"/>
          <w:szCs w:val="18"/>
          <w:i w:val="1"/>
          <w:iCs w:val="1"/>
          <w:color w:val="auto"/>
        </w:rPr>
        <w:t>Sections 2.4.1(a)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2.4.2</w:t>
      </w:r>
      <w:r>
        <w:rPr>
          <w:rFonts w:ascii="Times New Roman" w:cs="Times New Roman" w:eastAsia="Times New Roman" w:hAnsi="Times New Roman"/>
          <w:sz w:val="18"/>
          <w:szCs w:val="18"/>
          <w:color w:val="auto"/>
        </w:rPr>
        <w:t xml:space="preserve"> requesting an Advance from the Second Mortgage Notes Proceeds Account that leaves only the Second Mortgage Notes Interest Reserve Amount on deposit in such Account, the Company shall include in such preliminary Advance Request, the FF&amp;E Reimbursement Advance which, subject to any revisions thereto pursuant to </w:t>
      </w:r>
      <w:r>
        <w:rPr>
          <w:rFonts w:ascii="Times New Roman" w:cs="Times New Roman" w:eastAsia="Times New Roman" w:hAnsi="Times New Roman"/>
          <w:sz w:val="18"/>
          <w:szCs w:val="18"/>
          <w:i w:val="1"/>
          <w:iCs w:val="1"/>
          <w:color w:val="auto"/>
        </w:rPr>
        <w:t>Section 2.4.1(e)</w:t>
      </w:r>
      <w:r>
        <w:rPr>
          <w:rFonts w:ascii="Times New Roman" w:cs="Times New Roman" w:eastAsia="Times New Roman" w:hAnsi="Times New Roman"/>
          <w:sz w:val="18"/>
          <w:szCs w:val="18"/>
          <w:color w:val="auto"/>
        </w:rPr>
        <w:t xml:space="preserve">, the FF&amp;E Lenders shall Advance and which shall be deposited in the Company's Funds Account to be applied to pay Project Costs in accordance with the terms hereof. Thereafter, as an additional reimbursement mechanism, on each date the Company delivers a preliminary Advance Request pursuant to </w:t>
      </w:r>
      <w:r>
        <w:rPr>
          <w:rFonts w:ascii="Times New Roman" w:cs="Times New Roman" w:eastAsia="Times New Roman" w:hAnsi="Times New Roman"/>
          <w:sz w:val="18"/>
          <w:szCs w:val="18"/>
          <w:i w:val="1"/>
          <w:iCs w:val="1"/>
          <w:color w:val="auto"/>
        </w:rPr>
        <w:t>Sections 2.4.1(a)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2.4.2</w:t>
      </w:r>
      <w:r>
        <w:rPr>
          <w:rFonts w:ascii="Times New Roman" w:cs="Times New Roman" w:eastAsia="Times New Roman" w:hAnsi="Times New Roman"/>
          <w:sz w:val="18"/>
          <w:szCs w:val="18"/>
          <w:color w:val="auto"/>
        </w:rPr>
        <w:t xml:space="preserve"> requesting a replenishment of the Soft Costs Cash Management Account and/or the Hard Costs Cash Management Account, the FF&amp;E Lenders shall, pursuant to </w:t>
      </w:r>
      <w:r>
        <w:rPr>
          <w:rFonts w:ascii="Times New Roman" w:cs="Times New Roman" w:eastAsia="Times New Roman" w:hAnsi="Times New Roman"/>
          <w:sz w:val="18"/>
          <w:szCs w:val="18"/>
          <w:i w:val="1"/>
          <w:iCs w:val="1"/>
          <w:color w:val="auto"/>
        </w:rPr>
        <w:t>Section 2.5.1(a)(iii)</w:t>
      </w:r>
      <w:r>
        <w:rPr>
          <w:rFonts w:ascii="Times New Roman" w:cs="Times New Roman" w:eastAsia="Times New Roman" w:hAnsi="Times New Roman"/>
          <w:sz w:val="18"/>
          <w:szCs w:val="18"/>
          <w:color w:val="auto"/>
        </w:rPr>
        <w:t xml:space="preserve"> advance 75% of the Project Costs previously paid for by the Company from the Soft Costs Cash Management Account and the Hard Costs Cash Management Account, as the case may be, in respect of items that have been or are then being designated as FF&amp;E Component in accordance with </w:t>
      </w:r>
      <w:r>
        <w:rPr>
          <w:rFonts w:ascii="Times New Roman" w:cs="Times New Roman" w:eastAsia="Times New Roman" w:hAnsi="Times New Roman"/>
          <w:sz w:val="18"/>
          <w:szCs w:val="18"/>
          <w:i w:val="1"/>
          <w:iCs w:val="1"/>
          <w:color w:val="auto"/>
        </w:rPr>
        <w:t>Section 2.4.1</w:t>
      </w:r>
      <w:r>
        <w:rPr>
          <w:rFonts w:ascii="Times New Roman" w:cs="Times New Roman" w:eastAsia="Times New Roman" w:hAnsi="Times New Roman"/>
          <w:sz w:val="18"/>
          <w:szCs w:val="18"/>
          <w:color w:val="auto"/>
        </w:rPr>
        <w:t xml:space="preserve">, which amounts shall be transferred pursuant to </w:t>
      </w:r>
      <w:r>
        <w:rPr>
          <w:rFonts w:ascii="Times New Roman" w:cs="Times New Roman" w:eastAsia="Times New Roman" w:hAnsi="Times New Roman"/>
          <w:sz w:val="18"/>
          <w:szCs w:val="18"/>
          <w:i w:val="1"/>
          <w:iCs w:val="1"/>
          <w:color w:val="auto"/>
        </w:rPr>
        <w:t>Section 2.6.1(b)</w:t>
      </w:r>
      <w:r>
        <w:rPr>
          <w:rFonts w:ascii="Times New Roman" w:cs="Times New Roman" w:eastAsia="Times New Roman" w:hAnsi="Times New Roman"/>
          <w:sz w:val="18"/>
          <w:szCs w:val="18"/>
          <w:color w:val="auto"/>
        </w:rPr>
        <w:t xml:space="preserve"> from the FF&amp;E Proceeds Account to replenish such accounts. If the Company fails to set forth such information in any Advance Request or fails to deliver timely any Advance Request, then the Bank Agent or the Indenture Trustee shall deliver such information and a request for Advance to the Disbursement Agent upon which request the Disbursement Agent shall revise the Advance Request and related Notice of Advance Request to provide for such Advance.</w:t>
      </w:r>
    </w:p>
    <w:p>
      <w:pPr>
        <w:spacing w:after="0" w:line="194"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6"/>
          <w:szCs w:val="16"/>
          <w:b w:val="1"/>
          <w:bCs w:val="1"/>
          <w:i w:val="1"/>
          <w:iCs w:val="1"/>
          <w:color w:val="auto"/>
        </w:rPr>
        <w:t>Completion Date Procedures.</w:t>
      </w:r>
    </w:p>
    <w:p>
      <w:pPr>
        <w:spacing w:after="0" w:line="229" w:lineRule="exact"/>
        <w:rPr>
          <w:sz w:val="20"/>
          <w:szCs w:val="20"/>
          <w:color w:val="auto"/>
        </w:rPr>
      </w:pPr>
    </w:p>
    <w:p>
      <w:pPr>
        <w:ind w:left="540" w:right="20" w:firstLine="359"/>
        <w:spacing w:after="0" w:line="289" w:lineRule="auto"/>
        <w:tabs>
          <w:tab w:leader="none" w:pos="117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less than sixty (60) days prior to the anticipated Completion Date, the Company shall deliver notice of the anticipated Completion Date to the Disbursement Agent, the Construction Consultant, the Project Architect and the Funding Agents. Thereafter, in order to cause Completion to occur, the Company shall deliver to the Construction Consultant, the Disbursement Agent, the Bank Agent, the Indenture Trustee and the FF&amp;E Agent the Company's Completion Certificate appropriately completed and duly executed by a Responsible Officer of the Company with all attachments thereto. The Company's Completion Certificate shall indicate the date the Company believes the conditions to Completion will be satisfied, shall include the Completion Certificates of the Project Architect, the Prime Contractor, the Golf Course Contractor, the Parking Structure Contractor, the Golf Course Designer and the Aqua Theater Designer, and shall set forth all other information required thereby, including the aggregate amount of Project Costs anticipated to become due and payable after the Completion Date in order to achieve Final Completion (the "</w:t>
      </w:r>
      <w:r>
        <w:rPr>
          <w:rFonts w:ascii="Times New Roman" w:cs="Times New Roman" w:eastAsia="Times New Roman" w:hAnsi="Times New Roman"/>
          <w:sz w:val="16"/>
          <w:szCs w:val="16"/>
          <w:i w:val="1"/>
          <w:iCs w:val="1"/>
          <w:color w:val="auto"/>
        </w:rPr>
        <w:t>Required Completion Amount</w:t>
      </w:r>
      <w:r>
        <w:rPr>
          <w:rFonts w:ascii="Times New Roman" w:cs="Times New Roman" w:eastAsia="Times New Roman" w:hAnsi="Times New Roman"/>
          <w:sz w:val="16"/>
          <w:szCs w:val="16"/>
          <w:color w:val="auto"/>
        </w:rPr>
        <w:t xml:space="preserve">"). The Required Completion Amount shall be based on the allocation rules set forth in </w:t>
      </w:r>
      <w:r>
        <w:rPr>
          <w:rFonts w:ascii="Times New Roman" w:cs="Times New Roman" w:eastAsia="Times New Roman" w:hAnsi="Times New Roman"/>
          <w:sz w:val="16"/>
          <w:szCs w:val="16"/>
          <w:i w:val="1"/>
          <w:iCs w:val="1"/>
          <w:color w:val="auto"/>
        </w:rPr>
        <w:t>Section 2.5</w:t>
      </w:r>
      <w:r>
        <w:rPr>
          <w:rFonts w:ascii="Times New Roman" w:cs="Times New Roman" w:eastAsia="Times New Roman" w:hAnsi="Times New Roman"/>
          <w:sz w:val="16"/>
          <w:szCs w:val="16"/>
          <w:color w:val="auto"/>
        </w:rPr>
        <w:t xml:space="preserve"> after subtracting amounts then on deposit in</w:t>
      </w:r>
    </w:p>
    <w:p>
      <w:pPr>
        <w:sectPr>
          <w:pgSz w:w="11900" w:h="16838" w:orient="portrait"/>
          <w:cols w:equalWidth="0" w:num="1">
            <w:col w:w="11400"/>
          </w:cols>
          <w:pgMar w:left="240" w:top="125" w:right="259" w:bottom="1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0" w:gutter="0" w:footer="0" w:header="0"/>
          <w:type w:val="continuous"/>
        </w:sectPr>
      </w:pPr>
    </w:p>
    <w:bookmarkStart w:id="20" w:name="page21"/>
    <w:bookmarkEnd w:id="20"/>
    <w:p>
      <w:pPr>
        <w:spacing w:after="0" w:line="14" w:lineRule="exact"/>
        <w:rPr>
          <w:sz w:val="20"/>
          <w:szCs w:val="20"/>
          <w:color w:val="auto"/>
        </w:rPr>
      </w:pPr>
    </w:p>
    <w:p>
      <w:pPr>
        <w:jc w:val="both"/>
        <w:ind w:left="540" w:right="80"/>
        <w:spacing w:after="0" w:line="339" w:lineRule="auto"/>
        <w:rPr>
          <w:sz w:val="20"/>
          <w:szCs w:val="20"/>
          <w:color w:val="auto"/>
        </w:rPr>
      </w:pPr>
      <w:r>
        <w:rPr>
          <w:rFonts w:ascii="Times New Roman" w:cs="Times New Roman" w:eastAsia="Times New Roman" w:hAnsi="Times New Roman"/>
          <w:sz w:val="16"/>
          <w:szCs w:val="16"/>
          <w:color w:val="auto"/>
        </w:rPr>
        <w:t>the Hard Costs Cash Management Account and the Company's Funds Account. The Company's Completion Certificate further shall set forth each Resort Component Funding Source's and the FF&amp;E Facility's portion of the Required Completion Amount calculated in accordance with the preceding sentence.</w:t>
      </w:r>
    </w:p>
    <w:p>
      <w:pPr>
        <w:spacing w:after="0" w:line="128" w:lineRule="exact"/>
        <w:rPr>
          <w:sz w:val="20"/>
          <w:szCs w:val="20"/>
          <w:color w:val="auto"/>
        </w:rPr>
      </w:pPr>
    </w:p>
    <w:p>
      <w:pPr>
        <w:ind w:left="540" w:right="20" w:firstLine="359"/>
        <w:spacing w:after="0" w:line="256" w:lineRule="auto"/>
        <w:tabs>
          <w:tab w:leader="none" w:pos="11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and the Construction Consultant shall review the Company's Completion Certificate. In the event that the Disbursement Agent or the Construction Consultant discovers any mathematical or other minor errors in the Company's Completion Certificate, they shall request that the Company revise and resubmit the certificate. Within ten (10) Banking Days after their receipt of the Company's Completion Certificate, the Construction Consultant shall deliver to the Disbursement Agent, the Bank Agent, the Indenture Trustee, the FF&amp;E Agent and the Company, the Construction Consultant's Completion Certificate.</w:t>
      </w:r>
    </w:p>
    <w:p>
      <w:pPr>
        <w:spacing w:after="0" w:line="192" w:lineRule="exact"/>
        <w:rPr>
          <w:rFonts w:ascii="Times New Roman" w:cs="Times New Roman" w:eastAsia="Times New Roman" w:hAnsi="Times New Roman"/>
          <w:sz w:val="18"/>
          <w:szCs w:val="18"/>
          <w:color w:val="auto"/>
        </w:rPr>
      </w:pPr>
    </w:p>
    <w:p>
      <w:pPr>
        <w:ind w:left="540" w:right="80" w:firstLine="359"/>
        <w:spacing w:after="0" w:line="254" w:lineRule="auto"/>
        <w:tabs>
          <w:tab w:leader="none" w:pos="11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Banking Days after receipt by the Disbursement Agent of the Construction Consultant's Completion Certificate approving the Company's Completion Certificate, the Disbursement Agent shall, subject to its determination (in accordance with the relevant provisions of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that each of the conditions set forth in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i w:val="1"/>
          <w:iCs w:val="1"/>
          <w:color w:val="auto"/>
        </w:rPr>
        <w:t>Sections 3.3.4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3.3.6</w:t>
      </w:r>
      <w:r>
        <w:rPr>
          <w:rFonts w:ascii="Times New Roman" w:cs="Times New Roman" w:eastAsia="Times New Roman" w:hAnsi="Times New Roman"/>
          <w:sz w:val="18"/>
          <w:szCs w:val="18"/>
          <w:color w:val="auto"/>
        </w:rPr>
        <w:t>) has been satisfied, countersign the Company's Completion Certificate and forward the same to the Bank Agent, the Indenture Trustee and the FF&amp;E Agent. In determining whether to approve the Company's Completion Certificate, the Disbursement Agent may rely on the certifications of the Company, the Prime Contractor, the Golf Course Contractor, the Parking Structure Contractor, the Golf Course Designer, the Aqua Theater Designer, the Construction Consultant and the Project Architect set forth in their respective Completion Certificates. The Completion Date shall be deemed to occur on the date the Disbursement Agent countersigns the Company's Completion Certificate.</w:t>
      </w:r>
    </w:p>
    <w:p>
      <w:pPr>
        <w:spacing w:after="0" w:line="192" w:lineRule="exact"/>
        <w:rPr>
          <w:rFonts w:ascii="Times New Roman" w:cs="Times New Roman" w:eastAsia="Times New Roman" w:hAnsi="Times New Roman"/>
          <w:sz w:val="18"/>
          <w:szCs w:val="18"/>
          <w:color w:val="auto"/>
        </w:rPr>
      </w:pPr>
    </w:p>
    <w:p>
      <w:pPr>
        <w:ind w:left="540" w:right="60" w:firstLine="359"/>
        <w:spacing w:after="0" w:line="287" w:lineRule="auto"/>
        <w:tabs>
          <w:tab w:leader="none" w:pos="118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Completion Date, before 12:00 p.m. New York, New York time, (i) the Bank Lenders shall deposit or cause to be deposited in the Bank Proceeds Account the Bank Credit Facility's portion of the Required Completion Amount calculated in accordance with </w:t>
      </w:r>
      <w:r>
        <w:rPr>
          <w:rFonts w:ascii="Times New Roman" w:cs="Times New Roman" w:eastAsia="Times New Roman" w:hAnsi="Times New Roman"/>
          <w:sz w:val="16"/>
          <w:szCs w:val="16"/>
          <w:i w:val="1"/>
          <w:iCs w:val="1"/>
          <w:color w:val="auto"/>
        </w:rPr>
        <w:t>Section 2.5</w:t>
      </w:r>
      <w:r>
        <w:rPr>
          <w:rFonts w:ascii="Times New Roman" w:cs="Times New Roman" w:eastAsia="Times New Roman" w:hAnsi="Times New Roman"/>
          <w:sz w:val="16"/>
          <w:szCs w:val="16"/>
          <w:color w:val="auto"/>
        </w:rPr>
        <w:t xml:space="preserve"> and subsection (a) above and set forth in the Company's Completion Certificate, (ii) the FF&amp;E Lenders shall deposit or cause to be deposited in the FF&amp;E Proceeds Account the FF&amp;E Facility's portion of the Required Completion Amount calculated in accordance with </w:t>
      </w:r>
      <w:r>
        <w:rPr>
          <w:rFonts w:ascii="Times New Roman" w:cs="Times New Roman" w:eastAsia="Times New Roman" w:hAnsi="Times New Roman"/>
          <w:sz w:val="16"/>
          <w:szCs w:val="16"/>
          <w:i w:val="1"/>
          <w:iCs w:val="1"/>
          <w:color w:val="auto"/>
        </w:rPr>
        <w:t>Section 2.5</w:t>
      </w:r>
      <w:r>
        <w:rPr>
          <w:rFonts w:ascii="Times New Roman" w:cs="Times New Roman" w:eastAsia="Times New Roman" w:hAnsi="Times New Roman"/>
          <w:sz w:val="16"/>
          <w:szCs w:val="16"/>
          <w:color w:val="auto"/>
        </w:rPr>
        <w:t xml:space="preserve"> and subsection (a) above and set forth in the Company's Completion Certificate, and (iii) if the difference (in each case after giving effect to the Advance contemplated in clause (i) above) of (A) the unutilized "Revolving Credit Commitments" as defined in the Bank Credit Agreement (specifically including, however, the $3,000,000 portion of the Bank Revolving Facility which will not be made available to the Company for the payment of Project Costs)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(B) any revenues of the Project that have been used to prepay the Loans under the Bank Revolving Facility from and after the Opening Date, is less than the aggregate Remaining Costs for the "Working Capital Requirements at Opening" Line Item Category, then the Disbursement Agent shall transfer to the Bank Agent sufficient funds from the Completion Guaranty Deposit Account and the Project Liquidity Reserve Account (if the funds then on deposit in the Completion Guaranty Deposit Account are not sufficient to make such transfer) in an amount equal to the amount by which the aggregate Remaining Costs for the "Working Capital Requirements at Opening" Line Item Category exceeds such difference, and the Bank Agent shall apply such amounts to the prepayment of Loans under the Bank Revolving Facility pursuant to </w:t>
      </w:r>
      <w:r>
        <w:rPr>
          <w:rFonts w:ascii="Times New Roman" w:cs="Times New Roman" w:eastAsia="Times New Roman" w:hAnsi="Times New Roman"/>
          <w:sz w:val="16"/>
          <w:szCs w:val="16"/>
          <w:i w:val="1"/>
          <w:iCs w:val="1"/>
          <w:color w:val="auto"/>
        </w:rPr>
        <w:t>Section 2.12(c)(iv)</w:t>
      </w:r>
      <w:r>
        <w:rPr>
          <w:rFonts w:ascii="Times New Roman" w:cs="Times New Roman" w:eastAsia="Times New Roman" w:hAnsi="Times New Roman"/>
          <w:sz w:val="16"/>
          <w:szCs w:val="16"/>
          <w:color w:val="auto"/>
        </w:rPr>
        <w:t xml:space="preserve"> of the Bank Credit Agreement.</w:t>
      </w:r>
    </w:p>
    <w:p>
      <w:pPr>
        <w:spacing w:after="0" w:line="384" w:lineRule="exact"/>
        <w:rPr>
          <w:rFonts w:ascii="Times New Roman" w:cs="Times New Roman" w:eastAsia="Times New Roman" w:hAnsi="Times New Roman"/>
          <w:sz w:val="16"/>
          <w:szCs w:val="16"/>
          <w:color w:val="auto"/>
        </w:rPr>
      </w:pPr>
    </w:p>
    <w:p>
      <w:pPr>
        <w:ind w:left="540" w:right="260" w:firstLine="359"/>
        <w:spacing w:after="0" w:line="262" w:lineRule="auto"/>
        <w:tabs>
          <w:tab w:leader="none" w:pos="11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Final Completion Date shall not have occurred within six (6) months from the Completion Date, then on the expiration of such six (6) month period, the Disbursement Agent shall withdraw any remaining funds on deposit (i) in the Bank Proceeds Account and deliver such funds to the Bank Agent and (ii) in the FF&amp;E Proceeds Account and deliver such funds to the FF&amp;E Agent.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6"/>
          <w:szCs w:val="16"/>
          <w:b w:val="1"/>
          <w:bCs w:val="1"/>
          <w:i w:val="1"/>
          <w:iCs w:val="1"/>
          <w:color w:val="auto"/>
        </w:rPr>
        <w:t>Completion Guaranty Release Procedures.</w:t>
      </w:r>
    </w:p>
    <w:p>
      <w:pPr>
        <w:spacing w:after="0" w:line="229" w:lineRule="exact"/>
        <w:rPr>
          <w:sz w:val="20"/>
          <w:szCs w:val="20"/>
          <w:color w:val="auto"/>
        </w:rPr>
      </w:pPr>
    </w:p>
    <w:p>
      <w:pPr>
        <w:ind w:left="540" w:right="80" w:firstLine="359"/>
        <w:spacing w:after="0" w:line="291" w:lineRule="auto"/>
        <w:tabs>
          <w:tab w:leader="none" w:pos="117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cause the Completion Guaranty Release Date to occur, the Company shall deliver to the Construction Consultant, the Disbursement Agent, the Bank Agent, the Indenture Trustee and the FF&amp;E Agent the Company's Completion Guaranty Release Certificate appropriately completed and duly executed by a Responsible Officer of the Company, with all attachments thereto. The Company's Completion Guaranty Release Certificate shall indicate that the Company believes the Completion Guaranty Release Conditions have been satisfied, shall specify the portion, if any, of the Completion Guaranty Deposit Account to be reserved to pay Project Punchlist Items and/or disputed amounts pursuant to clauses (d)(i) and (ii) of the definition of "Completion Guaranty Release Conditions" after giving effect to any amounts then on deposit in the Company's Funds Account, the Bank Proceeds Account and the FF&amp;E Proceeds Account (collectively, the "</w:t>
      </w:r>
      <w:r>
        <w:rPr>
          <w:rFonts w:ascii="Times New Roman" w:cs="Times New Roman" w:eastAsia="Times New Roman" w:hAnsi="Times New Roman"/>
          <w:sz w:val="16"/>
          <w:szCs w:val="16"/>
          <w:i w:val="1"/>
          <w:iCs w:val="1"/>
          <w:color w:val="auto"/>
        </w:rPr>
        <w:t>Reserved Amounts</w:t>
      </w:r>
      <w:r>
        <w:rPr>
          <w:rFonts w:ascii="Times New Roman" w:cs="Times New Roman" w:eastAsia="Times New Roman" w:hAnsi="Times New Roman"/>
          <w:sz w:val="16"/>
          <w:szCs w:val="16"/>
          <w:color w:val="auto"/>
        </w:rPr>
        <w:t>") and shall set forth all other information required thereby.</w:t>
      </w:r>
    </w:p>
    <w:p>
      <w:pPr>
        <w:spacing w:after="0" w:line="167" w:lineRule="exact"/>
        <w:rPr>
          <w:rFonts w:ascii="Times New Roman" w:cs="Times New Roman" w:eastAsia="Times New Roman" w:hAnsi="Times New Roman"/>
          <w:sz w:val="16"/>
          <w:szCs w:val="16"/>
          <w:color w:val="auto"/>
        </w:rPr>
      </w:pPr>
    </w:p>
    <w:p>
      <w:pPr>
        <w:ind w:left="540" w:firstLine="359"/>
        <w:spacing w:after="0" w:line="255" w:lineRule="auto"/>
        <w:tabs>
          <w:tab w:leader="none" w:pos="11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and the Construction Consultant shall review the Company's Completion Guaranty Release Certificate. In the event that the Disbursement Agent or the Construction Consultant discovers any mathematical or other minor errors in the Company's Completion Guaranty Release Certificate, it shall so inform the Company, stating in reasonable detail the revisions required, and shall request the Company to revise and resubmit the certificate. Within ten (10) Banking Days after its receipt of the Company's Completion Certificate, the Construction Consultant shall deliver to the Disbursement Agent, the Bank Agent, the Indenture Trustee, the FF&amp;E Agent and the Company, the Construction Consultant's Completion Guaranty Release Certificate.</w:t>
      </w:r>
    </w:p>
    <w:p>
      <w:pPr>
        <w:spacing w:after="0" w:line="193" w:lineRule="exact"/>
        <w:rPr>
          <w:rFonts w:ascii="Times New Roman" w:cs="Times New Roman" w:eastAsia="Times New Roman" w:hAnsi="Times New Roman"/>
          <w:sz w:val="18"/>
          <w:szCs w:val="18"/>
          <w:color w:val="auto"/>
        </w:rPr>
      </w:pPr>
    </w:p>
    <w:p>
      <w:pPr>
        <w:ind w:left="540" w:right="40" w:firstLine="359"/>
        <w:spacing w:after="0" w:line="254" w:lineRule="auto"/>
        <w:tabs>
          <w:tab w:leader="none" w:pos="11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Banking Days after receipt by the Disbursement Agent of the Construction Consultant's Completion Guaranty Release Certificate approving the Company's Completion Guaranty Release Certificate, the Disbursement Agent shall, subject to its determination that each of the Completion Guaranty Release Conditions has been satisfied, countersign the Company's Completion Guaranty Release Certificate and forward the same to the Bank Agent, the Indenture Trustee and the FF&amp;E Agent. The Disbursement Agent may rely on the certifications of the Company and the Construction Consultant set forth in their respective Completion Guaranty Release Certificates in determining whether the Completion Guaranty Release Conditions have been satisfied. The Completion Guaranty Release Date shall be deemed to occur on the date the Disbursement Agent countersigns the Company's Completion Guaranty Release Certificate.</w:t>
      </w:r>
    </w:p>
    <w:p>
      <w:pPr>
        <w:spacing w:after="0" w:line="195" w:lineRule="exact"/>
        <w:rPr>
          <w:rFonts w:ascii="Times New Roman" w:cs="Times New Roman" w:eastAsia="Times New Roman" w:hAnsi="Times New Roman"/>
          <w:sz w:val="18"/>
          <w:szCs w:val="18"/>
          <w:color w:val="auto"/>
        </w:rPr>
      </w:pPr>
    </w:p>
    <w:p>
      <w:pPr>
        <w:ind w:left="540" w:right="380" w:firstLine="359"/>
        <w:spacing w:after="0" w:line="275" w:lineRule="auto"/>
        <w:tabs>
          <w:tab w:leader="none" w:pos="1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Completion Guaranty Release Date, the Disbursement Agent shall release to the Completion Guarantor all amounts on deposit in the Completion Guaranty Deposit Account, excluding the Reserved Amounts.</w:t>
      </w:r>
    </w:p>
    <w:p>
      <w:pPr>
        <w:spacing w:after="0" w:line="170" w:lineRule="exact"/>
        <w:rPr>
          <w:sz w:val="20"/>
          <w:szCs w:val="20"/>
          <w:color w:val="auto"/>
        </w:rPr>
      </w:pPr>
    </w:p>
    <w:p>
      <w:pPr>
        <w:ind w:right="120" w:firstLine="351"/>
        <w:spacing w:after="0" w:line="292"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b w:val="1"/>
          <w:bCs w:val="1"/>
          <w:i w:val="1"/>
          <w:iCs w:val="1"/>
          <w:color w:val="auto"/>
        </w:rPr>
        <w:t>Final Completion Procedures.</w:t>
      </w:r>
      <w:r>
        <w:rPr>
          <w:rFonts w:ascii="Times New Roman" w:cs="Times New Roman" w:eastAsia="Times New Roman" w:hAnsi="Times New Roman"/>
          <w:sz w:val="16"/>
          <w:szCs w:val="16"/>
          <w:color w:val="auto"/>
        </w:rPr>
        <w:t xml:space="preserve"> On the Final Completion Date, the Disbursement Agent shall (a) in the event that the Final Completion Date shall have occurred prior to the expiration of the six (6) month period commencing on the Completion Date, (i) withdraw all remaining funds from the Bank Proceeds Account and deliver such funds to the Bank Agent, and (ii) withdraw all remaining funds from the FF&amp;E Proceeds Account and deliver such funds to the FF&amp;E Agent, (b) release to the Completion Guarantor all other amounts on deposit in the Completion Guaranty Deposit Account and (c) release to the Company all other amounts on deposit in the Company Accounts, other than the Project Liquidity Reserve Account (unless at such time the Company has satisfied the release conditions set forth in </w:t>
      </w:r>
      <w:r>
        <w:rPr>
          <w:rFonts w:ascii="Times New Roman" w:cs="Times New Roman" w:eastAsia="Times New Roman" w:hAnsi="Times New Roman"/>
          <w:sz w:val="16"/>
          <w:szCs w:val="16"/>
          <w:i w:val="1"/>
          <w:iCs w:val="1"/>
          <w:color w:val="auto"/>
        </w:rPr>
        <w:t>Section 7.27</w:t>
      </w:r>
      <w:r>
        <w:rPr>
          <w:rFonts w:ascii="Times New Roman" w:cs="Times New Roman" w:eastAsia="Times New Roman" w:hAnsi="Times New Roman"/>
          <w:sz w:val="16"/>
          <w:szCs w:val="16"/>
          <w:color w:val="auto"/>
        </w:rPr>
        <w:t xml:space="preserve"> of the Bank Credit Agreement (as confirmed by the Bank Agent) and </w:t>
      </w:r>
      <w:r>
        <w:rPr>
          <w:rFonts w:ascii="Times New Roman" w:cs="Times New Roman" w:eastAsia="Times New Roman" w:hAnsi="Times New Roman"/>
          <w:sz w:val="16"/>
          <w:szCs w:val="16"/>
          <w:i w:val="1"/>
          <w:iCs w:val="1"/>
          <w:color w:val="auto"/>
        </w:rPr>
        <w:t>Section 10.03</w:t>
      </w:r>
      <w:r>
        <w:rPr>
          <w:rFonts w:ascii="Times New Roman" w:cs="Times New Roman" w:eastAsia="Times New Roman" w:hAnsi="Times New Roman"/>
          <w:sz w:val="16"/>
          <w:szCs w:val="16"/>
          <w:color w:val="auto"/>
        </w:rPr>
        <w:t xml:space="preserve"> of the Second Mortgage Notes Indenture, in which case the amounts on deposit in the Project Liquidity Reserve Account shall be applied as provided in the Bank Credit Agreement and the Second</w:t>
      </w:r>
    </w:p>
    <w:p>
      <w:pPr>
        <w:sectPr>
          <w:pgSz w:w="11900" w:h="16852" w:orient="portrait"/>
          <w:cols w:equalWidth="0" w:num="1">
            <w:col w:w="11420"/>
          </w:cols>
          <w:pgMar w:left="240" w:top="125" w:right="239" w:bottom="0" w:gutter="0" w:footer="0" w:header="0"/>
        </w:sectPr>
      </w:pPr>
    </w:p>
    <w:bookmarkStart w:id="21" w:name="page22"/>
    <w:bookmarkEnd w:id="21"/>
    <w:p>
      <w:pPr>
        <w:ind w:right="220"/>
        <w:spacing w:after="0" w:line="275" w:lineRule="auto"/>
        <w:rPr>
          <w:sz w:val="20"/>
          <w:szCs w:val="20"/>
          <w:color w:val="auto"/>
        </w:rPr>
      </w:pPr>
      <w:r>
        <w:rPr>
          <w:rFonts w:ascii="Times New Roman" w:cs="Times New Roman" w:eastAsia="Times New Roman" w:hAnsi="Times New Roman"/>
          <w:sz w:val="18"/>
          <w:szCs w:val="18"/>
          <w:color w:val="auto"/>
        </w:rPr>
        <w:t>Mortgage Notes Indenture). The Disbursement Agent may rely on the certifications of the Company, the Construction Consultant, the Project Architect and the Prime Contractor set forth in their respective Final Completion Certificates in determining whether the Final Completion Date has occurred.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40" w:firstLine="351"/>
        <w:spacing w:after="0" w:line="26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i w:val="1"/>
          <w:iCs w:val="1"/>
          <w:color w:val="auto"/>
        </w:rPr>
        <w:t>No Approval of Work.</w:t>
      </w:r>
      <w:r>
        <w:rPr>
          <w:rFonts w:ascii="Times New Roman" w:cs="Times New Roman" w:eastAsia="Times New Roman" w:hAnsi="Times New Roman"/>
          <w:sz w:val="18"/>
          <w:szCs w:val="18"/>
          <w:color w:val="auto"/>
        </w:rPr>
        <w:t xml:space="preserve"> The making of any Advance shall not be deemed an approval or acceptance by the Disbursement Agent, any Funding Agent, any Lender or the Construction Consultant (except to the extent set forth in the Construction Consultant Engagement Letter, and then only for the benefit of the Lenders) of any work, labor, supplies, materials or equipment furnished or supplied with respect to the Project.</w:t>
      </w:r>
    </w:p>
    <w:p>
      <w:pPr>
        <w:spacing w:after="0" w:line="179"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xml:space="preserve"> The Obligations shall be secured by the Project Security in accordance with the Security Documents. Further, all funds advanced by the Bank Lenders to complete the Project or to protect the rights and interests of the Secured Parties under the Financing Agreements are deemed to be obligatory advances and are to be added to the total indebtedness secured by each of the respective Facilities' Security Documents (including, with respect to the Bank Credit Facility and the Second Mortgage Notes, their respective Deeds of Trust). All sums so advanced shall be secured by each such Deed of Trust with the same priority of lien as the security for any other obligations secured thereunder.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—CONDITIONS PRECEDENT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CLOSING DATE AND ADVANCES</w:t>
      </w:r>
    </w:p>
    <w:p>
      <w:pPr>
        <w:spacing w:after="0" w:line="209" w:lineRule="exact"/>
        <w:rPr>
          <w:sz w:val="20"/>
          <w:szCs w:val="20"/>
          <w:color w:val="auto"/>
        </w:rPr>
      </w:pPr>
    </w:p>
    <w:p>
      <w:pPr>
        <w:jc w:val="both"/>
        <w:ind w:right="20" w:firstLine="351"/>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i w:val="1"/>
          <w:iCs w:val="1"/>
          <w:color w:val="auto"/>
        </w:rPr>
        <w:t>Conditions Precedent to the Closing Date.</w:t>
      </w:r>
      <w:r>
        <w:rPr>
          <w:rFonts w:ascii="Times New Roman" w:cs="Times New Roman" w:eastAsia="Times New Roman" w:hAnsi="Times New Roman"/>
          <w:sz w:val="18"/>
          <w:szCs w:val="18"/>
          <w:color w:val="auto"/>
        </w:rPr>
        <w:t xml:space="preserve"> The occurrence of the Closing Date is subject to the prior satisfaction of each of the conditions precedent hereinafter set forth in this </w:t>
      </w:r>
      <w:r>
        <w:rPr>
          <w:rFonts w:ascii="Times New Roman" w:cs="Times New Roman" w:eastAsia="Times New Roman" w:hAnsi="Times New Roman"/>
          <w:sz w:val="18"/>
          <w:szCs w:val="18"/>
          <w:i w:val="1"/>
          <w:iCs w:val="1"/>
          <w:color w:val="auto"/>
        </w:rPr>
        <w:t>Section 3.1</w:t>
      </w:r>
      <w:r>
        <w:rPr>
          <w:rFonts w:ascii="Times New Roman" w:cs="Times New Roman" w:eastAsia="Times New Roman" w:hAnsi="Times New Roman"/>
          <w:sz w:val="18"/>
          <w:szCs w:val="18"/>
          <w:color w:val="auto"/>
        </w:rPr>
        <w:t xml:space="preserve"> in form and substance satisfactory to each of the Bank Agent, the Representatives of the Underwriters and the FF&amp;E Agent in its sole discretion. Subject to </w:t>
      </w:r>
      <w:r>
        <w:rPr>
          <w:rFonts w:ascii="Times New Roman" w:cs="Times New Roman" w:eastAsia="Times New Roman" w:hAnsi="Times New Roman"/>
          <w:sz w:val="18"/>
          <w:szCs w:val="18"/>
          <w:i w:val="1"/>
          <w:iCs w:val="1"/>
          <w:color w:val="auto"/>
        </w:rPr>
        <w:t>Section 3.4</w:t>
      </w:r>
      <w:r>
        <w:rPr>
          <w:rFonts w:ascii="Times New Roman" w:cs="Times New Roman" w:eastAsia="Times New Roman" w:hAnsi="Times New Roman"/>
          <w:sz w:val="18"/>
          <w:szCs w:val="18"/>
          <w:color w:val="auto"/>
        </w:rPr>
        <w:t xml:space="preserve">, by executing this Agreement (or, in the case of (a) the Representatives of the Underwriters, by purchasing the Second Mortgage Notes, (b) the Bank Lenders, by becoming a party to the Bank Credit Agreement and (c) the FF&amp;E Lenders, by becoming a party to the FF&amp;E Facility Agreement) each of the Bank Agent, the Representatives of the Underwriters and the FF&amp;E Agent shall be deemed to have confirmed that it has become satisfied that each of the following conditions precedent applicable to its Facility in this </w:t>
      </w:r>
      <w:r>
        <w:rPr>
          <w:rFonts w:ascii="Times New Roman" w:cs="Times New Roman" w:eastAsia="Times New Roman" w:hAnsi="Times New Roman"/>
          <w:sz w:val="18"/>
          <w:szCs w:val="18"/>
          <w:i w:val="1"/>
          <w:iCs w:val="1"/>
          <w:color w:val="auto"/>
        </w:rPr>
        <w:t>Section 3.1</w:t>
      </w:r>
      <w:r>
        <w:rPr>
          <w:rFonts w:ascii="Times New Roman" w:cs="Times New Roman" w:eastAsia="Times New Roman" w:hAnsi="Times New Roman"/>
          <w:sz w:val="18"/>
          <w:szCs w:val="18"/>
          <w:color w:val="auto"/>
        </w:rPr>
        <w:t xml:space="preserve"> has been satisfied.</w:t>
      </w:r>
    </w:p>
    <w:p>
      <w:pPr>
        <w:spacing w:after="0" w:line="190" w:lineRule="exact"/>
        <w:rPr>
          <w:sz w:val="20"/>
          <w:szCs w:val="20"/>
          <w:color w:val="auto"/>
        </w:rPr>
      </w:pPr>
    </w:p>
    <w:p>
      <w:pPr>
        <w:ind w:left="540" w:right="80" w:firstLine="351"/>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i w:val="1"/>
          <w:iCs w:val="1"/>
          <w:color w:val="auto"/>
        </w:rPr>
        <w:t>Financing Agreements and Material Project Documents.</w:t>
      </w:r>
      <w:r>
        <w:rPr>
          <w:rFonts w:ascii="Times New Roman" w:cs="Times New Roman" w:eastAsia="Times New Roman" w:hAnsi="Times New Roman"/>
          <w:sz w:val="18"/>
          <w:szCs w:val="18"/>
          <w:color w:val="auto"/>
        </w:rPr>
        <w:t xml:space="preserve"> Delivery to each of the Bank Agent, the Representatives of the Underwriters, the FF&amp;E Agent and the Disbursement Agent (with such number of originally executed copies as they may reasonably request) of (a) executed originals of each Financing Agreement (other than those Financing Agreements, including the DIIC Deed of Trust and the Golf Course Contractor Consent, that are not required to be executed and delivered on the Closing Date) (collectively, the "</w:t>
      </w:r>
      <w:r>
        <w:rPr>
          <w:rFonts w:ascii="Times New Roman" w:cs="Times New Roman" w:eastAsia="Times New Roman" w:hAnsi="Times New Roman"/>
          <w:sz w:val="18"/>
          <w:szCs w:val="18"/>
          <w:i w:val="1"/>
          <w:iCs w:val="1"/>
          <w:color w:val="auto"/>
        </w:rPr>
        <w:t>Closing Financing Agreements</w:t>
      </w:r>
      <w:r>
        <w:rPr>
          <w:rFonts w:ascii="Times New Roman" w:cs="Times New Roman" w:eastAsia="Times New Roman" w:hAnsi="Times New Roman"/>
          <w:sz w:val="18"/>
          <w:szCs w:val="18"/>
          <w:color w:val="auto"/>
        </w:rPr>
        <w:t>"), and true and correct copies of each Material Project Document then in effect and any supplements or amendments thereto then in effect, all of which shall be in form and substance satisfactory to each of the Bank Agent, the Representatives of the Underwriters and the FF&amp;E Agent, shall have been duly authorized, executed and delivered by the parties thereto, and each such Material Project Document shall be certified by a Responsible Officer of the Company as of the Closing Date as being true, complete and correct and in full force and effect, and (b) evidence satisfactory to each of the Bank Agent, the Representatives of the Underwriters and the FF&amp;E Agent that each such Material Project Document and each such Closing Financing Agreement is in full force and effect and that no party to any such Material Project Document or Closing Financing Agreement is or, but for the passage of time or giving of notice or both will be, in breach of any obligation thereunder.</w:t>
      </w:r>
    </w:p>
    <w:p>
      <w:pPr>
        <w:spacing w:after="0" w:line="193" w:lineRule="exact"/>
        <w:rPr>
          <w:sz w:val="20"/>
          <w:szCs w:val="20"/>
          <w:color w:val="auto"/>
        </w:rPr>
      </w:pPr>
    </w:p>
    <w:p>
      <w:pPr>
        <w:ind w:left="540" w:right="1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i w:val="1"/>
          <w:iCs w:val="1"/>
          <w:color w:val="auto"/>
        </w:rPr>
        <w:t>Corporate and/or LLC Authority of the Loan Parties.</w:t>
      </w:r>
      <w:r>
        <w:rPr>
          <w:rFonts w:ascii="Times New Roman" w:cs="Times New Roman" w:eastAsia="Times New Roman" w:hAnsi="Times New Roman"/>
          <w:sz w:val="18"/>
          <w:szCs w:val="18"/>
          <w:color w:val="auto"/>
        </w:rPr>
        <w:t xml:space="preserve"> Delivery to each of the Bank Agent, the Representatives of the Underwriters, the FF&amp;E Agent and the Disbursement Agent of (a) a certified copy of the Articles of Incorporation, Certificates of Formation or other similar formation document(s) of the each of the Loan Parties, (b) good standing certificates for each of the Loan Parties issued by the Secretary of State of Nevada or any other state of incorporation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organization, (c) a certified copy of the bylaws or a copy of the Operating Agreement of each of the Loan Parties, certified by a Responsible Officer of each such Loan Party, and (e) a copy of one or more resolutions or other authorizations of the Loan Parties certified by a Responsible Officer of each such Loan Party, as being in full force and effect on the Closing Date, authorizing the Advances herein provided for and the execution, delivery and performance of this Agreement and the other Operative Documents and any instruments or agreements required hereunder or thereunder to which each such entity is a party.</w:t>
      </w:r>
    </w:p>
    <w:p>
      <w:pPr>
        <w:spacing w:after="0" w:line="191" w:lineRule="exact"/>
        <w:rPr>
          <w:sz w:val="20"/>
          <w:szCs w:val="20"/>
          <w:color w:val="auto"/>
        </w:rPr>
      </w:pPr>
    </w:p>
    <w:p>
      <w:pPr>
        <w:ind w:left="540" w:right="160" w:firstLine="351"/>
        <w:spacing w:after="0" w:line="297"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i w:val="1"/>
          <w:iCs w:val="1"/>
          <w:color w:val="auto"/>
        </w:rPr>
        <w:t>Incumbency of the Loan Parties.</w:t>
      </w:r>
      <w:r>
        <w:rPr>
          <w:rFonts w:ascii="Times New Roman" w:cs="Times New Roman" w:eastAsia="Times New Roman" w:hAnsi="Times New Roman"/>
          <w:sz w:val="16"/>
          <w:szCs w:val="16"/>
          <w:color w:val="auto"/>
        </w:rPr>
        <w:t xml:space="preserve"> Delivery to each of the Bank Agent, the Representatives of the Underwriters, the FF&amp;E Agent and the Disbursement Agent of a certificate from each of the Loan Parties satisfactory in form and substance to each of the Bank Agent, and the Representatives of the Underwriters signed by a Responsible Officer of each such Loan Party, and dated as of the Closing Date, as to the incumbency of the Person or Persons authorized to execute and deliver this Agreement and the other Material Project Documents (not theretofore executed) and Closing Financing Agreements and any documents, instruments or agreements required hereunder or thereunder to which each such entity is a party.</w:t>
      </w:r>
    </w:p>
    <w:p>
      <w:pPr>
        <w:spacing w:after="0" w:line="158" w:lineRule="exact"/>
        <w:rPr>
          <w:sz w:val="20"/>
          <w:szCs w:val="20"/>
          <w:color w:val="auto"/>
        </w:rPr>
      </w:pPr>
    </w:p>
    <w:p>
      <w:pPr>
        <w:ind w:left="540" w:right="80" w:firstLine="351"/>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i w:val="1"/>
          <w:iCs w:val="1"/>
          <w:color w:val="auto"/>
        </w:rPr>
        <w:t>Other Parties.</w:t>
      </w:r>
      <w:r>
        <w:rPr>
          <w:rFonts w:ascii="Times New Roman" w:cs="Times New Roman" w:eastAsia="Times New Roman" w:hAnsi="Times New Roman"/>
          <w:sz w:val="18"/>
          <w:szCs w:val="18"/>
          <w:color w:val="auto"/>
        </w:rPr>
        <w:t xml:space="preserve"> With respect to each Major Project Participant (other than any Loan Party), delivery to each of the Bank Agent, the Representatives of the Underwriters, the FF&amp;E Agent and the Disbursement Agent of (i) a certified copy of the Certificate of Formation or Articles of Incorporation, as applicable, of such entity (or the appropriate equivalent in the jurisdiction of formation of the relevant entity), (ii) a copy of the bylaws, if applicable, of such entity (or the equivalent) certified by the secretary of such entity, (iii) a certificate issued by the Secretary of State of Nevada and, if other than such state, the state (or country) of formation of such entity certifying that such entity is in good standing and is qualified to do business in, Nevada and (if applicable) its state (or country) of formation, (iv) a fully executed certificate as to the incumbency of the Persons authorized to execute and deliver the Operative Documents and any other instruments or agreements contemplated hereby to which such entity is a party, and (v) a copy of one or more resolutions for each of the foregoing entities (or their respective managing members or managers where applicable), certified by the appropriate officer of such entity as being in full force and effect as of the Closing Date, authorizing the transactions contemplated by such Operative Document(s) to which such entity is a party and the execution, delivery and performance thereof and any other documents, instruments and agreements required to be executed pursuant thereto.</w:t>
      </w:r>
    </w:p>
    <w:p>
      <w:pPr>
        <w:spacing w:after="0" w:line="193"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6"/>
          <w:szCs w:val="16"/>
          <w:i w:val="1"/>
          <w:iCs w:val="1"/>
          <w:color w:val="auto"/>
        </w:rPr>
        <w:t>Insurance.</w:t>
      </w:r>
    </w:p>
    <w:p>
      <w:pPr>
        <w:sectPr>
          <w:pgSz w:w="11900" w:h="16838" w:orient="portrait"/>
          <w:cols w:equalWidth="0" w:num="1">
            <w:col w:w="11420"/>
          </w:cols>
          <w:pgMar w:left="240" w:top="125" w:right="239" w:bottom="0" w:gutter="0" w:footer="0" w:header="0"/>
        </w:sectPr>
      </w:pPr>
    </w:p>
    <w:bookmarkStart w:id="22" w:name="page23"/>
    <w:bookmarkEnd w:id="22"/>
    <w:p>
      <w:pPr>
        <w:ind w:left="1280" w:hanging="380"/>
        <w:spacing w:after="0"/>
        <w:tabs>
          <w:tab w:leader="none" w:pos="12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Insurance complying with the requirements of</w:t>
      </w:r>
      <w:r>
        <w:rPr>
          <w:rFonts w:ascii="Times New Roman" w:cs="Times New Roman" w:eastAsia="Times New Roman" w:hAnsi="Times New Roman"/>
          <w:sz w:val="18"/>
          <w:szCs w:val="18"/>
          <w:i w:val="1"/>
          <w:iCs w:val="1"/>
          <w:color w:val="auto"/>
        </w:rPr>
        <w:t xml:space="preserve"> Exhibit O </w:t>
      </w:r>
      <w:r>
        <w:rPr>
          <w:rFonts w:ascii="Times New Roman" w:cs="Times New Roman" w:eastAsia="Times New Roman" w:hAnsi="Times New Roman"/>
          <w:sz w:val="18"/>
          <w:szCs w:val="18"/>
          <w:color w:val="auto"/>
        </w:rPr>
        <w:t>shall be in place and in full force and effect.</w:t>
      </w:r>
    </w:p>
    <w:p>
      <w:pPr>
        <w:spacing w:after="0" w:line="225" w:lineRule="exact"/>
        <w:rPr>
          <w:rFonts w:ascii="Times New Roman" w:cs="Times New Roman" w:eastAsia="Times New Roman" w:hAnsi="Times New Roman"/>
          <w:sz w:val="18"/>
          <w:szCs w:val="18"/>
          <w:color w:val="auto"/>
        </w:rPr>
      </w:pPr>
    </w:p>
    <w:p>
      <w:pPr>
        <w:ind w:left="540" w:right="40" w:firstLine="360"/>
        <w:spacing w:after="0" w:line="284" w:lineRule="auto"/>
        <w:tabs>
          <w:tab w:leader="none" w:pos="1271"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Company's Insurance Certificates. </w:t>
      </w:r>
      <w:r>
        <w:rPr>
          <w:rFonts w:ascii="Times New Roman" w:cs="Times New Roman" w:eastAsia="Times New Roman" w:hAnsi="Times New Roman"/>
          <w:sz w:val="16"/>
          <w:szCs w:val="16"/>
          <w:color w:val="auto"/>
        </w:rPr>
        <w:t>Delivery to each of the Bank Agent, the Representatives of the Underwriters, the FF&amp;E Agent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and the Disbursement Agent of (i) certificates, in the form of </w:t>
      </w:r>
      <w:r>
        <w:rPr>
          <w:rFonts w:ascii="Times New Roman" w:cs="Times New Roman" w:eastAsia="Times New Roman" w:hAnsi="Times New Roman"/>
          <w:sz w:val="16"/>
          <w:szCs w:val="16"/>
          <w:i w:val="1"/>
          <w:iCs w:val="1"/>
          <w:color w:val="auto"/>
        </w:rPr>
        <w:t>Exhibit B-4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Exhibit B-5</w:t>
      </w:r>
      <w:r>
        <w:rPr>
          <w:rFonts w:ascii="Times New Roman" w:cs="Times New Roman" w:eastAsia="Times New Roman" w:hAnsi="Times New Roman"/>
          <w:sz w:val="16"/>
          <w:szCs w:val="16"/>
          <w:color w:val="auto"/>
        </w:rPr>
        <w:t xml:space="preserve"> attached hereto and otherwise in form and substance satisfactory to each of the Bank Agent, the Representatives of the Underwriters and the FF&amp;E Agent from the Company's insurance broker(s), dated as of the Closing Date and identifying underwriters, type of insurance, insurance limits and policy terms, listing the special provisions required as set forth in </w:t>
      </w:r>
      <w:r>
        <w:rPr>
          <w:rFonts w:ascii="Times New Roman" w:cs="Times New Roman" w:eastAsia="Times New Roman" w:hAnsi="Times New Roman"/>
          <w:sz w:val="16"/>
          <w:szCs w:val="16"/>
          <w:i w:val="1"/>
          <w:iCs w:val="1"/>
          <w:color w:val="auto"/>
        </w:rPr>
        <w:t>Exhibit O</w:t>
      </w:r>
      <w:r>
        <w:rPr>
          <w:rFonts w:ascii="Times New Roman" w:cs="Times New Roman" w:eastAsia="Times New Roman" w:hAnsi="Times New Roman"/>
          <w:sz w:val="16"/>
          <w:szCs w:val="16"/>
          <w:color w:val="auto"/>
        </w:rPr>
        <w:t>, describing the insurance obtained and stating that such insurance is in full force and effect and that all premiums then due thereon have been paid and (ii) certified copies of all policies evidencing such insurance (or a binder, commitment or certificates signed by the insurer or a broker authorized to bind the insurer along with a commitment to deliver certified copies of the policies within forty-five</w:t>
      </w:r>
    </w:p>
    <w:p>
      <w:pPr>
        <w:spacing w:after="0" w:line="2" w:lineRule="exact"/>
        <w:rPr>
          <w:rFonts w:ascii="Times New Roman" w:cs="Times New Roman" w:eastAsia="Times New Roman" w:hAnsi="Times New Roman"/>
          <w:sz w:val="16"/>
          <w:szCs w:val="16"/>
          <w:color w:val="auto"/>
        </w:rPr>
      </w:pPr>
    </w:p>
    <w:p>
      <w:pPr>
        <w:ind w:left="880" w:hanging="332"/>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Closing Date) meeting the requirements of </w:t>
      </w:r>
      <w:r>
        <w:rPr>
          <w:rFonts w:ascii="Times New Roman" w:cs="Times New Roman" w:eastAsia="Times New Roman" w:hAnsi="Times New Roman"/>
          <w:sz w:val="18"/>
          <w:szCs w:val="18"/>
          <w:i w:val="1"/>
          <w:iCs w:val="1"/>
          <w:color w:val="auto"/>
        </w:rPr>
        <w:t>Exhibit O</w:t>
      </w:r>
      <w:r>
        <w:rPr>
          <w:rFonts w:ascii="Times New Roman" w:cs="Times New Roman" w:eastAsia="Times New Roman" w:hAnsi="Times New Roman"/>
          <w:sz w:val="18"/>
          <w:szCs w:val="18"/>
          <w:color w:val="auto"/>
        </w:rPr>
        <w:t xml:space="preserve"> and otherwise in</w:t>
      </w:r>
    </w:p>
    <w:p>
      <w:pPr>
        <w:spacing w:after="0" w:line="21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form and substance satisfactory to each of the Bank Agent, the Representatives of the Underwriters and the FF&amp;E Agent.</w:t>
      </w:r>
    </w:p>
    <w:p>
      <w:pPr>
        <w:spacing w:after="0" w:line="223" w:lineRule="exact"/>
        <w:rPr>
          <w:sz w:val="20"/>
          <w:szCs w:val="20"/>
          <w:color w:val="auto"/>
        </w:rPr>
      </w:pPr>
    </w:p>
    <w:p>
      <w:pPr>
        <w:ind w:left="540" w:right="40" w:firstLine="360"/>
        <w:spacing w:after="0" w:line="253" w:lineRule="auto"/>
        <w:tabs>
          <w:tab w:leader="none" w:pos="1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Certificates. </w:t>
      </w:r>
      <w:r>
        <w:rPr>
          <w:rFonts w:ascii="Times New Roman" w:cs="Times New Roman" w:eastAsia="Times New Roman" w:hAnsi="Times New Roman"/>
          <w:sz w:val="18"/>
          <w:szCs w:val="18"/>
          <w:color w:val="auto"/>
        </w:rPr>
        <w:t>Delivery to each of the Bank Agent, the Representatives of the Underwriters, the FF&amp;E Agent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Disbursement Agent, to the extent not delivered pursuant to clause (b) above, of (i) a certificate of the Company, in form and substance satisfactory to each of the Bank Agent, the Representatives of the Underwriters and the FF&amp;E Agent identifying underwriters, type of insurance, insurance limits and policy terms of any insurance then required to be obtained under the Material Project Documents then in effect and any other insurance required under </w:t>
      </w:r>
      <w:r>
        <w:rPr>
          <w:rFonts w:ascii="Times New Roman" w:cs="Times New Roman" w:eastAsia="Times New Roman" w:hAnsi="Times New Roman"/>
          <w:sz w:val="18"/>
          <w:szCs w:val="18"/>
          <w:i w:val="1"/>
          <w:iCs w:val="1"/>
          <w:color w:val="auto"/>
        </w:rPr>
        <w:t>Exhibit O</w:t>
      </w:r>
      <w:r>
        <w:rPr>
          <w:rFonts w:ascii="Times New Roman" w:cs="Times New Roman" w:eastAsia="Times New Roman" w:hAnsi="Times New Roman"/>
          <w:sz w:val="18"/>
          <w:szCs w:val="18"/>
          <w:color w:val="auto"/>
        </w:rPr>
        <w:t xml:space="preserve">, dated as of the Closing Date and stating that such insurance is in full force and effect if the same is required to be in effect and that if then required to be in effect, all premiums then due thereon have been paid, and that such insurance complies with the requirement of such Material Project Documents and </w:t>
      </w:r>
      <w:r>
        <w:rPr>
          <w:rFonts w:ascii="Times New Roman" w:cs="Times New Roman" w:eastAsia="Times New Roman" w:hAnsi="Times New Roman"/>
          <w:sz w:val="18"/>
          <w:szCs w:val="18"/>
          <w:i w:val="1"/>
          <w:iCs w:val="1"/>
          <w:color w:val="auto"/>
        </w:rPr>
        <w:t>Exhibit O</w:t>
      </w:r>
      <w:r>
        <w:rPr>
          <w:rFonts w:ascii="Times New Roman" w:cs="Times New Roman" w:eastAsia="Times New Roman" w:hAnsi="Times New Roman"/>
          <w:sz w:val="18"/>
          <w:szCs w:val="18"/>
          <w:color w:val="auto"/>
        </w:rPr>
        <w:t xml:space="preserve">, and (ii) certified copies of all policies evidencing such insurance (or a binder, commitment or certificates signed by the insurer or a broker authorized to bind the insurer along with a commitment to deliver certified copies of the policies within forty-five (45) days after the Closing Date) naming the Disbursement Agent, the Funding Agents and the Lenders as additional insureds and the Disbursement Agent as the loss payee under the insurance policies required under </w:t>
      </w:r>
      <w:r>
        <w:rPr>
          <w:rFonts w:ascii="Times New Roman" w:cs="Times New Roman" w:eastAsia="Times New Roman" w:hAnsi="Times New Roman"/>
          <w:sz w:val="18"/>
          <w:szCs w:val="18"/>
          <w:i w:val="1"/>
          <w:iCs w:val="1"/>
          <w:color w:val="auto"/>
        </w:rPr>
        <w:t>Exhibit O</w:t>
      </w:r>
      <w:r>
        <w:rPr>
          <w:rFonts w:ascii="Times New Roman" w:cs="Times New Roman" w:eastAsia="Times New Roman" w:hAnsi="Times New Roman"/>
          <w:sz w:val="18"/>
          <w:szCs w:val="18"/>
          <w:color w:val="auto"/>
        </w:rPr>
        <w:t xml:space="preserve"> and the insurance policies under the "Owner Controlled Insurance Program" described and defined in the Prime Construction Contract and otherwise in form and substance satisfactory to each of the Bank Agent, the Representatives of the Underwriters and the FF&amp;E Agent.</w:t>
      </w:r>
    </w:p>
    <w:p>
      <w:pPr>
        <w:spacing w:after="0" w:line="190" w:lineRule="exact"/>
        <w:rPr>
          <w:rFonts w:ascii="Times New Roman" w:cs="Times New Roman" w:eastAsia="Times New Roman" w:hAnsi="Times New Roman"/>
          <w:sz w:val="18"/>
          <w:szCs w:val="18"/>
          <w:color w:val="auto"/>
        </w:rPr>
      </w:pPr>
    </w:p>
    <w:p>
      <w:pPr>
        <w:ind w:left="540" w:right="40" w:firstLine="360"/>
        <w:spacing w:after="0" w:line="264" w:lineRule="auto"/>
        <w:tabs>
          <w:tab w:leader="none" w:pos="12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Advisor's Closing Certificate. </w:t>
      </w:r>
      <w:r>
        <w:rPr>
          <w:rFonts w:ascii="Times New Roman" w:cs="Times New Roman" w:eastAsia="Times New Roman" w:hAnsi="Times New Roman"/>
          <w:sz w:val="18"/>
          <w:szCs w:val="18"/>
          <w:color w:val="auto"/>
        </w:rPr>
        <w:t>Delivery to each of the Bank Agent, the Representatives of the Underwriters, the FF&amp;E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and the Disbursement Agent of the Insurance Advisor's Closing Certificate, in the form of </w:t>
      </w:r>
      <w:r>
        <w:rPr>
          <w:rFonts w:ascii="Times New Roman" w:cs="Times New Roman" w:eastAsia="Times New Roman" w:hAnsi="Times New Roman"/>
          <w:sz w:val="18"/>
          <w:szCs w:val="18"/>
          <w:i w:val="1"/>
          <w:iCs w:val="1"/>
          <w:color w:val="auto"/>
        </w:rPr>
        <w:t>Exhibit B-3</w:t>
      </w:r>
      <w:r>
        <w:rPr>
          <w:rFonts w:ascii="Times New Roman" w:cs="Times New Roman" w:eastAsia="Times New Roman" w:hAnsi="Times New Roman"/>
          <w:sz w:val="18"/>
          <w:szCs w:val="18"/>
          <w:color w:val="auto"/>
        </w:rPr>
        <w:t>, and otherwise in form and substance satisfactory to each of the Bank Agent, the Representatives of the Underwriters and the FF&amp;E Agent.</w:t>
      </w:r>
    </w:p>
    <w:p>
      <w:pPr>
        <w:spacing w:after="0" w:line="18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i w:val="1"/>
          <w:iCs w:val="1"/>
          <w:color w:val="auto"/>
        </w:rPr>
        <w:t>Project Security.</w:t>
      </w:r>
      <w:r>
        <w:rPr>
          <w:rFonts w:ascii="Times New Roman" w:cs="Times New Roman" w:eastAsia="Times New Roman" w:hAnsi="Times New Roman"/>
          <w:sz w:val="18"/>
          <w:szCs w:val="18"/>
          <w:color w:val="auto"/>
        </w:rPr>
        <w:t xml:space="preserve"> All of the Security Documents other than those not required to be delivered as of the Closing Date, in form and substance satisfactory to (a) in the case of the Bank Security Documents, the Bank Agent, (b) in the case of the Second Mortgage Notes Security Documents, the Representatives of the Underwriters and (c) in the case of the FF&amp;E Security Documents, the FF&amp;E Agent, shall have been executed and delivered to the secured parties thereunder and shall be in full force and effect and all actions necessary or desirable, including all filings, in the opinion of the Funding Agents party thereto to perfect the security interests granted therein as a valid security interest over the Project Security (or in the case of the FF&amp;E Agent, the FF&amp;E Component) having the priority contemplated therefor by this Agreement, the Intercreditor Agreements and the Security Documents shall have been taken or made.</w:t>
      </w:r>
    </w:p>
    <w:p>
      <w:pPr>
        <w:spacing w:after="0" w:line="189" w:lineRule="exact"/>
        <w:rPr>
          <w:sz w:val="20"/>
          <w:szCs w:val="20"/>
          <w:color w:val="auto"/>
        </w:rPr>
      </w:pPr>
    </w:p>
    <w:p>
      <w:pPr>
        <w:ind w:right="5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xml:space="preserve"> Each of the Bank Agent, the Representatives of the Underwriters, the FF&amp;E Agent and the Disbursement Agent shall have received the opinions identified in </w:t>
      </w:r>
      <w:r>
        <w:rPr>
          <w:rFonts w:ascii="Times New Roman" w:cs="Times New Roman" w:eastAsia="Times New Roman" w:hAnsi="Times New Roman"/>
          <w:sz w:val="18"/>
          <w:szCs w:val="18"/>
          <w:i w:val="1"/>
          <w:iCs w:val="1"/>
          <w:color w:val="auto"/>
        </w:rPr>
        <w:t>Exhibit Q</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40" w:firstLine="351"/>
        <w:spacing w:after="0" w:line="312" w:lineRule="auto"/>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i w:val="1"/>
          <w:iCs w:val="1"/>
          <w:color w:val="auto"/>
        </w:rPr>
        <w:t>Company's Closing Certificate.</w:t>
      </w:r>
      <w:r>
        <w:rPr>
          <w:rFonts w:ascii="Times New Roman" w:cs="Times New Roman" w:eastAsia="Times New Roman" w:hAnsi="Times New Roman"/>
          <w:sz w:val="16"/>
          <w:szCs w:val="16"/>
          <w:color w:val="auto"/>
        </w:rPr>
        <w:t xml:space="preserve"> Delivery to each of the Bank Agent, the Representatives of the Underwriters, the FF&amp;E Agent and the Disbursement Agent of the Company's Closing Certificate (which shall include, among other things, a certification as to the solvency of the Company and each of the Loan Parties after giving pro forma effect to the transactions contemplated hereby) signed by a Responsible Officer of each Loan Party.</w:t>
      </w:r>
    </w:p>
    <w:p>
      <w:pPr>
        <w:spacing w:after="0" w:line="147" w:lineRule="exact"/>
        <w:rPr>
          <w:sz w:val="20"/>
          <w:szCs w:val="20"/>
          <w:color w:val="auto"/>
        </w:rPr>
      </w:pPr>
    </w:p>
    <w:p>
      <w:pPr>
        <w:ind w:right="2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i w:val="1"/>
          <w:iCs w:val="1"/>
          <w:color w:val="auto"/>
        </w:rPr>
        <w:t>Business Plan.</w:t>
      </w:r>
      <w:r>
        <w:rPr>
          <w:rFonts w:ascii="Times New Roman" w:cs="Times New Roman" w:eastAsia="Times New Roman" w:hAnsi="Times New Roman"/>
          <w:sz w:val="18"/>
          <w:szCs w:val="18"/>
          <w:color w:val="auto"/>
        </w:rPr>
        <w:t xml:space="preserve"> The Bank Lenders, the Representatives of the Underwriters and the FF&amp;E Lenders shall have received a business plan for the five fiscal years of the Loan Parties following the Completion Date (the "</w:t>
      </w:r>
      <w:r>
        <w:rPr>
          <w:rFonts w:ascii="Times New Roman" w:cs="Times New Roman" w:eastAsia="Times New Roman" w:hAnsi="Times New Roman"/>
          <w:sz w:val="18"/>
          <w:szCs w:val="18"/>
          <w:i w:val="1"/>
          <w:iCs w:val="1"/>
          <w:color w:val="auto"/>
        </w:rPr>
        <w:t>Business Plan</w:t>
      </w:r>
      <w:r>
        <w:rPr>
          <w:rFonts w:ascii="Times New Roman" w:cs="Times New Roman" w:eastAsia="Times New Roman" w:hAnsi="Times New Roman"/>
          <w:sz w:val="18"/>
          <w:szCs w:val="18"/>
          <w:color w:val="auto"/>
        </w:rPr>
        <w:t>") and a satisfactory written analysis of the business and prospects of the Loan Parties for the period from the Completion Date through the</w:t>
      </w:r>
    </w:p>
    <w:p>
      <w:pPr>
        <w:spacing w:after="0" w:line="1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thereof, all in form and substance satisfactory to the Bank Lenders, the Representatives of the Underwriters and the FF&amp;E Lenders.</w:t>
      </w:r>
    </w:p>
    <w:p>
      <w:pPr>
        <w:spacing w:after="0" w:line="146"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i w:val="1"/>
          <w:iCs w:val="1"/>
          <w:color w:val="auto"/>
        </w:rPr>
        <w:t>Advance Request.</w:t>
      </w:r>
      <w:r>
        <w:rPr>
          <w:rFonts w:ascii="Times New Roman" w:cs="Times New Roman" w:eastAsia="Times New Roman" w:hAnsi="Times New Roman"/>
          <w:sz w:val="18"/>
          <w:szCs w:val="18"/>
          <w:color w:val="auto"/>
        </w:rPr>
        <w:t xml:space="preserve"> Delivery to the Disbursement Agent and the Construction Consultant of a preliminary Advance Request in accordance with </w:t>
      </w:r>
      <w:r>
        <w:rPr>
          <w:rFonts w:ascii="Times New Roman" w:cs="Times New Roman" w:eastAsia="Times New Roman" w:hAnsi="Times New Roman"/>
          <w:sz w:val="18"/>
          <w:szCs w:val="18"/>
          <w:i w:val="1"/>
          <w:iCs w:val="1"/>
          <w:color w:val="auto"/>
        </w:rPr>
        <w:t>Section 2.4.1(a)</w:t>
      </w:r>
      <w:r>
        <w:rPr>
          <w:rFonts w:ascii="Times New Roman" w:cs="Times New Roman" w:eastAsia="Times New Roman" w:hAnsi="Times New Roman"/>
          <w:sz w:val="18"/>
          <w:szCs w:val="18"/>
          <w:color w:val="auto"/>
        </w:rPr>
        <w:t xml:space="preserve"> and a final executed Advance Request in accordance with </w:t>
      </w:r>
      <w:r>
        <w:rPr>
          <w:rFonts w:ascii="Times New Roman" w:cs="Times New Roman" w:eastAsia="Times New Roman" w:hAnsi="Times New Roman"/>
          <w:sz w:val="18"/>
          <w:szCs w:val="18"/>
          <w:i w:val="1"/>
          <w:iCs w:val="1"/>
          <w:color w:val="auto"/>
        </w:rPr>
        <w:t>Section 2.4.2(a)</w:t>
      </w:r>
      <w:r>
        <w:rPr>
          <w:rFonts w:ascii="Times New Roman" w:cs="Times New Roman" w:eastAsia="Times New Roman" w:hAnsi="Times New Roman"/>
          <w:sz w:val="18"/>
          <w:szCs w:val="18"/>
          <w:color w:val="auto"/>
        </w:rPr>
        <w:t xml:space="preserve">, in each case, with the Required Contractor Advance Certificates and all other attachments, exhibits and certificates required by </w:t>
      </w:r>
      <w:r>
        <w:rPr>
          <w:rFonts w:ascii="Times New Roman" w:cs="Times New Roman" w:eastAsia="Times New Roman" w:hAnsi="Times New Roman"/>
          <w:sz w:val="18"/>
          <w:szCs w:val="18"/>
          <w:i w:val="1"/>
          <w:iCs w:val="1"/>
          <w:color w:val="auto"/>
        </w:rPr>
        <w:t>Sections 2.4.1(a)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2.4.1(b)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2.4.2(a)</w:t>
      </w:r>
      <w:r>
        <w:rPr>
          <w:rFonts w:ascii="Times New Roman" w:cs="Times New Roman" w:eastAsia="Times New Roman" w:hAnsi="Times New Roman"/>
          <w:sz w:val="18"/>
          <w:szCs w:val="18"/>
          <w:color w:val="auto"/>
        </w:rPr>
        <w:t xml:space="preserve">, as the case may be. Such Advance Request shall request an Advance in an amount sufficient to (a) pay all fees and expenses then due and payable to the Secured Parties and their respective advisors and consultants, (b) request a draw of $38,000,000 under the FF&amp;E Facility described in the first sentence of </w:t>
      </w:r>
      <w:r>
        <w:rPr>
          <w:rFonts w:ascii="Times New Roman" w:cs="Times New Roman" w:eastAsia="Times New Roman" w:hAnsi="Times New Roman"/>
          <w:sz w:val="18"/>
          <w:szCs w:val="18"/>
          <w:i w:val="1"/>
          <w:iCs w:val="1"/>
          <w:color w:val="auto"/>
        </w:rPr>
        <w:t>Section 2.5.5</w:t>
      </w:r>
      <w:r>
        <w:rPr>
          <w:rFonts w:ascii="Times New Roman" w:cs="Times New Roman" w:eastAsia="Times New Roman" w:hAnsi="Times New Roman"/>
          <w:sz w:val="18"/>
          <w:szCs w:val="18"/>
          <w:color w:val="auto"/>
        </w:rPr>
        <w:t xml:space="preserve"> to refinance the purchase of the Aircraft, and (c) request a draw from the Company's Funds Account of $2,500,000 for deposit in the Soft Costs Cash Management Account and of $3,000,000 for deposit in the Hard Costs Cash Management Account.</w:t>
      </w:r>
    </w:p>
    <w:p>
      <w:pPr>
        <w:spacing w:after="0" w:line="189" w:lineRule="exact"/>
        <w:rPr>
          <w:sz w:val="20"/>
          <w:szCs w:val="20"/>
          <w:color w:val="auto"/>
        </w:rPr>
      </w:pPr>
    </w:p>
    <w:p>
      <w:pPr>
        <w:ind w:right="220" w:firstLine="351"/>
        <w:spacing w:after="0" w:line="297" w:lineRule="auto"/>
        <w:rPr>
          <w:sz w:val="20"/>
          <w:szCs w:val="20"/>
          <w:color w:val="auto"/>
        </w:rPr>
      </w:pPr>
      <w:r>
        <w:rPr>
          <w:rFonts w:ascii="Times New Roman" w:cs="Times New Roman" w:eastAsia="Times New Roman" w:hAnsi="Times New Roman"/>
          <w:sz w:val="16"/>
          <w:szCs w:val="16"/>
          <w:color w:val="auto"/>
        </w:rPr>
        <w:t xml:space="preserve">3.1.11 </w:t>
      </w:r>
      <w:r>
        <w:rPr>
          <w:rFonts w:ascii="Times New Roman" w:cs="Times New Roman" w:eastAsia="Times New Roman" w:hAnsi="Times New Roman"/>
          <w:sz w:val="16"/>
          <w:szCs w:val="16"/>
          <w:i w:val="1"/>
          <w:iCs w:val="1"/>
          <w:color w:val="auto"/>
        </w:rPr>
        <w:t>Consultant Certificates and Reports.</w:t>
      </w:r>
      <w:r>
        <w:rPr>
          <w:rFonts w:ascii="Times New Roman" w:cs="Times New Roman" w:eastAsia="Times New Roman" w:hAnsi="Times New Roman"/>
          <w:sz w:val="16"/>
          <w:szCs w:val="16"/>
          <w:color w:val="auto"/>
        </w:rPr>
        <w:t xml:space="preserve"> Delivery to each of the Bank Agent, the Representatives of the Underwriters, the FF&amp;E Agent and the Disbursement Agent, of (a) the Construction Consultant's Closing Certificate with the Construction Consultant's Report in form and substance satisfactory to each of the Bank Agent, the Representatives of the Underwriters and the FF&amp;E Agent attached thereto, (b) the Construction Consultant's Advance Certificate with respect to the requested Advance in the form of </w:t>
      </w:r>
      <w:r>
        <w:rPr>
          <w:rFonts w:ascii="Times New Roman" w:cs="Times New Roman" w:eastAsia="Times New Roman" w:hAnsi="Times New Roman"/>
          <w:sz w:val="16"/>
          <w:szCs w:val="16"/>
          <w:i w:val="1"/>
          <w:iCs w:val="1"/>
          <w:color w:val="auto"/>
        </w:rPr>
        <w:t>Exhibit C-2</w:t>
      </w:r>
      <w:r>
        <w:rPr>
          <w:rFonts w:ascii="Times New Roman" w:cs="Times New Roman" w:eastAsia="Times New Roman" w:hAnsi="Times New Roman"/>
          <w:sz w:val="16"/>
          <w:szCs w:val="16"/>
          <w:color w:val="auto"/>
        </w:rPr>
        <w:t xml:space="preserve"> approving (subject to the proviso in </w:t>
      </w:r>
      <w:r>
        <w:rPr>
          <w:rFonts w:ascii="Times New Roman" w:cs="Times New Roman" w:eastAsia="Times New Roman" w:hAnsi="Times New Roman"/>
          <w:sz w:val="16"/>
          <w:szCs w:val="16"/>
          <w:i w:val="1"/>
          <w:iCs w:val="1"/>
          <w:color w:val="auto"/>
        </w:rPr>
        <w:t>Section 2.4.2(c)</w:t>
      </w:r>
      <w:r>
        <w:rPr>
          <w:rFonts w:ascii="Times New Roman" w:cs="Times New Roman" w:eastAsia="Times New Roman" w:hAnsi="Times New Roman"/>
          <w:sz w:val="16"/>
          <w:szCs w:val="16"/>
          <w:color w:val="auto"/>
        </w:rPr>
        <w:t xml:space="preserve">) the corresponding Advance Request, and (c) the Project Architect's Advance Certificate with respect to the Advance in the form of </w:t>
      </w:r>
      <w:r>
        <w:rPr>
          <w:rFonts w:ascii="Times New Roman" w:cs="Times New Roman" w:eastAsia="Times New Roman" w:hAnsi="Times New Roman"/>
          <w:sz w:val="16"/>
          <w:szCs w:val="16"/>
          <w:i w:val="1"/>
          <w:iCs w:val="1"/>
          <w:color w:val="auto"/>
        </w:rPr>
        <w:t>Exhibit C-3</w:t>
      </w:r>
      <w:r>
        <w:rPr>
          <w:rFonts w:ascii="Times New Roman" w:cs="Times New Roman" w:eastAsia="Times New Roman" w:hAnsi="Times New Roman"/>
          <w:sz w:val="16"/>
          <w:szCs w:val="16"/>
          <w:color w:val="auto"/>
        </w:rPr>
        <w:t>.</w:t>
      </w:r>
    </w:p>
    <w:p>
      <w:pPr>
        <w:sectPr>
          <w:pgSz w:w="11900" w:h="16838" w:orient="portrait"/>
          <w:cols w:equalWidth="0" w:num="1">
            <w:col w:w="10880"/>
          </w:cols>
          <w:pgMar w:left="780" w:top="123" w:right="239" w:bottom="0" w:gutter="0" w:footer="0" w:header="0"/>
        </w:sectPr>
      </w:pPr>
    </w:p>
    <w:bookmarkStart w:id="23" w:name="page24"/>
    <w:bookmarkEnd w:id="23"/>
    <w:p>
      <w:pPr>
        <w:spacing w:after="0" w:line="18"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No action, suit, proceeding or investigation of any kind shall have been instituted or, to the Company's knowledge, pending or threatened, including actions or proceedings of or before any Governmental Authority, to which any Loan Party, the Project or, to the knowledge of the Company, any Major Project Participant, is a party or is subject, or by which any of them or any of their properties or the Project are bound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189"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3.1.13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All amounts required to be paid to or deposited with the Funding Agents, the Representatives of the Underwriters, the Disbursement Agent or the Independent Consultants and all taxes, fees and other costs payable in connection with the execution, delivery, recordation and filing of the documents and instruments referred to in this </w:t>
      </w:r>
      <w:r>
        <w:rPr>
          <w:rFonts w:ascii="Times New Roman" w:cs="Times New Roman" w:eastAsia="Times New Roman" w:hAnsi="Times New Roman"/>
          <w:sz w:val="18"/>
          <w:szCs w:val="18"/>
          <w:i w:val="1"/>
          <w:iCs w:val="1"/>
          <w:color w:val="auto"/>
        </w:rPr>
        <w:t>Section 3.1</w:t>
      </w:r>
      <w:r>
        <w:rPr>
          <w:rFonts w:ascii="Times New Roman" w:cs="Times New Roman" w:eastAsia="Times New Roman" w:hAnsi="Times New Roman"/>
          <w:sz w:val="18"/>
          <w:szCs w:val="18"/>
          <w:color w:val="auto"/>
        </w:rPr>
        <w:t>, shall have been paid or deposited, as the case may be, in full. The Company shall have paid or arranged for payment out of the requested Advance of all fees, expenses and other charges then due and payable by it under this Agreement or other Financing Agreements or under any agreements between the Company and any of the Independent Consultants.</w:t>
      </w:r>
    </w:p>
    <w:p>
      <w:pPr>
        <w:spacing w:after="0" w:line="188"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3.1.14 </w:t>
      </w:r>
      <w:r>
        <w:rPr>
          <w:rFonts w:ascii="Times New Roman" w:cs="Times New Roman" w:eastAsia="Times New Roman" w:hAnsi="Times New Roman"/>
          <w:sz w:val="18"/>
          <w:szCs w:val="18"/>
          <w:i w:val="1"/>
          <w:iCs w:val="1"/>
          <w:color w:val="auto"/>
        </w:rPr>
        <w:t>Project Budget.</w:t>
      </w:r>
      <w:r>
        <w:rPr>
          <w:rFonts w:ascii="Times New Roman" w:cs="Times New Roman" w:eastAsia="Times New Roman" w:hAnsi="Times New Roman"/>
          <w:sz w:val="18"/>
          <w:szCs w:val="18"/>
          <w:color w:val="auto"/>
        </w:rPr>
        <w:t xml:space="preserve"> Delivery to each of the Disbursement Agent, the Bank Agent, the Representatives of the Underwriters, the FF&amp;E Agent and the Construction Consultant of a budget in the form of </w:t>
      </w:r>
      <w:r>
        <w:rPr>
          <w:rFonts w:ascii="Times New Roman" w:cs="Times New Roman" w:eastAsia="Times New Roman" w:hAnsi="Times New Roman"/>
          <w:sz w:val="18"/>
          <w:szCs w:val="18"/>
          <w:i w:val="1"/>
          <w:iCs w:val="1"/>
          <w:color w:val="auto"/>
        </w:rPr>
        <w:t>Exhibit H-1</w:t>
      </w:r>
      <w:r>
        <w:rPr>
          <w:rFonts w:ascii="Times New Roman" w:cs="Times New Roman" w:eastAsia="Times New Roman" w:hAnsi="Times New Roman"/>
          <w:sz w:val="18"/>
          <w:szCs w:val="18"/>
          <w:color w:val="auto"/>
        </w:rPr>
        <w:t xml:space="preserve"> (as amended from time to time in accordance with the terms hereof,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Budget</w:t>
      </w:r>
      <w:r>
        <w:rPr>
          <w:rFonts w:ascii="Times New Roman" w:cs="Times New Roman" w:eastAsia="Times New Roman" w:hAnsi="Times New Roman"/>
          <w:sz w:val="18"/>
          <w:szCs w:val="18"/>
          <w:color w:val="auto"/>
        </w:rPr>
        <w:t>") for all anticipated Project Costs (including, without limitation, Project Costs incurred prior to, as well as after, the Closing Date,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costs and Debt Service), which includes a drawdown schedule for Advances necessary to achieve Final Completion and such other information and supporting data as any of the Bank Agent, the Representatives of the Underwriters, the FF&amp;E Agent, the Disbursement Agent or the Construction Consultant may reasonably require, together with a balanced statement of sources and uses of proceeds (and any</w:t>
      </w:r>
    </w:p>
    <w:p>
      <w:pPr>
        <w:spacing w:after="0" w:line="1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other funds necessary to complete the Project), broken down by Facility and Line Item Category, which Project Budget, drawdown schedule and statement of sources and uses shall be satisfactory to the Construction Consultant, as and to the extent certified to in the Construction Consultant's Closing Certificate and the Bank Lenders, the Representatives of the Underwriters and the FF&amp;E Agent, it being acknowledged by the Bank Lenders, the Representatives of the Underwriters and the FF&amp;E Agent that the level of detail of the Project Budget shall be commensurate with the state of completion of the Plans and Specifications and that, without in any way affecting the Company's obligations under </w:t>
      </w:r>
      <w:r>
        <w:rPr>
          <w:rFonts w:ascii="Times New Roman" w:cs="Times New Roman" w:eastAsia="Times New Roman" w:hAnsi="Times New Roman"/>
          <w:sz w:val="18"/>
          <w:szCs w:val="18"/>
          <w:i w:val="1"/>
          <w:iCs w:val="1"/>
          <w:color w:val="auto"/>
        </w:rPr>
        <w:t>Section 6.4</w:t>
      </w:r>
      <w:r>
        <w:rPr>
          <w:rFonts w:ascii="Times New Roman" w:cs="Times New Roman" w:eastAsia="Times New Roman" w:hAnsi="Times New Roman"/>
          <w:sz w:val="18"/>
          <w:szCs w:val="18"/>
          <w:color w:val="auto"/>
        </w:rPr>
        <w:t xml:space="preserve"> with respect to amendments to the Project Budget, upon completion of the Plans and Specifications, the part of the Project Budget referable thereto shall be broken down, to the Disbursement Agent's and the Construction Consultant's reasonable satisfaction, to the level of line item detail required for the parts of the Project with Final Plans and Specifications.</w:t>
      </w:r>
    </w:p>
    <w:p>
      <w:pPr>
        <w:spacing w:after="0" w:line="190" w:lineRule="exact"/>
        <w:rPr>
          <w:sz w:val="20"/>
          <w:szCs w:val="20"/>
          <w:color w:val="auto"/>
        </w:rPr>
      </w:pPr>
    </w:p>
    <w:p>
      <w:pPr>
        <w:ind w:right="200" w:firstLine="351"/>
        <w:spacing w:after="0" w:line="297" w:lineRule="auto"/>
        <w:rPr>
          <w:sz w:val="20"/>
          <w:szCs w:val="20"/>
          <w:color w:val="auto"/>
        </w:rPr>
      </w:pPr>
      <w:r>
        <w:rPr>
          <w:rFonts w:ascii="Times New Roman" w:cs="Times New Roman" w:eastAsia="Times New Roman" w:hAnsi="Times New Roman"/>
          <w:sz w:val="16"/>
          <w:szCs w:val="16"/>
          <w:color w:val="auto"/>
        </w:rPr>
        <w:t xml:space="preserve">3.1.15 </w:t>
      </w:r>
      <w:r>
        <w:rPr>
          <w:rFonts w:ascii="Times New Roman" w:cs="Times New Roman" w:eastAsia="Times New Roman" w:hAnsi="Times New Roman"/>
          <w:sz w:val="16"/>
          <w:szCs w:val="16"/>
          <w:i w:val="1"/>
          <w:iCs w:val="1"/>
          <w:color w:val="auto"/>
        </w:rPr>
        <w:t>Project Schedule and Schedule of Key Dates.</w:t>
      </w:r>
      <w:r>
        <w:rPr>
          <w:rFonts w:ascii="Times New Roman" w:cs="Times New Roman" w:eastAsia="Times New Roman" w:hAnsi="Times New Roman"/>
          <w:sz w:val="16"/>
          <w:szCs w:val="16"/>
          <w:color w:val="auto"/>
        </w:rPr>
        <w:t xml:space="preserve"> Delivery to the Disbursement Agent, the Bank Agent, the Representatives of the Underwriters, the FF&amp;E Agent and the Construction Consultant of a schedule for construction and completion of the Project in the form of </w:t>
      </w:r>
      <w:r>
        <w:rPr>
          <w:rFonts w:ascii="Times New Roman" w:cs="Times New Roman" w:eastAsia="Times New Roman" w:hAnsi="Times New Roman"/>
          <w:sz w:val="16"/>
          <w:szCs w:val="16"/>
          <w:i w:val="1"/>
          <w:iCs w:val="1"/>
          <w:color w:val="auto"/>
        </w:rPr>
        <w:t>Exhibit I</w:t>
      </w:r>
      <w:r>
        <w:rPr>
          <w:rFonts w:ascii="Times New Roman" w:cs="Times New Roman" w:eastAsia="Times New Roman" w:hAnsi="Times New Roman"/>
          <w:sz w:val="16"/>
          <w:szCs w:val="16"/>
          <w:color w:val="auto"/>
        </w:rPr>
        <w:t xml:space="preserve"> (as amended from time to time in accordance with the terms hereof, the "</w:t>
      </w:r>
      <w:r>
        <w:rPr>
          <w:rFonts w:ascii="Times New Roman" w:cs="Times New Roman" w:eastAsia="Times New Roman" w:hAnsi="Times New Roman"/>
          <w:sz w:val="16"/>
          <w:szCs w:val="16"/>
          <w:i w:val="1"/>
          <w:iCs w:val="1"/>
          <w:color w:val="auto"/>
        </w:rPr>
        <w:t>Project Schedule</w:t>
      </w:r>
      <w:r>
        <w:rPr>
          <w:rFonts w:ascii="Times New Roman" w:cs="Times New Roman" w:eastAsia="Times New Roman" w:hAnsi="Times New Roman"/>
          <w:sz w:val="16"/>
          <w:szCs w:val="16"/>
          <w:color w:val="auto"/>
        </w:rPr>
        <w:t xml:space="preserve">") and a schedule of key dates for construction and completion of the Project in the form of </w:t>
      </w:r>
      <w:r>
        <w:rPr>
          <w:rFonts w:ascii="Times New Roman" w:cs="Times New Roman" w:eastAsia="Times New Roman" w:hAnsi="Times New Roman"/>
          <w:sz w:val="16"/>
          <w:szCs w:val="16"/>
          <w:i w:val="1"/>
          <w:iCs w:val="1"/>
          <w:color w:val="auto"/>
        </w:rPr>
        <w:t>Exhibit J</w:t>
      </w:r>
      <w:r>
        <w:rPr>
          <w:rFonts w:ascii="Times New Roman" w:cs="Times New Roman" w:eastAsia="Times New Roman" w:hAnsi="Times New Roman"/>
          <w:sz w:val="16"/>
          <w:szCs w:val="16"/>
          <w:color w:val="auto"/>
        </w:rPr>
        <w:t>, each of which demonstrates that the Completion Date will occur on or before the Scheduled Completion Date and which is otherwise satisfactory to the Construction Consultant, as certified to in the Construction Consultant's Closing Certificate.</w:t>
      </w:r>
    </w:p>
    <w:p>
      <w:pPr>
        <w:spacing w:after="0" w:line="158"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3.1.16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Delivery to the Disbursement Agent, the Bank Agent, the Representatives of the Underwriters and the FF&amp;E Agent of the most recent annual consolidated and consolidating financial statements of the type which must be provided under </w:t>
      </w:r>
      <w:r>
        <w:rPr>
          <w:rFonts w:ascii="Times New Roman" w:cs="Times New Roman" w:eastAsia="Times New Roman" w:hAnsi="Times New Roman"/>
          <w:sz w:val="18"/>
          <w:szCs w:val="18"/>
          <w:i w:val="1"/>
          <w:iCs w:val="1"/>
          <w:color w:val="auto"/>
        </w:rPr>
        <w:t>Section 5.6.5</w:t>
      </w:r>
      <w:r>
        <w:rPr>
          <w:rFonts w:ascii="Times New Roman" w:cs="Times New Roman" w:eastAsia="Times New Roman" w:hAnsi="Times New Roman"/>
          <w:sz w:val="18"/>
          <w:szCs w:val="18"/>
          <w:color w:val="auto"/>
        </w:rPr>
        <w:t xml:space="preserve"> and most recent quarterly consolidated and consolidating financial statements from Valvino and its consolidated Subsidiaries (including Wynn Las Vegas and its consolidated Subsidiaries), together with certificates from a Responsible Officer of each such Person certifying such financial statements and stating that no material adverse change in the consolidated assets, liabilities, operations or financial condition of each such Person has occurred since the dates of the respective financial statements provided to the Disbursement Agent, the Bank Agent, the Representatives of the Underwriters and the FF&amp;E Agent, except as otherwise provided in such certificate.</w:t>
      </w:r>
    </w:p>
    <w:p>
      <w:pPr>
        <w:spacing w:after="0" w:line="189" w:lineRule="exact"/>
        <w:rPr>
          <w:sz w:val="20"/>
          <w:szCs w:val="20"/>
          <w:color w:val="auto"/>
        </w:rPr>
      </w:pPr>
    </w:p>
    <w:p>
      <w:pPr>
        <w:ind w:right="60" w:firstLine="351"/>
        <w:spacing w:after="0" w:line="293" w:lineRule="auto"/>
        <w:rPr>
          <w:sz w:val="20"/>
          <w:szCs w:val="20"/>
          <w:color w:val="auto"/>
        </w:rPr>
      </w:pPr>
      <w:r>
        <w:rPr>
          <w:rFonts w:ascii="Times New Roman" w:cs="Times New Roman" w:eastAsia="Times New Roman" w:hAnsi="Times New Roman"/>
          <w:sz w:val="16"/>
          <w:szCs w:val="16"/>
          <w:color w:val="auto"/>
        </w:rPr>
        <w:t xml:space="preserve">3.1.17 </w:t>
      </w:r>
      <w:r>
        <w:rPr>
          <w:rFonts w:ascii="Times New Roman" w:cs="Times New Roman" w:eastAsia="Times New Roman" w:hAnsi="Times New Roman"/>
          <w:sz w:val="16"/>
          <w:szCs w:val="16"/>
          <w:i w:val="1"/>
          <w:iCs w:val="1"/>
          <w:color w:val="auto"/>
        </w:rPr>
        <w:t>Material Adverse Effect.</w:t>
      </w:r>
      <w:r>
        <w:rPr>
          <w:rFonts w:ascii="Times New Roman" w:cs="Times New Roman" w:eastAsia="Times New Roman" w:hAnsi="Times New Roman"/>
          <w:sz w:val="16"/>
          <w:szCs w:val="16"/>
          <w:color w:val="auto"/>
        </w:rPr>
        <w:t xml:space="preserve"> Since December 31, 2001, there shall not have occurred any material adverse condition or material adverse change in or affecting the Project Budget, the economics or feasibility of developing and/or constructing and/or operating the Project, or business, assets, liabilities, property, condition (financial or otherwise), results of operations, prospects, value or management of Wynn Las Vegas individually, or the Loan Parties taken as a whole, or any Project Credit Support Provider, or calls into question in any material respect the Projections or any of the material assumptions on which the Projections were prepared, or any other event, development or circumstance that has caused or resulted in or could reasonably be expected to cause or result in a Material Adverse Effect as certified by a Responsible Officer of the Company in the Company's Closing Certificate.</w:t>
      </w:r>
    </w:p>
    <w:p>
      <w:pPr>
        <w:spacing w:after="0" w:line="165"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3.1.18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No Event of Default or Potential Event of Default shall have occurred and be continuing, as certified by a Responsible Officer of the Company in the Company's Closing Certificate.</w:t>
      </w:r>
    </w:p>
    <w:p>
      <w:pPr>
        <w:spacing w:after="0" w:line="170"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3.1.19</w:t>
      </w:r>
      <w:r>
        <w:rPr>
          <w:sz w:val="20"/>
          <w:szCs w:val="20"/>
          <w:color w:val="auto"/>
        </w:rPr>
        <w:tab/>
      </w:r>
      <w:r>
        <w:rPr>
          <w:rFonts w:ascii="Times New Roman" w:cs="Times New Roman" w:eastAsia="Times New Roman" w:hAnsi="Times New Roman"/>
          <w:sz w:val="16"/>
          <w:szCs w:val="16"/>
          <w:i w:val="1"/>
          <w:iCs w:val="1"/>
          <w:color w:val="auto"/>
        </w:rPr>
        <w:t>Permits.</w:t>
      </w:r>
    </w:p>
    <w:p>
      <w:pPr>
        <w:spacing w:after="0" w:line="225" w:lineRule="exact"/>
        <w:rPr>
          <w:sz w:val="20"/>
          <w:szCs w:val="20"/>
          <w:color w:val="auto"/>
        </w:rPr>
      </w:pPr>
    </w:p>
    <w:p>
      <w:pPr>
        <w:ind w:left="540" w:right="60" w:firstLine="360"/>
        <w:spacing w:after="0" w:line="264" w:lineRule="auto"/>
        <w:tabs>
          <w:tab w:leader="none" w:pos="11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described in </w:t>
      </w:r>
      <w:r>
        <w:rPr>
          <w:rFonts w:ascii="Times New Roman" w:cs="Times New Roman" w:eastAsia="Times New Roman" w:hAnsi="Times New Roman"/>
          <w:sz w:val="18"/>
          <w:szCs w:val="18"/>
          <w:i w:val="1"/>
          <w:iCs w:val="1"/>
          <w:color w:val="auto"/>
        </w:rPr>
        <w:t>Exhibit M</w:t>
      </w:r>
      <w:r>
        <w:rPr>
          <w:rFonts w:ascii="Times New Roman" w:cs="Times New Roman" w:eastAsia="Times New Roman" w:hAnsi="Times New Roman"/>
          <w:sz w:val="18"/>
          <w:szCs w:val="18"/>
          <w:color w:val="auto"/>
        </w:rPr>
        <w:t xml:space="preserve"> as required to have been obtained by the Company or any other Person by the Closing Date shall have been issued and be in full force and effect and not subject to current legal proceedings or to any unsatisfied conditions (that are required to be satisfied by the Closing Date) that could reasonably be expected to</w:t>
      </w:r>
    </w:p>
    <w:p>
      <w:pPr>
        <w:spacing w:after="0" w:line="1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60"/>
        <w:spacing w:after="0" w:line="262" w:lineRule="auto"/>
        <w:rPr>
          <w:sz w:val="20"/>
          <w:szCs w:val="20"/>
          <w:color w:val="auto"/>
        </w:rPr>
      </w:pPr>
      <w:r>
        <w:rPr>
          <w:rFonts w:ascii="Times New Roman" w:cs="Times New Roman" w:eastAsia="Times New Roman" w:hAnsi="Times New Roman"/>
          <w:sz w:val="18"/>
          <w:szCs w:val="18"/>
          <w:color w:val="auto"/>
        </w:rPr>
        <w:t>materially adversely modify any Permit, to revoke any Permit, to restrain or prevent the construction or operation of the Project or otherwise impose adverse conditions on the Project or the financing contemplated under the Financing Agreements and all applicable appeal periods with respect thereto shall have expired;</w:t>
      </w:r>
    </w:p>
    <w:p>
      <w:pPr>
        <w:spacing w:after="0" w:line="184" w:lineRule="exact"/>
        <w:rPr>
          <w:sz w:val="20"/>
          <w:szCs w:val="20"/>
          <w:color w:val="auto"/>
        </w:rPr>
      </w:pPr>
    </w:p>
    <w:p>
      <w:pPr>
        <w:jc w:val="both"/>
        <w:ind w:left="540" w:right="60" w:firstLine="360"/>
        <w:spacing w:after="0" w:line="259" w:lineRule="auto"/>
        <w:tabs>
          <w:tab w:leader="none" w:pos="118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of the Permits described in </w:t>
      </w:r>
      <w:r>
        <w:rPr>
          <w:rFonts w:ascii="Times New Roman" w:cs="Times New Roman" w:eastAsia="Times New Roman" w:hAnsi="Times New Roman"/>
          <w:sz w:val="18"/>
          <w:szCs w:val="18"/>
          <w:i w:val="1"/>
          <w:iCs w:val="1"/>
          <w:color w:val="auto"/>
        </w:rPr>
        <w:t>Exhibit M</w:t>
      </w:r>
      <w:r>
        <w:rPr>
          <w:rFonts w:ascii="Times New Roman" w:cs="Times New Roman" w:eastAsia="Times New Roman" w:hAnsi="Times New Roman"/>
          <w:sz w:val="18"/>
          <w:szCs w:val="18"/>
          <w:color w:val="auto"/>
        </w:rPr>
        <w:t xml:space="preserve"> as not yet required to be obtained (other than the gaming license),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 and</w:t>
      </w:r>
    </w:p>
    <w:p>
      <w:pPr>
        <w:sectPr>
          <w:pgSz w:w="11900" w:h="16856" w:orient="portrait"/>
          <w:cols w:equalWidth="0" w:num="1">
            <w:col w:w="10880"/>
          </w:cols>
          <w:pgMar w:left="780" w:top="123" w:right="239" w:bottom="0" w:gutter="0" w:footer="0" w:header="0"/>
        </w:sectPr>
      </w:pPr>
    </w:p>
    <w:bookmarkStart w:id="24" w:name="page25"/>
    <w:bookmarkEnd w:id="24"/>
    <w:p>
      <w:pPr>
        <w:ind w:left="360"/>
        <w:spacing w:after="0"/>
        <w:tabs>
          <w:tab w:leader="none" w:pos="960" w:val="left"/>
          <w:tab w:leader="none" w:pos="2320" w:val="left"/>
        </w:tabs>
        <w:rPr>
          <w:sz w:val="20"/>
          <w:szCs w:val="20"/>
          <w:color w:val="auto"/>
        </w:rPr>
      </w:pPr>
      <w:r>
        <w:rPr>
          <w:rFonts w:ascii="Times New Roman" w:cs="Times New Roman" w:eastAsia="Times New Roman" w:hAnsi="Times New Roman"/>
          <w:sz w:val="18"/>
          <w:szCs w:val="18"/>
          <w:color w:val="auto"/>
        </w:rPr>
        <w:t>3.1.20</w:t>
      </w:r>
      <w:r>
        <w:rPr>
          <w:sz w:val="20"/>
          <w:szCs w:val="20"/>
          <w:color w:val="auto"/>
        </w:rPr>
        <w:tab/>
      </w:r>
      <w:r>
        <w:rPr>
          <w:rFonts w:ascii="Times New Roman" w:cs="Times New Roman" w:eastAsia="Times New Roman" w:hAnsi="Times New Roman"/>
          <w:sz w:val="18"/>
          <w:szCs w:val="18"/>
          <w:i w:val="1"/>
          <w:iCs w:val="1"/>
          <w:color w:val="auto"/>
        </w:rPr>
        <w:t>Gaming License.</w:t>
      </w:r>
      <w:r>
        <w:rPr>
          <w:sz w:val="20"/>
          <w:szCs w:val="20"/>
          <w:color w:val="auto"/>
        </w:rPr>
        <w:tab/>
      </w:r>
      <w:r>
        <w:rPr>
          <w:rFonts w:ascii="Times New Roman" w:cs="Times New Roman" w:eastAsia="Times New Roman" w:hAnsi="Times New Roman"/>
          <w:sz w:val="16"/>
          <w:szCs w:val="16"/>
          <w:color w:val="auto"/>
        </w:rPr>
        <w:t>The Buy-Sell Agreement is in full force and effect.</w:t>
      </w:r>
    </w:p>
    <w:p>
      <w:pPr>
        <w:spacing w:after="0" w:line="225"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3.1.21 </w:t>
      </w:r>
      <w:r>
        <w:rPr>
          <w:rFonts w:ascii="Times New Roman" w:cs="Times New Roman" w:eastAsia="Times New Roman" w:hAnsi="Times New Roman"/>
          <w:sz w:val="18"/>
          <w:szCs w:val="18"/>
          <w:i w:val="1"/>
          <w:iCs w:val="1"/>
          <w:color w:val="auto"/>
        </w:rPr>
        <w:t>Third Party Consents.</w:t>
      </w:r>
      <w:r>
        <w:rPr>
          <w:rFonts w:ascii="Times New Roman" w:cs="Times New Roman" w:eastAsia="Times New Roman" w:hAnsi="Times New Roman"/>
          <w:sz w:val="18"/>
          <w:szCs w:val="18"/>
          <w:color w:val="auto"/>
        </w:rPr>
        <w:t xml:space="preserve"> Delivery to the Disbursement Agent and each of the Bank Agent, the Representatives of the Underwriters and the FF&amp;E Agent of Consents from (a) Prime Contractor, (b) Construction Guarantor, (c) Desert Inn Improvement as supplier under the Water Supply Contract, (d) Parking Structure Contractor, (e) Project Architect, and (f) the Aqua Theater Designer; each in form of </w:t>
      </w:r>
      <w:r>
        <w:rPr>
          <w:rFonts w:ascii="Times New Roman" w:cs="Times New Roman" w:eastAsia="Times New Roman" w:hAnsi="Times New Roman"/>
          <w:sz w:val="18"/>
          <w:szCs w:val="18"/>
          <w:i w:val="1"/>
          <w:iCs w:val="1"/>
          <w:color w:val="auto"/>
        </w:rPr>
        <w:t>Exhibit S</w:t>
      </w:r>
      <w:r>
        <w:rPr>
          <w:rFonts w:ascii="Times New Roman" w:cs="Times New Roman" w:eastAsia="Times New Roman" w:hAnsi="Times New Roman"/>
          <w:sz w:val="18"/>
          <w:szCs w:val="18"/>
          <w:color w:val="auto"/>
        </w:rPr>
        <w:t xml:space="preserve"> or otherwise in form and substance satisfactory to the Bank Agent, the Representatives of the Underwriters and the FF&amp;E Agent.</w:t>
      </w:r>
    </w:p>
    <w:p>
      <w:pPr>
        <w:spacing w:after="0" w:line="18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3.1.22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Each representation and warranty of (a) each Loan Party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hereof or in any of the other Operative Documents shall be true and correct in all material respects as if made on such date (except that any representation and warranty that relates expressly to an earlier date shall be deemed made only as of such earlier date), and (b) to the Company's knowledge, each Major Project Participant (other than any Loan Party) set forth in any of the Operative Documents shall be true and correct in all material respects as if made on such date (except that any representation and warranty that relates expressly to an earlier date shall be deemed made only as of such earlier date) unless the failure of any such representation and warranty referred to in this clause (b) to be true and correct could not reasonably be expected to have a Material Adverse Effect, in each case, as certified by the Company in the Company's Closing Certificate.</w:t>
      </w:r>
    </w:p>
    <w:p>
      <w:pPr>
        <w:spacing w:after="0" w:line="189"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3.1.23 </w:t>
      </w: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xml:space="preserve"> Delivery to the Funding Agents and the Disbursement Agent of a letter from Corporation Service Company or any other Person reasonably satisfactory to each of the Bank Agent, the Representatives of the Underwriters and the FF&amp;E Agent consenting to its appointment by each Loan Party in each case in form and substance acceptable to each of the Bank Agent, the Representatives of the Underwriters and the FF&amp;E Agent, as each such Person's agent to receive service of process in New York, New York.</w:t>
      </w:r>
    </w:p>
    <w:p>
      <w:pPr>
        <w:spacing w:after="0" w:line="187"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3.1.24 </w:t>
      </w:r>
      <w:r>
        <w:rPr>
          <w:rFonts w:ascii="Times New Roman" w:cs="Times New Roman" w:eastAsia="Times New Roman" w:hAnsi="Times New Roman"/>
          <w:sz w:val="18"/>
          <w:szCs w:val="18"/>
          <w:i w:val="1"/>
          <w:iCs w:val="1"/>
          <w:color w:val="auto"/>
        </w:rPr>
        <w:t>Utility Availability.</w:t>
      </w:r>
      <w:r>
        <w:rPr>
          <w:rFonts w:ascii="Times New Roman" w:cs="Times New Roman" w:eastAsia="Times New Roman" w:hAnsi="Times New Roman"/>
          <w:sz w:val="18"/>
          <w:szCs w:val="18"/>
          <w:color w:val="auto"/>
        </w:rPr>
        <w:t xml:space="preserve"> The Construction Consultant shall have become satisfied, as certified to in the Construction Consultant's Closing Certificate, that arrangements, which are reflected accurately in the Project Budget, shall have been or will be made under the Material Project Documents or otherwise on commercially reasonable terms for the provision of all utilities necessary for the construction, operation and maintenance of the Project as contemplated by the Operative Documents and the Final Plans and Specifications.</w:t>
      </w:r>
    </w:p>
    <w:p>
      <w:pPr>
        <w:spacing w:after="0" w:line="187" w:lineRule="exact"/>
        <w:rPr>
          <w:sz w:val="20"/>
          <w:szCs w:val="20"/>
          <w:color w:val="auto"/>
        </w:rPr>
      </w:pPr>
    </w:p>
    <w:p>
      <w:pPr>
        <w:ind w:right="2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3.1.25 </w:t>
      </w:r>
      <w:r>
        <w:rPr>
          <w:rFonts w:ascii="Times New Roman" w:cs="Times New Roman" w:eastAsia="Times New Roman" w:hAnsi="Times New Roman"/>
          <w:sz w:val="18"/>
          <w:szCs w:val="18"/>
          <w:i w:val="1"/>
          <w:iCs w:val="1"/>
          <w:color w:val="auto"/>
        </w:rPr>
        <w:t>Establishing of Company Accounts; Second Mortgage Notes Proceeds.</w:t>
      </w:r>
      <w:r>
        <w:rPr>
          <w:rFonts w:ascii="Times New Roman" w:cs="Times New Roman" w:eastAsia="Times New Roman" w:hAnsi="Times New Roman"/>
          <w:sz w:val="18"/>
          <w:szCs w:val="18"/>
          <w:color w:val="auto"/>
        </w:rPr>
        <w:t xml:space="preserve"> (a) Each of the Company Accounts shall have been established pursuant hereto and the Collateral Account Agreements; (b) the Second Mortgage Notes shall have been issued in an principal amount at maturity of Three Hundred Seventy Million Dollars ($370,000,000), and net proceeds of Three Hundred Forty Three Million Three Hundred Thirty Four Thousand One Hundred Dollars ($343,334,100) shall have been deposited in the Second Mortgage Notes Proceeds Account; (c) funds in an amount equal to Fifty Million Dollars ($50,000,000) shall have been deposited in</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Completion Guaranty Deposit Account, (d) funds in an amount equal to Thirty Million Dollars ($30,000,000) shall have been deposited in the Project Liquidity Reserve Account, and (e) after giving effect to the payments and transfers described in that certain funds flow letter dated October 30, 2002 entered into by the Company, the Bank Agent, the FF&amp;E Agent and the Disbursement Agent (the "</w:t>
      </w:r>
      <w:r>
        <w:rPr>
          <w:rFonts w:ascii="Times New Roman" w:cs="Times New Roman" w:eastAsia="Times New Roman" w:hAnsi="Times New Roman"/>
          <w:sz w:val="18"/>
          <w:szCs w:val="18"/>
          <w:i w:val="1"/>
          <w:iCs w:val="1"/>
          <w:color w:val="auto"/>
        </w:rPr>
        <w:t>Closing Payments</w:t>
      </w:r>
      <w:r>
        <w:rPr>
          <w:rFonts w:ascii="Times New Roman" w:cs="Times New Roman" w:eastAsia="Times New Roman" w:hAnsi="Times New Roman"/>
          <w:sz w:val="18"/>
          <w:szCs w:val="18"/>
          <w:color w:val="auto"/>
        </w:rPr>
        <w:t>"), funds in the amount of $383,578,773.70 shall have been deposited in the Company's Funds Account.</w:t>
      </w:r>
    </w:p>
    <w:p>
      <w:pPr>
        <w:spacing w:after="0" w:line="188"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3.1.26 </w:t>
      </w:r>
      <w:r>
        <w:rPr>
          <w:rFonts w:ascii="Times New Roman" w:cs="Times New Roman" w:eastAsia="Times New Roman" w:hAnsi="Times New Roman"/>
          <w:sz w:val="18"/>
          <w:szCs w:val="18"/>
          <w:i w:val="1"/>
          <w:iCs w:val="1"/>
          <w:color w:val="auto"/>
        </w:rPr>
        <w:t>Funding of Equity.</w:t>
      </w:r>
      <w:r>
        <w:rPr>
          <w:rFonts w:ascii="Times New Roman" w:cs="Times New Roman" w:eastAsia="Times New Roman" w:hAnsi="Times New Roman"/>
          <w:sz w:val="18"/>
          <w:szCs w:val="18"/>
          <w:color w:val="auto"/>
        </w:rPr>
        <w:t xml:space="preserve"> The Company shall have certified in the Company's Closing Certificate (as confirmed by the Construction Consultant to the extent set forth in the Construction Consultant's Closing Certificate) that (a) the amounts on deposit in the Project Liquidity Reserve Account have been irrevocably and unconditionally contributed to the Company and (b) in addition thereto, cash or property in the amount of Four Hundred Forty One Million One Hundred Forty Nine Thousand Eight Hundred Twenty One Dollars ($441,149,821) has been irrevocably and unconditionally contributed to Wynn Las Vegas and applied to the payment of Project Costs and (c) cash in the amount of One Hundred Thirty One Million Two Hundred Twenty-Seven Thousand Six Hundred Ten Dollars ($131,227,610) has been irrevocably and unconditionally contributed to Wynn Las Vegas and deposited into the Company's Funds Account and (d) net proceeds of the initial public offering of Wynn Resorts, Limited in the amount of Three Hundred Ninety Million Four Hundred Sixty Five Thousand Three Hundred Fifty Dollars ($390,465,350) has been irrevocably and unconditionally contributed to Wynn Las Vegas (which amount does not include $40 million of the net proceeds of such initial public offering associated with the Macau project), $383,578,773.70 of which, after giving effect to the Closing Payments, have been deposited in the Company's Funds Account.</w:t>
      </w:r>
    </w:p>
    <w:p>
      <w:pPr>
        <w:spacing w:after="0" w:line="195"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 xml:space="preserve">3.1.27 </w:t>
      </w:r>
      <w:r>
        <w:rPr>
          <w:rFonts w:ascii="Times New Roman" w:cs="Times New Roman" w:eastAsia="Times New Roman" w:hAnsi="Times New Roman"/>
          <w:sz w:val="18"/>
          <w:szCs w:val="18"/>
          <w:i w:val="1"/>
          <w:iCs w:val="1"/>
          <w:color w:val="auto"/>
        </w:rPr>
        <w:t>A.L.T.A. Surveys.</w:t>
      </w:r>
      <w:r>
        <w:rPr>
          <w:rFonts w:ascii="Times New Roman" w:cs="Times New Roman" w:eastAsia="Times New Roman" w:hAnsi="Times New Roman"/>
          <w:sz w:val="18"/>
          <w:szCs w:val="18"/>
          <w:color w:val="auto"/>
        </w:rPr>
        <w:t xml:space="preserve"> The Disbursement Agent and each of the Bank Agent, the Representatives of the Underwriters and the FF&amp;E Agent shall have received A.L.T.A. surveys of the Site and the Site Easements, satisfactory in form and substance to the Title Insurer and each of the Bank Agent, the Representatives of the Underwriters and the FF&amp;E Agent, dated no earlier than sixty (60) days prior to the Closing Date and certified to each such Person by a licensed surveyor satisfactory to each such Person, showing (a) as to the Site, the exact location and dimensions thereof, including the location of all means of access thereto and all easements relating thereto; (b) as to the Site Easements, the exact location and dimensions thereof to the extent capable of being described, including the location of all means of access thereto, and all improvements or other encroachments in or on the Site Easements; (c) the existing utility facilities servicing the Project (including water, electricity, gas, telephone, sanitary sewer and storm water distribution and detention facilities); (d) that such existing improvements do not encroach or interfere (in any manner that could reasonably be expected to have a Material Adverse Effect) with adjacent property or existing easements or other rights (whether on, above or below ground), and that there are no gaps, gores, projections, protrusions or other survey defects other than Permitted Encumbrances applicable to such real property; (e) whether the Site or any portion thereof is located in a special earthquake or flood hazard zone; and (f) that there are no other matters that could reasonably be expected to be disclosed by a survey constituting a defect in title other than the Permitted Encumbrances. The Disbursement Agent and each of the Bank Agent and Representatives of the Underwriters and the FF&amp;E Agent shall have received an overlay to the A.L.T.A. Survey showing the proposed perimeters within which all of the foundations for the Project are to be located pursuant to the Plans and Specifications.</w:t>
      </w:r>
    </w:p>
    <w:p>
      <w:pPr>
        <w:spacing w:after="0" w:line="199"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3.1.28 </w:t>
      </w:r>
      <w:r>
        <w:rPr>
          <w:rFonts w:ascii="Times New Roman" w:cs="Times New Roman" w:eastAsia="Times New Roman" w:hAnsi="Times New Roman"/>
          <w:sz w:val="18"/>
          <w:szCs w:val="18"/>
          <w:i w:val="1"/>
          <w:iCs w:val="1"/>
          <w:color w:val="auto"/>
        </w:rPr>
        <w:t>Title Policies.</w:t>
      </w:r>
      <w:r>
        <w:rPr>
          <w:rFonts w:ascii="Times New Roman" w:cs="Times New Roman" w:eastAsia="Times New Roman" w:hAnsi="Times New Roman"/>
          <w:sz w:val="18"/>
          <w:szCs w:val="18"/>
          <w:color w:val="auto"/>
        </w:rPr>
        <w:t xml:space="preserve"> The Company shall have delivered to (a) the Bank Agent, a lender's A.L.T.A. policy of title insurance, or a commitment to issue such policy, in the amount of $1,000,000,000 and (b) the Indenture Trustee on behalf of the Second Mortgage Note Holders, a lender's A.L.T.A. policy of title insurance, or a commitment to issue such policy, in the amount of $370,000,000. Each such policy or commitment shall (i) include such endorsements as are required</w:t>
      </w:r>
    </w:p>
    <w:p>
      <w:pPr>
        <w:sectPr>
          <w:pgSz w:w="11900" w:h="16838" w:orient="portrait"/>
          <w:cols w:equalWidth="0" w:num="1">
            <w:col w:w="10880"/>
          </w:cols>
          <w:pgMar w:left="780" w:top="123" w:right="239" w:bottom="329" w:gutter="0" w:footer="0" w:header="0"/>
        </w:sectPr>
      </w:pPr>
    </w:p>
    <w:p>
      <w:pPr>
        <w:spacing w:after="0" w:line="18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3" w:right="239" w:bottom="329" w:gutter="0" w:footer="0" w:header="0"/>
          <w:type w:val="continuous"/>
        </w:sectPr>
      </w:pPr>
    </w:p>
    <w:bookmarkStart w:id="25" w:name="page26"/>
    <w:bookmarkEnd w:id="25"/>
    <w:p>
      <w:pPr>
        <w:spacing w:after="0" w:line="262" w:lineRule="auto"/>
        <w:rPr>
          <w:sz w:val="20"/>
          <w:szCs w:val="20"/>
          <w:color w:val="auto"/>
        </w:rPr>
      </w:pPr>
      <w:r>
        <w:rPr>
          <w:rFonts w:ascii="Times New Roman" w:cs="Times New Roman" w:eastAsia="Times New Roman" w:hAnsi="Times New Roman"/>
          <w:sz w:val="18"/>
          <w:szCs w:val="18"/>
          <w:color w:val="auto"/>
        </w:rPr>
        <w:t>by the Bank Agent and the Representatives of the Underwriters, respectively, (ii) be reinsured by such reinsurance as is satisfactory to the Bank Agent and the Representatives of the Underwriters, respectively, (iii) be issued by Title Insurer in form and substance satisfactory to the Bank Agent and the Representatives of the Underwriters, respectively, and (iv) insure (or agree to insure) that:</w:t>
      </w:r>
    </w:p>
    <w:p>
      <w:pPr>
        <w:spacing w:after="0" w:line="186" w:lineRule="exact"/>
        <w:rPr>
          <w:sz w:val="20"/>
          <w:szCs w:val="20"/>
          <w:color w:val="auto"/>
        </w:rPr>
      </w:pPr>
    </w:p>
    <w:p>
      <w:pPr>
        <w:ind w:left="540" w:right="40" w:firstLine="360"/>
        <w:spacing w:after="0" w:line="258" w:lineRule="auto"/>
        <w:tabs>
          <w:tab w:leader="none" w:pos="11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Wynn Las Vegas has fee simple title to the Site and the Site Easements (other than the Mortgaged Property encumbered or to be encumbered by Valvino, Wynn Resorts Holdings, Palo and Desert Inn Improvement) and a valid leasehold estate or easement interest, as the case may be, in the portions of the Site described in the Affiliate Real Estate Agreements, free and clear of liens, encumbrances and other exceptions to title except those exceptions specified on </w:t>
      </w:r>
      <w:r>
        <w:rPr>
          <w:rFonts w:ascii="Times New Roman" w:cs="Times New Roman" w:eastAsia="Times New Roman" w:hAnsi="Times New Roman"/>
          <w:sz w:val="18"/>
          <w:szCs w:val="18"/>
          <w:i w:val="1"/>
          <w:iCs w:val="1"/>
          <w:color w:val="auto"/>
        </w:rPr>
        <w:t>Exhibit N-1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Wynn Las Vegas Permitted Encumbrances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540" w:right="520" w:firstLine="360"/>
        <w:spacing w:after="0" w:line="275" w:lineRule="auto"/>
        <w:tabs>
          <w:tab w:leader="none" w:pos="11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Valvino has fee simple title to the Phase II Land and the Phase II Land Easements, free and clear of liens, encumbrances and other exceptions to title except those exceptions specified on </w:t>
      </w:r>
      <w:r>
        <w:rPr>
          <w:rFonts w:ascii="Times New Roman" w:cs="Times New Roman" w:eastAsia="Times New Roman" w:hAnsi="Times New Roman"/>
          <w:sz w:val="18"/>
          <w:szCs w:val="18"/>
          <w:i w:val="1"/>
          <w:iCs w:val="1"/>
          <w:color w:val="auto"/>
        </w:rPr>
        <w:t>Exhibit N-2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Valvino Permitted Encumbrances</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540" w:right="20" w:firstLine="360"/>
        <w:spacing w:after="0" w:line="310" w:lineRule="auto"/>
        <w:tabs>
          <w:tab w:leader="none" w:pos="117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Wynn Resorts Holdings has fee simple title to the Golf Course Land (other than the Palo Home Site Land and the Water Utility Land encumbered or to be encumbered by Palo and Desert Inn Improvement, respectively) and Golf Course Land Easements, free and clear of liens, encumbrances and other exceptions to title except those exceptions specified on </w:t>
      </w:r>
      <w:r>
        <w:rPr>
          <w:rFonts w:ascii="Times New Roman" w:cs="Times New Roman" w:eastAsia="Times New Roman" w:hAnsi="Times New Roman"/>
          <w:sz w:val="16"/>
          <w:szCs w:val="16"/>
          <w:i w:val="1"/>
          <w:iCs w:val="1"/>
          <w:color w:val="auto"/>
        </w:rPr>
        <w:t>Exhibit N-3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Wynn Resorts Holdings Permitted Encumbrances</w:t>
      </w:r>
      <w:r>
        <w:rPr>
          <w:rFonts w:ascii="Times New Roman" w:cs="Times New Roman" w:eastAsia="Times New Roman" w:hAnsi="Times New Roman"/>
          <w:sz w:val="16"/>
          <w:szCs w:val="16"/>
          <w:color w:val="auto"/>
        </w:rPr>
        <w:t>");</w:t>
      </w:r>
    </w:p>
    <w:p>
      <w:pPr>
        <w:spacing w:after="0" w:line="151" w:lineRule="exact"/>
        <w:rPr>
          <w:rFonts w:ascii="Times New Roman" w:cs="Times New Roman" w:eastAsia="Times New Roman" w:hAnsi="Times New Roman"/>
          <w:sz w:val="16"/>
          <w:szCs w:val="16"/>
          <w:color w:val="auto"/>
        </w:rPr>
      </w:pPr>
    </w:p>
    <w:p>
      <w:pPr>
        <w:ind w:left="540" w:right="440" w:firstLine="360"/>
        <w:spacing w:after="0" w:line="275" w:lineRule="auto"/>
        <w:tabs>
          <w:tab w:leader="none" w:pos="1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Palo has fee simple title to the Palo Home Site Land free and clear of liens, encumbrances and other exceptions to title except those exceptions specified on </w:t>
      </w:r>
      <w:r>
        <w:rPr>
          <w:rFonts w:ascii="Times New Roman" w:cs="Times New Roman" w:eastAsia="Times New Roman" w:hAnsi="Times New Roman"/>
          <w:sz w:val="18"/>
          <w:szCs w:val="18"/>
          <w:i w:val="1"/>
          <w:iCs w:val="1"/>
          <w:color w:val="auto"/>
        </w:rPr>
        <w:t>Exhibit N-4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Palo Permitted Encumbrances</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540" w:right="80" w:firstLine="360"/>
        <w:spacing w:after="0" w:line="275" w:lineRule="auto"/>
        <w:tabs>
          <w:tab w:leader="none" w:pos="11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Desert Inn Improvement has fee simple title to the Water Utility Land, free and clear of liens, encumbrances and other exceptions to title except those exceptions specified on </w:t>
      </w:r>
      <w:r>
        <w:rPr>
          <w:rFonts w:ascii="Times New Roman" w:cs="Times New Roman" w:eastAsia="Times New Roman" w:hAnsi="Times New Roman"/>
          <w:sz w:val="18"/>
          <w:szCs w:val="18"/>
          <w:i w:val="1"/>
          <w:iCs w:val="1"/>
          <w:color w:val="auto"/>
        </w:rPr>
        <w:t>Exhibit N-5</w:t>
      </w:r>
      <w:r>
        <w:rPr>
          <w:rFonts w:ascii="Times New Roman" w:cs="Times New Roman" w:eastAsia="Times New Roman" w:hAnsi="Times New Roman"/>
          <w:sz w:val="18"/>
          <w:szCs w:val="18"/>
          <w:color w:val="auto"/>
        </w:rPr>
        <w:t>; and</w:t>
      </w:r>
    </w:p>
    <w:p>
      <w:pPr>
        <w:spacing w:after="0" w:line="173" w:lineRule="exact"/>
        <w:rPr>
          <w:rFonts w:ascii="Times New Roman" w:cs="Times New Roman" w:eastAsia="Times New Roman" w:hAnsi="Times New Roman"/>
          <w:sz w:val="18"/>
          <w:szCs w:val="18"/>
          <w:color w:val="auto"/>
        </w:rPr>
      </w:pPr>
    </w:p>
    <w:p>
      <w:pPr>
        <w:ind w:left="540" w:firstLine="360"/>
        <w:spacing w:after="0" w:line="293" w:lineRule="auto"/>
        <w:tabs>
          <w:tab w:leader="none" w:pos="124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Deed of Trust (other than the Bank DIIC Deed of Trust and the Second Mortgage Notes DIIC Deed of Trust which will be recorded after the Closing Date pursuant to </w:t>
      </w:r>
      <w:r>
        <w:rPr>
          <w:rFonts w:ascii="Times New Roman" w:cs="Times New Roman" w:eastAsia="Times New Roman" w:hAnsi="Times New Roman"/>
          <w:sz w:val="16"/>
          <w:szCs w:val="16"/>
          <w:i w:val="1"/>
          <w:iCs w:val="1"/>
          <w:color w:val="auto"/>
        </w:rPr>
        <w:t>Section 3.3.22</w:t>
      </w:r>
      <w:r>
        <w:rPr>
          <w:rFonts w:ascii="Times New Roman" w:cs="Times New Roman" w:eastAsia="Times New Roman" w:hAnsi="Times New Roman"/>
          <w:sz w:val="16"/>
          <w:szCs w:val="16"/>
          <w:color w:val="auto"/>
        </w:rPr>
        <w:t>) is (or will be when recorded) a valid lien on the "Trust Estate" and (as defined in each Deed of Trust) entitled to the priority described therein, free and clear of all liens, encumbrances and exceptions to title whatsoever, other than (i) Wynn Las Vegas Permitted Encumbrances in the case of the Deeds of Trust executed by Wynn Las Vegas, (ii) Valvino Permitted Encumbrances in the case of the Deeds of Trust executed by Valvino, and (iii) Wynn Resorts Holdings Permitted Encumbrances in the case of the Deeds of Trust executed by Wynn Resorts Holdings; and (iv) Palo Permitted Encumbrances in the case of the Deeds of Trust executed by Palo.</w:t>
      </w:r>
    </w:p>
    <w:p>
      <w:pPr>
        <w:spacing w:after="0" w:line="163" w:lineRule="exact"/>
        <w:rPr>
          <w:sz w:val="20"/>
          <w:szCs w:val="20"/>
          <w:color w:val="auto"/>
        </w:rPr>
      </w:pPr>
    </w:p>
    <w:p>
      <w:pPr>
        <w:ind w:right="4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3.1.29 </w:t>
      </w:r>
      <w:r>
        <w:rPr>
          <w:rFonts w:ascii="Times New Roman" w:cs="Times New Roman" w:eastAsia="Times New Roman" w:hAnsi="Times New Roman"/>
          <w:sz w:val="18"/>
          <w:szCs w:val="18"/>
          <w:i w:val="1"/>
          <w:iCs w:val="1"/>
          <w:color w:val="auto"/>
        </w:rPr>
        <w:t>Commitment and Fee Letters.</w:t>
      </w:r>
      <w:r>
        <w:rPr>
          <w:rFonts w:ascii="Times New Roman" w:cs="Times New Roman" w:eastAsia="Times New Roman" w:hAnsi="Times New Roman"/>
          <w:sz w:val="18"/>
          <w:szCs w:val="18"/>
          <w:color w:val="auto"/>
        </w:rPr>
        <w:t xml:space="preserve"> The letters regarding the fees of the Bank Agent, the Disbursement Agent and the FF&amp;E Agent, respectively, shall have been executed and delivered. The Company shall have complied with all of its obligations under and agreements in the Commitment Letter, the Bank Fee Letter, the Bank Agent Fee Letter, the Disbursement Agent Fee Letter, the FF&amp;E Arrangement Fee Letter and the FF&amp;E Agent Fee Letter then required to be complied with.</w:t>
      </w:r>
    </w:p>
    <w:p>
      <w:pPr>
        <w:spacing w:after="0" w:line="187" w:lineRule="exact"/>
        <w:rPr>
          <w:sz w:val="20"/>
          <w:szCs w:val="20"/>
          <w:color w:val="auto"/>
        </w:rPr>
      </w:pPr>
    </w:p>
    <w:p>
      <w:pPr>
        <w:ind w:right="140" w:firstLine="351"/>
        <w:spacing w:after="0" w:line="312" w:lineRule="auto"/>
        <w:rPr>
          <w:sz w:val="20"/>
          <w:szCs w:val="20"/>
          <w:color w:val="auto"/>
        </w:rPr>
      </w:pPr>
      <w:r>
        <w:rPr>
          <w:rFonts w:ascii="Times New Roman" w:cs="Times New Roman" w:eastAsia="Times New Roman" w:hAnsi="Times New Roman"/>
          <w:sz w:val="16"/>
          <w:szCs w:val="16"/>
          <w:color w:val="auto"/>
        </w:rPr>
        <w:t xml:space="preserve">3.1.30 </w:t>
      </w:r>
      <w:r>
        <w:rPr>
          <w:rFonts w:ascii="Times New Roman" w:cs="Times New Roman" w:eastAsia="Times New Roman" w:hAnsi="Times New Roman"/>
          <w:sz w:val="16"/>
          <w:szCs w:val="16"/>
          <w:i w:val="1"/>
          <w:iCs w:val="1"/>
          <w:color w:val="auto"/>
        </w:rPr>
        <w:t>Plans and Specifications.</w:t>
      </w:r>
      <w:r>
        <w:rPr>
          <w:rFonts w:ascii="Times New Roman" w:cs="Times New Roman" w:eastAsia="Times New Roman" w:hAnsi="Times New Roman"/>
          <w:sz w:val="16"/>
          <w:szCs w:val="16"/>
          <w:color w:val="auto"/>
        </w:rPr>
        <w:t xml:space="preserve"> The Company shall have delivered to the Construction Consultant Plans and Specifications in form and substance satisfactory to the Construction Consultant, as certified to in the Construction Consultant's Closing Certificate. Subject to approval of the finalized Plans and Specifications by the proper Governmental Authorities, such Plans and Specifications shall constitute Final Plans and Specifications.</w:t>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3.1.31 </w:t>
      </w:r>
      <w:r>
        <w:rPr>
          <w:rFonts w:ascii="Times New Roman" w:cs="Times New Roman" w:eastAsia="Times New Roman" w:hAnsi="Times New Roman"/>
          <w:sz w:val="18"/>
          <w:szCs w:val="18"/>
          <w:i w:val="1"/>
          <w:iCs w:val="1"/>
          <w:color w:val="auto"/>
        </w:rPr>
        <w:t>Corporation and Capital Structure; Management.</w:t>
      </w:r>
      <w:r>
        <w:rPr>
          <w:rFonts w:ascii="Times New Roman" w:cs="Times New Roman" w:eastAsia="Times New Roman" w:hAnsi="Times New Roman"/>
          <w:sz w:val="18"/>
          <w:szCs w:val="18"/>
          <w:color w:val="auto"/>
        </w:rPr>
        <w:t xml:space="preserve"> The corporate organization structure, capital structure and ownership of the Project Credit Support Providers, the Company and its Subsidiaries shall be satisfactory to each of the Bank Agent, the Representatives of the Underwriters and the FF&amp;E Agent. The management structure of the Company and its Subsidiaries shall be satisfactory to each of the Bank Agent, the Representatives of the Underwriters, and the FF&amp;E Agent, and each such Person shall have received copies of, and shall be satisfied with the form and substance of, any and all employment contracts with senior management of the Company.</w:t>
      </w:r>
    </w:p>
    <w:p>
      <w:pPr>
        <w:spacing w:after="0" w:line="188" w:lineRule="exact"/>
        <w:rPr>
          <w:sz w:val="20"/>
          <w:szCs w:val="20"/>
          <w:color w:val="auto"/>
        </w:rPr>
      </w:pPr>
    </w:p>
    <w:p>
      <w:pPr>
        <w:ind w:right="1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3.1.32 </w:t>
      </w:r>
      <w:r>
        <w:rPr>
          <w:rFonts w:ascii="Times New Roman" w:cs="Times New Roman" w:eastAsia="Times New Roman" w:hAnsi="Times New Roman"/>
          <w:sz w:val="18"/>
          <w:szCs w:val="18"/>
          <w:i w:val="1"/>
          <w:iCs w:val="1"/>
          <w:color w:val="auto"/>
        </w:rPr>
        <w:t>Real Estate Appraisals.</w:t>
      </w:r>
      <w:r>
        <w:rPr>
          <w:rFonts w:ascii="Times New Roman" w:cs="Times New Roman" w:eastAsia="Times New Roman" w:hAnsi="Times New Roman"/>
          <w:sz w:val="18"/>
          <w:szCs w:val="18"/>
          <w:color w:val="auto"/>
        </w:rPr>
        <w:t xml:space="preserve"> Each of the Bank Agent, the Representatives of the Underwriters, the FF&amp;E Agent and the Disbursement Agent shall have received a FIRREA appraisal of the Site from an independent real estate appraiser reasonably satisfactory to the Bank Agent, the Representatives of the Underwriters and the FF&amp;E Agent, in form, scope and substance satisfactory to each such Person, satisfying the requirements of any applicable laws and regulations and demonstrating a value of the Project of not less than $2.5 billion upon Completion.</w:t>
      </w:r>
    </w:p>
    <w:p>
      <w:pPr>
        <w:spacing w:after="0" w:line="187" w:lineRule="exact"/>
        <w:rPr>
          <w:sz w:val="20"/>
          <w:szCs w:val="20"/>
          <w:color w:val="auto"/>
        </w:rPr>
      </w:pPr>
    </w:p>
    <w:p>
      <w:pPr>
        <w:jc w:val="both"/>
        <w:ind w:right="1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3.1.33 </w:t>
      </w:r>
      <w:r>
        <w:rPr>
          <w:rFonts w:ascii="Times New Roman" w:cs="Times New Roman" w:eastAsia="Times New Roman" w:hAnsi="Times New Roman"/>
          <w:sz w:val="18"/>
          <w:szCs w:val="18"/>
          <w:i w:val="1"/>
          <w:iCs w:val="1"/>
          <w:color w:val="auto"/>
        </w:rPr>
        <w:t>Environmental Reports.</w:t>
      </w:r>
      <w:r>
        <w:rPr>
          <w:rFonts w:ascii="Times New Roman" w:cs="Times New Roman" w:eastAsia="Times New Roman" w:hAnsi="Times New Roman"/>
          <w:sz w:val="18"/>
          <w:szCs w:val="18"/>
          <w:color w:val="auto"/>
        </w:rPr>
        <w:t xml:space="preserve"> Each of the Bank Agent, the Representatives of the Underwriters, the FF&amp;E Agent and the Disbursement Agent shall have received the Phase I environmental assessment for the Site and the Site Easements dated August 14, 2002 (the "</w:t>
      </w:r>
      <w:r>
        <w:rPr>
          <w:rFonts w:ascii="Times New Roman" w:cs="Times New Roman" w:eastAsia="Times New Roman" w:hAnsi="Times New Roman"/>
          <w:sz w:val="18"/>
          <w:szCs w:val="18"/>
          <w:i w:val="1"/>
          <w:iCs w:val="1"/>
          <w:color w:val="auto"/>
        </w:rPr>
        <w:t>Phase I Report</w:t>
      </w:r>
      <w:r>
        <w:rPr>
          <w:rFonts w:ascii="Times New Roman" w:cs="Times New Roman" w:eastAsia="Times New Roman" w:hAnsi="Times New Roman"/>
          <w:sz w:val="18"/>
          <w:szCs w:val="18"/>
          <w:color w:val="auto"/>
        </w:rPr>
        <w:t>"), the Phase II Environmental Site Assessment for the Golf Course Land and the Golf Course Land Easements (the "</w:t>
      </w:r>
      <w:r>
        <w:rPr>
          <w:rFonts w:ascii="Times New Roman" w:cs="Times New Roman" w:eastAsia="Times New Roman" w:hAnsi="Times New Roman"/>
          <w:sz w:val="18"/>
          <w:szCs w:val="18"/>
          <w:i w:val="1"/>
          <w:iCs w:val="1"/>
          <w:color w:val="auto"/>
        </w:rPr>
        <w:t>Phase II Report</w:t>
      </w:r>
      <w:r>
        <w:rPr>
          <w:rFonts w:ascii="Times New Roman" w:cs="Times New Roman" w:eastAsia="Times New Roman" w:hAnsi="Times New Roman"/>
          <w:sz w:val="18"/>
          <w:szCs w:val="18"/>
          <w:color w:val="auto"/>
        </w:rPr>
        <w:t>") conducted by Terracon and dated September 11, 2002 and that certain reliance letter from Terracon dated October 22, 2002.</w:t>
      </w:r>
    </w:p>
    <w:p>
      <w:pPr>
        <w:spacing w:after="0" w:line="187"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3.1.34 </w:t>
      </w:r>
      <w:r>
        <w:rPr>
          <w:rFonts w:ascii="Times New Roman" w:cs="Times New Roman" w:eastAsia="Times New Roman" w:hAnsi="Times New Roman"/>
          <w:sz w:val="18"/>
          <w:szCs w:val="18"/>
          <w:i w:val="1"/>
          <w:iCs w:val="1"/>
          <w:color w:val="auto"/>
        </w:rPr>
        <w:t>No Work at Site.</w:t>
      </w:r>
      <w:r>
        <w:rPr>
          <w:rFonts w:ascii="Times New Roman" w:cs="Times New Roman" w:eastAsia="Times New Roman" w:hAnsi="Times New Roman"/>
          <w:sz w:val="18"/>
          <w:szCs w:val="18"/>
          <w:color w:val="auto"/>
        </w:rPr>
        <w:t xml:space="preserve"> The Company shall not have commenced, and shall not have permitted any Contractor or Subcontractor or any other Person to commence, any "work of improvement" as defined in Nevada Revised Statutes </w:t>
      </w:r>
      <w:r>
        <w:rPr>
          <w:rFonts w:ascii="Times New Roman" w:cs="Times New Roman" w:eastAsia="Times New Roman" w:hAnsi="Times New Roman"/>
          <w:sz w:val="18"/>
          <w:szCs w:val="18"/>
          <w:i w:val="1"/>
          <w:iCs w:val="1"/>
          <w:color w:val="auto"/>
        </w:rPr>
        <w:t>Section 108.221</w:t>
      </w:r>
      <w:r>
        <w:rPr>
          <w:rFonts w:ascii="Times New Roman" w:cs="Times New Roman" w:eastAsia="Times New Roman" w:hAnsi="Times New Roman"/>
          <w:sz w:val="18"/>
          <w:szCs w:val="18"/>
          <w:color w:val="auto"/>
        </w:rPr>
        <w:t xml:space="preserve"> on the Mortgaged Property.</w:t>
      </w:r>
    </w:p>
    <w:p>
      <w:pPr>
        <w:spacing w:after="0" w:line="170" w:lineRule="exact"/>
        <w:rPr>
          <w:sz w:val="20"/>
          <w:szCs w:val="20"/>
          <w:color w:val="auto"/>
        </w:rPr>
      </w:pPr>
    </w:p>
    <w:p>
      <w:pPr>
        <w:ind w:right="6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3.1.35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The Company shall be in compliance with </w:t>
      </w:r>
      <w:r>
        <w:rPr>
          <w:rFonts w:ascii="Times New Roman" w:cs="Times New Roman" w:eastAsia="Times New Roman" w:hAnsi="Times New Roman"/>
          <w:sz w:val="18"/>
          <w:szCs w:val="18"/>
          <w:i w:val="1"/>
          <w:iCs w:val="1"/>
          <w:color w:val="auto"/>
        </w:rPr>
        <w:t>Sections 5.1.1</w:t>
      </w:r>
      <w:r>
        <w:rPr>
          <w:rFonts w:ascii="Times New Roman" w:cs="Times New Roman" w:eastAsia="Times New Roman" w:hAnsi="Times New Roman"/>
          <w:sz w:val="18"/>
          <w:szCs w:val="18"/>
          <w:color w:val="auto"/>
        </w:rPr>
        <w:t xml:space="preserve"> and 5.8, and no demands for funds shall be outstanding under </w:t>
      </w:r>
      <w:r>
        <w:rPr>
          <w:rFonts w:ascii="Times New Roman" w:cs="Times New Roman" w:eastAsia="Times New Roman" w:hAnsi="Times New Roman"/>
          <w:sz w:val="18"/>
          <w:szCs w:val="18"/>
          <w:i w:val="1"/>
          <w:iCs w:val="1"/>
          <w:color w:val="auto"/>
        </w:rPr>
        <w:t>Sections 5.8.1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5.8.2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5.8.3</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360"/>
        <w:spacing w:after="0"/>
        <w:tabs>
          <w:tab w:leader="none" w:pos="960" w:val="left"/>
          <w:tab w:leader="none" w:pos="2880" w:val="left"/>
        </w:tabs>
        <w:rPr>
          <w:sz w:val="20"/>
          <w:szCs w:val="20"/>
          <w:color w:val="auto"/>
        </w:rPr>
      </w:pPr>
      <w:r>
        <w:rPr>
          <w:rFonts w:ascii="Times New Roman" w:cs="Times New Roman" w:eastAsia="Times New Roman" w:hAnsi="Times New Roman"/>
          <w:sz w:val="18"/>
          <w:szCs w:val="18"/>
          <w:color w:val="auto"/>
        </w:rPr>
        <w:t>3.1.36</w:t>
      </w:r>
      <w:r>
        <w:rPr>
          <w:sz w:val="20"/>
          <w:szCs w:val="20"/>
          <w:color w:val="auto"/>
        </w:rPr>
        <w:tab/>
      </w:r>
      <w:r>
        <w:rPr>
          <w:rFonts w:ascii="Times New Roman" w:cs="Times New Roman" w:eastAsia="Times New Roman" w:hAnsi="Times New Roman"/>
          <w:sz w:val="18"/>
          <w:szCs w:val="18"/>
          <w:i w:val="1"/>
          <w:iCs w:val="1"/>
          <w:color w:val="auto"/>
        </w:rPr>
        <w:t>In Balance Requirement.</w:t>
      </w:r>
      <w:r>
        <w:rPr>
          <w:sz w:val="20"/>
          <w:szCs w:val="20"/>
          <w:color w:val="auto"/>
        </w:rPr>
        <w:tab/>
      </w:r>
      <w:r>
        <w:rPr>
          <w:rFonts w:ascii="Times New Roman" w:cs="Times New Roman" w:eastAsia="Times New Roman" w:hAnsi="Times New Roman"/>
          <w:sz w:val="16"/>
          <w:szCs w:val="16"/>
          <w:color w:val="auto"/>
        </w:rPr>
        <w:t>The Project shall be In Balance.</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3.1.37 </w:t>
      </w:r>
      <w:r>
        <w:rPr>
          <w:rFonts w:ascii="Times New Roman" w:cs="Times New Roman" w:eastAsia="Times New Roman" w:hAnsi="Times New Roman"/>
          <w:sz w:val="18"/>
          <w:szCs w:val="18"/>
          <w:i w:val="1"/>
          <w:iCs w:val="1"/>
          <w:color w:val="auto"/>
        </w:rPr>
        <w:t>No Restrictions.</w:t>
      </w:r>
      <w:r>
        <w:rPr>
          <w:rFonts w:ascii="Times New Roman" w:cs="Times New Roman" w:eastAsia="Times New Roman" w:hAnsi="Times New Roman"/>
          <w:sz w:val="18"/>
          <w:szCs w:val="18"/>
          <w:color w:val="auto"/>
        </w:rPr>
        <w:t xml:space="preserve"> No order, judgment or decree of any court, arbitrator or governmental authority shall purport to enjoin or restrain any of the Bank Lenders from making the Advances to be made by them on the Closing Date.</w:t>
      </w:r>
    </w:p>
    <w:p>
      <w:pPr>
        <w:spacing w:after="0" w:line="170"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3.1.38 </w:t>
      </w:r>
      <w:r>
        <w:rPr>
          <w:rFonts w:ascii="Times New Roman" w:cs="Times New Roman" w:eastAsia="Times New Roman" w:hAnsi="Times New Roman"/>
          <w:sz w:val="18"/>
          <w:szCs w:val="18"/>
          <w:i w:val="1"/>
          <w:iCs w:val="1"/>
          <w:color w:val="auto"/>
        </w:rPr>
        <w:t>Violation of Certain Regulations.</w:t>
      </w:r>
      <w:r>
        <w:rPr>
          <w:rFonts w:ascii="Times New Roman" w:cs="Times New Roman" w:eastAsia="Times New Roman" w:hAnsi="Times New Roman"/>
          <w:sz w:val="18"/>
          <w:szCs w:val="18"/>
          <w:color w:val="auto"/>
        </w:rPr>
        <w:t xml:space="preserve"> The making of the requested Advance shall not violate any law including Regulation T, Regulation U or Regulation X of the Board of Governors of the Federal Reserve System.</w:t>
      </w:r>
    </w:p>
    <w:p>
      <w:pPr>
        <w:spacing w:after="0" w:line="170"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3.1.39 </w:t>
      </w: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 xml:space="preserve"> Each of the Bank Lenders and the FF&amp;E Lenders shall have completed its due diligence review of each Loan Party and each Project Credit Support Provider and their respective affiliates and operations, and shall be satisfied with the results thereof.</w:t>
      </w:r>
    </w:p>
    <w:p>
      <w:pPr>
        <w:sectPr>
          <w:pgSz w:w="11900" w:h="16838" w:orient="portrait"/>
          <w:cols w:equalWidth="0" w:num="1">
            <w:col w:w="10860"/>
          </w:cols>
          <w:pgMar w:left="780" w:top="125" w:right="259" w:bottom="0" w:gutter="0" w:footer="0" w:header="0"/>
        </w:sectPr>
      </w:pPr>
    </w:p>
    <w:bookmarkStart w:id="26" w:name="page27"/>
    <w:bookmarkEnd w:id="26"/>
    <w:p>
      <w:pPr>
        <w:ind w:left="540"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3.1.40 </w:t>
      </w:r>
      <w:r>
        <w:rPr>
          <w:rFonts w:ascii="Times New Roman" w:cs="Times New Roman" w:eastAsia="Times New Roman" w:hAnsi="Times New Roman"/>
          <w:sz w:val="18"/>
          <w:szCs w:val="18"/>
          <w:i w:val="1"/>
          <w:iCs w:val="1"/>
          <w:color w:val="auto"/>
        </w:rPr>
        <w:t>Acceptable Rating.</w:t>
      </w:r>
      <w:r>
        <w:rPr>
          <w:rFonts w:ascii="Times New Roman" w:cs="Times New Roman" w:eastAsia="Times New Roman" w:hAnsi="Times New Roman"/>
          <w:sz w:val="18"/>
          <w:szCs w:val="18"/>
          <w:color w:val="auto"/>
        </w:rPr>
        <w:t xml:space="preserve"> On or before the Closing Date, the Company shall have obtained and maintained a rating accorded the Company's long term, senior unsecured debt securities by a "nationally recognized statistical rating organization" (as such term is defined the Securities and Exchange Commission for purposes of Rule 436(g)(2) under the Securities Act of 1933, as amended) that is satisfactory to the Bank Lenders, the Representatives of the Underwriters and the FF&amp;E Agent.</w:t>
      </w:r>
    </w:p>
    <w:p>
      <w:pPr>
        <w:spacing w:after="0" w:line="187" w:lineRule="exact"/>
        <w:rPr>
          <w:sz w:val="20"/>
          <w:szCs w:val="20"/>
          <w:color w:val="auto"/>
        </w:rPr>
      </w:pPr>
    </w:p>
    <w:p>
      <w:pPr>
        <w:ind w:left="540" w:right="2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3.1.41 </w:t>
      </w:r>
      <w:r>
        <w:rPr>
          <w:rFonts w:ascii="Times New Roman" w:cs="Times New Roman" w:eastAsia="Times New Roman" w:hAnsi="Times New Roman"/>
          <w:sz w:val="18"/>
          <w:szCs w:val="18"/>
          <w:i w:val="1"/>
          <w:iCs w:val="1"/>
          <w:color w:val="auto"/>
        </w:rPr>
        <w:t>Aircraft Refinancing.</w:t>
      </w:r>
      <w:r>
        <w:rPr>
          <w:rFonts w:ascii="Times New Roman" w:cs="Times New Roman" w:eastAsia="Times New Roman" w:hAnsi="Times New Roman"/>
          <w:sz w:val="18"/>
          <w:szCs w:val="18"/>
          <w:color w:val="auto"/>
        </w:rPr>
        <w:t xml:space="preserve"> The FF&amp;E Agent shall have confirmed that the conditions precedent set forth in </w:t>
      </w:r>
      <w:r>
        <w:rPr>
          <w:rFonts w:ascii="Times New Roman" w:cs="Times New Roman" w:eastAsia="Times New Roman" w:hAnsi="Times New Roman"/>
          <w:sz w:val="18"/>
          <w:szCs w:val="18"/>
          <w:i w:val="1"/>
          <w:iCs w:val="1"/>
          <w:color w:val="auto"/>
        </w:rPr>
        <w:t>Sections 4.1</w:t>
      </w:r>
      <w:r>
        <w:rPr>
          <w:rFonts w:ascii="Times New Roman" w:cs="Times New Roman" w:eastAsia="Times New Roman" w:hAnsi="Times New Roman"/>
          <w:sz w:val="18"/>
          <w:szCs w:val="18"/>
          <w:color w:val="auto"/>
        </w:rPr>
        <w:t xml:space="preserve"> of the FF&amp;E Facility Agreement shall have been satisfied or waived.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20" w:firstLine="351"/>
        <w:spacing w:after="0" w:line="297" w:lineRule="auto"/>
        <w:rPr>
          <w:sz w:val="20"/>
          <w:szCs w:val="20"/>
          <w:color w:val="auto"/>
        </w:rPr>
      </w:pPr>
      <w:r>
        <w:rPr>
          <w:rFonts w:ascii="Times New Roman" w:cs="Times New Roman" w:eastAsia="Times New Roman" w:hAnsi="Times New Roman"/>
          <w:sz w:val="16"/>
          <w:szCs w:val="16"/>
          <w:color w:val="auto"/>
        </w:rPr>
        <w:t xml:space="preserve">3.1.42 </w:t>
      </w:r>
      <w:r>
        <w:rPr>
          <w:rFonts w:ascii="Times New Roman" w:cs="Times New Roman" w:eastAsia="Times New Roman" w:hAnsi="Times New Roman"/>
          <w:sz w:val="16"/>
          <w:szCs w:val="16"/>
          <w:i w:val="1"/>
          <w:iCs w:val="1"/>
          <w:color w:val="auto"/>
        </w:rPr>
        <w:t>Notices of Pledges of Water Permits.</w:t>
      </w:r>
      <w:r>
        <w:rPr>
          <w:rFonts w:ascii="Times New Roman" w:cs="Times New Roman" w:eastAsia="Times New Roman" w:hAnsi="Times New Roman"/>
          <w:sz w:val="16"/>
          <w:szCs w:val="16"/>
          <w:color w:val="auto"/>
        </w:rPr>
        <w:t xml:space="preserve"> Valvino shall have executed duplicate original notices of pledge in form and substance satisfactory to the Bank Agent and the Representatives of the Underwriters describing Nevada Permit to Appropriate Nos. 60164 (certificate no. 15447) and 60165 (certificate no. 15448) and such notices of pledge shall have been completed and delivered to the Disbursement Agent. The Company hereby authorizes the Disbursement Agent to complete the recording information from each Deed of Trust signed by Valvino and to file them with the Nevada State Engineer promptly after recordation of such Deeds of Trust, together with a Report of Conveyance and Abstract of Title for each permit.</w:t>
      </w:r>
    </w:p>
    <w:p>
      <w:pPr>
        <w:spacing w:after="0" w:line="158" w:lineRule="exact"/>
        <w:rPr>
          <w:sz w:val="20"/>
          <w:szCs w:val="20"/>
          <w:color w:val="auto"/>
        </w:rPr>
      </w:pPr>
    </w:p>
    <w:p>
      <w:pPr>
        <w:ind w:left="540" w:right="2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3.1.43 </w:t>
      </w:r>
      <w:r>
        <w:rPr>
          <w:rFonts w:ascii="Times New Roman" w:cs="Times New Roman" w:eastAsia="Times New Roman" w:hAnsi="Times New Roman"/>
          <w:sz w:val="18"/>
          <w:szCs w:val="18"/>
          <w:i w:val="1"/>
          <w:iCs w:val="1"/>
          <w:color w:val="auto"/>
        </w:rPr>
        <w:t>Other Documents.</w:t>
      </w:r>
      <w:r>
        <w:rPr>
          <w:rFonts w:ascii="Times New Roman" w:cs="Times New Roman" w:eastAsia="Times New Roman" w:hAnsi="Times New Roman"/>
          <w:sz w:val="18"/>
          <w:szCs w:val="18"/>
          <w:color w:val="auto"/>
        </w:rPr>
        <w:t xml:space="preserve"> The Disbursement Agent and each of the Bank Agent, the Representatives of the Underwriters and the FF&amp;E Agent shall have received such other documents and evidence as are customary for transactions of this type as each such Person may reasonably request in connection with the transactions contemplated hereby.</w:t>
      </w:r>
    </w:p>
    <w:p>
      <w:pPr>
        <w:spacing w:after="0" w:line="179"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i w:val="1"/>
          <w:iCs w:val="1"/>
          <w:color w:val="auto"/>
        </w:rPr>
        <w:t>Conditions Precedent to Advances from Company's Funds Account Prior to Initial Disbursement from Second Mortgage Notes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Account. </w:t>
      </w:r>
      <w:r>
        <w:rPr>
          <w:rFonts w:ascii="Times New Roman" w:cs="Times New Roman" w:eastAsia="Times New Roman" w:hAnsi="Times New Roman"/>
          <w:sz w:val="18"/>
          <w:szCs w:val="18"/>
          <w:color w:val="auto"/>
        </w:rPr>
        <w:t>Prior to the initial disbursement of funds from the Second Mortgage Notes Proceeds Account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Section 2.5.2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the obligation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Disbursement Agent to make Advances hereunder from the Company's Funds Account is subject to the prior satisfaction of each of the conditions precedent set forth in </w:t>
      </w:r>
      <w:r>
        <w:rPr>
          <w:rFonts w:ascii="Times New Roman" w:cs="Times New Roman" w:eastAsia="Times New Roman" w:hAnsi="Times New Roman"/>
          <w:sz w:val="18"/>
          <w:szCs w:val="18"/>
          <w:i w:val="1"/>
          <w:iCs w:val="1"/>
          <w:color w:val="auto"/>
        </w:rPr>
        <w:t>Sections 3.3.1, 3.3.2, 3.3.3, 3.3.5, 3.3.6, 3.3.7, 3.3.9, 3.3.10, 3.3.11, 3.3.12, 3.3.14, 3.3.16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3.3.18</w:t>
      </w:r>
      <w:r>
        <w:rPr>
          <w:rFonts w:ascii="Times New Roman" w:cs="Times New Roman" w:eastAsia="Times New Roman" w:hAnsi="Times New Roman"/>
          <w:sz w:val="18"/>
          <w:szCs w:val="18"/>
          <w:color w:val="auto"/>
        </w:rPr>
        <w:t xml:space="preserve">. The parties hereto, however, agree that the purpose of the foregoing conditions precedent is to enable the Secured Parties and the Construction Consultant to track the progress of the Project so as to be in a position to determine, at such time as the Company requests an Advance pursuant to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whether the conditions set forth therein have been satisfied. Accordingly, upon the request of the Company at any time prior to initial disbursement of funds from the Second Mortgage Notes Proceeds Account, the Disbursement Agent shall release funds from the Company's Funds Account notwithstanding the failure to satisfy any of the above-enumerated conditions precedent (other than </w:t>
      </w:r>
      <w:r>
        <w:rPr>
          <w:rFonts w:ascii="Times New Roman" w:cs="Times New Roman" w:eastAsia="Times New Roman" w:hAnsi="Times New Roman"/>
          <w:sz w:val="18"/>
          <w:szCs w:val="18"/>
          <w:i w:val="1"/>
          <w:iCs w:val="1"/>
          <w:color w:val="auto"/>
        </w:rPr>
        <w:t>Sections 3.3.5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3.3.16</w:t>
      </w:r>
      <w:r>
        <w:rPr>
          <w:rFonts w:ascii="Times New Roman" w:cs="Times New Roman" w:eastAsia="Times New Roman" w:hAnsi="Times New Roman"/>
          <w:sz w:val="18"/>
          <w:szCs w:val="18"/>
          <w:color w:val="auto"/>
        </w:rPr>
        <w:t xml:space="preserve"> (provided that notwithstanding any other items required to be set forth in an Advance Request, the Advance Request submitted by the Company needs only to include the date of the requested Advance from the Company's Funds Account, the amount of such Advance, the payees and/or Accounts to which such Advance shall be paid and/or transferred and a certification to the effect that the conditions set forth in </w:t>
      </w:r>
      <w:r>
        <w:rPr>
          <w:rFonts w:ascii="Times New Roman" w:cs="Times New Roman" w:eastAsia="Times New Roman" w:hAnsi="Times New Roman"/>
          <w:sz w:val="18"/>
          <w:szCs w:val="18"/>
          <w:i w:val="1"/>
          <w:iCs w:val="1"/>
          <w:color w:val="auto"/>
        </w:rPr>
        <w:t>Section 3.3.16</w:t>
      </w:r>
      <w:r>
        <w:rPr>
          <w:rFonts w:ascii="Times New Roman" w:cs="Times New Roman" w:eastAsia="Times New Roman" w:hAnsi="Times New Roman"/>
          <w:sz w:val="18"/>
          <w:szCs w:val="18"/>
          <w:color w:val="auto"/>
        </w:rPr>
        <w:t xml:space="preserve"> are satisfied (except for obtaining third party consents)). The Company acknowledges, however, that any inability on its part to satisfy the conditions set forth in this </w:t>
      </w:r>
      <w:r>
        <w:rPr>
          <w:rFonts w:ascii="Times New Roman" w:cs="Times New Roman" w:eastAsia="Times New Roman" w:hAnsi="Times New Roman"/>
          <w:sz w:val="18"/>
          <w:szCs w:val="18"/>
          <w:i w:val="1"/>
          <w:iCs w:val="1"/>
          <w:color w:val="auto"/>
        </w:rPr>
        <w:t>Section 3.2</w:t>
      </w:r>
      <w:r>
        <w:rPr>
          <w:rFonts w:ascii="Times New Roman" w:cs="Times New Roman" w:eastAsia="Times New Roman" w:hAnsi="Times New Roman"/>
          <w:sz w:val="18"/>
          <w:szCs w:val="18"/>
          <w:color w:val="auto"/>
        </w:rPr>
        <w:t xml:space="preserve"> may be an early indication that, at such time as the Company requests an Advance in accordance with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it may not be able to satisfy the conditions set forth therein. Further, in the event funds are disbursed to the Company from the Company's Funds Account without satisfying the conditions set forth in this </w:t>
      </w:r>
      <w:r>
        <w:rPr>
          <w:rFonts w:ascii="Times New Roman" w:cs="Times New Roman" w:eastAsia="Times New Roman" w:hAnsi="Times New Roman"/>
          <w:sz w:val="18"/>
          <w:szCs w:val="18"/>
          <w:i w:val="1"/>
          <w:iCs w:val="1"/>
          <w:color w:val="auto"/>
        </w:rPr>
        <w:t>Section 3.2</w:t>
      </w:r>
      <w:r>
        <w:rPr>
          <w:rFonts w:ascii="Times New Roman" w:cs="Times New Roman" w:eastAsia="Times New Roman" w:hAnsi="Times New Roman"/>
          <w:sz w:val="18"/>
          <w:szCs w:val="18"/>
          <w:color w:val="auto"/>
        </w:rPr>
        <w:t xml:space="preserve">, any funds so released and expended may not be taken into consideration for purposes of </w:t>
      </w:r>
      <w:r>
        <w:rPr>
          <w:rFonts w:ascii="Times New Roman" w:cs="Times New Roman" w:eastAsia="Times New Roman" w:hAnsi="Times New Roman"/>
          <w:sz w:val="18"/>
          <w:szCs w:val="18"/>
          <w:i w:val="1"/>
          <w:iCs w:val="1"/>
          <w:color w:val="auto"/>
        </w:rPr>
        <w:t>Sections 3.3.18</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3.3.24</w:t>
      </w:r>
      <w:r>
        <w:rPr>
          <w:rFonts w:ascii="Times New Roman" w:cs="Times New Roman" w:eastAsia="Times New Roman" w:hAnsi="Times New Roman"/>
          <w:sz w:val="18"/>
          <w:szCs w:val="18"/>
          <w:color w:val="auto"/>
        </w:rPr>
        <w:t xml:space="preserve">. The Company acknowledges and agrees that, regardless of the amounts of funds expended by the Company in furtherance of the Project, no funds shall be advanced by the Bank Lenders or the FF&amp;E Lenders (other than the initial Advance of $38,000,000) or disbursed from the Second Mortgage Notes Proceeds Account unless all of the conditions set forth in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hereof have been satisfied or waived.</w:t>
      </w:r>
    </w:p>
    <w:p>
      <w:pPr>
        <w:spacing w:after="0" w:line="19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i w:val="1"/>
          <w:iCs w:val="1"/>
          <w:color w:val="auto"/>
        </w:rPr>
        <w:t>Conditions Precedent to Advances.</w:t>
      </w:r>
      <w:r>
        <w:rPr>
          <w:rFonts w:ascii="Times New Roman" w:cs="Times New Roman" w:eastAsia="Times New Roman" w:hAnsi="Times New Roman"/>
          <w:sz w:val="18"/>
          <w:szCs w:val="18"/>
          <w:color w:val="auto"/>
        </w:rPr>
        <w:t xml:space="preserve"> The obligation (a) of the Bank Lenders to make Advances of Loans by depositing funds in the Disbursement Account, by transferring funds from the Bank Proceeds Account to the Disbursement Account or by issuing a Letter of Credit, (b) of the Indenture Trustee to make Advances by releasing funds from the Second Mortgage Notes Proceeds Account hereunder, (c) of the FF&amp;E Lenders to make Advances of Loans (other than the initial Advance of $38,000,000 under the FF&amp;E Facility pursuant to </w:t>
      </w:r>
      <w:r>
        <w:rPr>
          <w:rFonts w:ascii="Times New Roman" w:cs="Times New Roman" w:eastAsia="Times New Roman" w:hAnsi="Times New Roman"/>
          <w:sz w:val="18"/>
          <w:szCs w:val="18"/>
          <w:i w:val="1"/>
          <w:iCs w:val="1"/>
          <w:color w:val="auto"/>
        </w:rPr>
        <w:t>Section 2.5.1(b)</w:t>
      </w:r>
      <w:r>
        <w:rPr>
          <w:rFonts w:ascii="Times New Roman" w:cs="Times New Roman" w:eastAsia="Times New Roman" w:hAnsi="Times New Roman"/>
          <w:sz w:val="18"/>
          <w:szCs w:val="18"/>
          <w:color w:val="auto"/>
        </w:rPr>
        <w:t>) by depositing funds in the FF&amp;E Proceeds Account, by transferring funds from the FF&amp;E Proceeds Account to the Company's FF&amp;E Payment Account or by advancing funds towards the acquisition of any replacement Aircraft pursuant to the terms and conditions contained in the FF&amp;E Facility Agreement and (d) of the Disbursement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Agent to make Advances hereunder from the Company's Funds Account after the initial disbursement of funds from the Second Mortgage Notes Proceeds Account are subject to the prior satisfaction of each of the following conditions precedent in form and substance reasonably satisfactory to the Disbursement Agent in its reasonable discretion:</w:t>
      </w:r>
    </w:p>
    <w:p>
      <w:pPr>
        <w:spacing w:after="0" w:line="184" w:lineRule="exact"/>
        <w:rPr>
          <w:sz w:val="20"/>
          <w:szCs w:val="20"/>
          <w:color w:val="auto"/>
        </w:rPr>
      </w:pPr>
    </w:p>
    <w:p>
      <w:pPr>
        <w:ind w:left="540" w:right="40" w:firstLine="351"/>
        <w:spacing w:after="0" w:line="288" w:lineRule="auto"/>
        <w:rPr>
          <w:sz w:val="20"/>
          <w:szCs w:val="20"/>
          <w:color w:val="auto"/>
        </w:rPr>
      </w:pPr>
      <w:r>
        <w:rPr>
          <w:rFonts w:ascii="Times New Roman" w:cs="Times New Roman" w:eastAsia="Times New Roman" w:hAnsi="Times New Roman"/>
          <w:sz w:val="16"/>
          <w:szCs w:val="16"/>
          <w:color w:val="auto"/>
        </w:rPr>
        <w:t xml:space="preserve">3.3.1 </w:t>
      </w:r>
      <w:r>
        <w:rPr>
          <w:rFonts w:ascii="Times New Roman" w:cs="Times New Roman" w:eastAsia="Times New Roman" w:hAnsi="Times New Roman"/>
          <w:sz w:val="16"/>
          <w:szCs w:val="16"/>
          <w:i w:val="1"/>
          <w:iCs w:val="1"/>
          <w:color w:val="auto"/>
        </w:rPr>
        <w:t>Certain Operative Documents.</w:t>
      </w:r>
      <w:r>
        <w:rPr>
          <w:rFonts w:ascii="Times New Roman" w:cs="Times New Roman" w:eastAsia="Times New Roman" w:hAnsi="Times New Roman"/>
          <w:sz w:val="16"/>
          <w:szCs w:val="16"/>
          <w:color w:val="auto"/>
        </w:rPr>
        <w:t xml:space="preserve"> Each Material Project Document and each Financing Agreement shall be in full force and effect, without amendment since the respective date of its execution and delivery, and in a form which was provided to the Bank Agent, the Representatives of the Underwriters and the FF&amp;E Agent prior to the Closing Date except, (a) for amendments to Material Project Documents not prohibited by </w:t>
      </w:r>
      <w:r>
        <w:rPr>
          <w:rFonts w:ascii="Times New Roman" w:cs="Times New Roman" w:eastAsia="Times New Roman" w:hAnsi="Times New Roman"/>
          <w:sz w:val="16"/>
          <w:szCs w:val="16"/>
          <w:i w:val="1"/>
          <w:iCs w:val="1"/>
          <w:color w:val="auto"/>
        </w:rPr>
        <w:t>Section 6.1</w:t>
      </w:r>
      <w:r>
        <w:rPr>
          <w:rFonts w:ascii="Times New Roman" w:cs="Times New Roman" w:eastAsia="Times New Roman" w:hAnsi="Times New Roman"/>
          <w:sz w:val="16"/>
          <w:szCs w:val="16"/>
          <w:color w:val="auto"/>
        </w:rPr>
        <w:t xml:space="preserve"> hereof or the Bank Credit Agreement, the Second Mortgage Notes Indenture or the FF&amp;E Facility Agreement, (b) to the extent the Company has entered into a replacement Material Project Document to the extent permitted by </w:t>
      </w:r>
      <w:r>
        <w:rPr>
          <w:rFonts w:ascii="Times New Roman" w:cs="Times New Roman" w:eastAsia="Times New Roman" w:hAnsi="Times New Roman"/>
          <w:sz w:val="16"/>
          <w:szCs w:val="16"/>
          <w:i w:val="1"/>
          <w:iCs w:val="1"/>
          <w:color w:val="auto"/>
        </w:rPr>
        <w:t>Section 7.1.9</w:t>
      </w:r>
      <w:r>
        <w:rPr>
          <w:rFonts w:ascii="Times New Roman" w:cs="Times New Roman" w:eastAsia="Times New Roman" w:hAnsi="Times New Roman"/>
          <w:sz w:val="16"/>
          <w:szCs w:val="16"/>
          <w:color w:val="auto"/>
        </w:rPr>
        <w:t xml:space="preserve"> or if pursuant to such Section the Company is not required to enter into a replacement Material Project Document, and each certificate delivered by the Company with respect to any such document shall be true and correct in all material respects, as certified by the Company in the relevant Advance Request and (c) amendments to the Financing Agreements to the extent permitted under the Facility Agreements. Each of the Loan Parties shall have complied with all of its obligations under and agreements in each Financing Agreement (to the extent then due and required to be complied with). The Disbursement Agent shall be entitled to rely on the certification by the Company in the relevant Advance Request or, if applicable, in the Company's Opening Date Certificate or Completion Certificate, determining that this condition has been satisfied unless the Disbursement Agent shall have actual knowledge that the Company's certification is inaccurate.</w:t>
      </w:r>
    </w:p>
    <w:p>
      <w:pPr>
        <w:spacing w:after="0" w:line="385" w:lineRule="exact"/>
        <w:rPr>
          <w:sz w:val="20"/>
          <w:szCs w:val="20"/>
          <w:color w:val="auto"/>
        </w:rPr>
      </w:pPr>
    </w:p>
    <w:p>
      <w:pPr>
        <w:ind w:left="540" w:right="60" w:firstLine="351"/>
        <w:spacing w:after="0" w:line="293" w:lineRule="auto"/>
        <w:rPr>
          <w:sz w:val="20"/>
          <w:szCs w:val="20"/>
          <w:color w:val="auto"/>
        </w:rPr>
      </w:pPr>
      <w:r>
        <w:rPr>
          <w:rFonts w:ascii="Times New Roman" w:cs="Times New Roman" w:eastAsia="Times New Roman" w:hAnsi="Times New Roman"/>
          <w:sz w:val="16"/>
          <w:szCs w:val="16"/>
          <w:color w:val="auto"/>
        </w:rPr>
        <w:t xml:space="preserve">3.3.2 </w:t>
      </w: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xml:space="preserve"> Each representation and warranty of (a) each Loan Party set forth in </w:t>
      </w:r>
      <w:r>
        <w:rPr>
          <w:rFonts w:ascii="Times New Roman" w:cs="Times New Roman" w:eastAsia="Times New Roman" w:hAnsi="Times New Roman"/>
          <w:sz w:val="16"/>
          <w:szCs w:val="16"/>
          <w:i w:val="1"/>
          <w:iCs w:val="1"/>
          <w:color w:val="auto"/>
        </w:rPr>
        <w:t>Article 4</w:t>
      </w:r>
      <w:r>
        <w:rPr>
          <w:rFonts w:ascii="Times New Roman" w:cs="Times New Roman" w:eastAsia="Times New Roman" w:hAnsi="Times New Roman"/>
          <w:sz w:val="16"/>
          <w:szCs w:val="16"/>
          <w:color w:val="auto"/>
        </w:rPr>
        <w:t xml:space="preserve"> hereof or in any of the other Financing Agreements or each Material Project Document shall be true and correct in all material respects as if made on such date (except that any representation and warranty that relates expressly to an earlier date shall be deemed made only as of such earlier date), and (b) to the Company's knowledge, each Major Project Participant (other than any Loan Party) set forth in any of the Material Project Documents shall be true and correct in all material respects as if made on such date (except that any representation and warranty that relates expressly to an earlier date shall be deemed made only as of such earlier date) unless the failure of any such representation and warranty referred to in this clause (b) to be true and correct could not reasonably</w:t>
      </w:r>
    </w:p>
    <w:p>
      <w:pPr>
        <w:sectPr>
          <w:pgSz w:w="11900" w:h="16838" w:orient="portrait"/>
          <w:cols w:equalWidth="0" w:num="1">
            <w:col w:w="11400"/>
          </w:cols>
          <w:pgMar w:left="240" w:top="123" w:right="259" w:bottom="0" w:gutter="0" w:footer="0" w:header="0"/>
        </w:sectPr>
      </w:pPr>
    </w:p>
    <w:bookmarkStart w:id="27" w:name="page28"/>
    <w:bookmarkEnd w:id="27"/>
    <w:p>
      <w:pPr>
        <w:ind w:right="80"/>
        <w:spacing w:after="0" w:line="258" w:lineRule="auto"/>
        <w:rPr>
          <w:sz w:val="20"/>
          <w:szCs w:val="20"/>
          <w:color w:val="auto"/>
        </w:rPr>
      </w:pPr>
      <w:r>
        <w:rPr>
          <w:rFonts w:ascii="Times New Roman" w:cs="Times New Roman" w:eastAsia="Times New Roman" w:hAnsi="Times New Roman"/>
          <w:sz w:val="18"/>
          <w:szCs w:val="18"/>
          <w:color w:val="auto"/>
        </w:rPr>
        <w:t>be expected to have a Material Adverse Effect, in each case, as certified by the Company in the relevant Advance Request. The Disbursement Agent shall be entitled to rely on the certification by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88" w:lineRule="exact"/>
        <w:rPr>
          <w:sz w:val="20"/>
          <w:szCs w:val="20"/>
          <w:color w:val="auto"/>
        </w:rPr>
      </w:pPr>
    </w:p>
    <w:p>
      <w:pPr>
        <w:ind w:right="40" w:firstLine="351"/>
        <w:spacing w:after="0" w:line="297" w:lineRule="auto"/>
        <w:rPr>
          <w:sz w:val="20"/>
          <w:szCs w:val="20"/>
          <w:color w:val="auto"/>
        </w:rPr>
      </w:pPr>
      <w:r>
        <w:rPr>
          <w:rFonts w:ascii="Times New Roman" w:cs="Times New Roman" w:eastAsia="Times New Roman" w:hAnsi="Times New Roman"/>
          <w:sz w:val="16"/>
          <w:szCs w:val="16"/>
          <w:color w:val="auto"/>
        </w:rPr>
        <w:t xml:space="preserve">3.3.3 </w:t>
      </w: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xml:space="preserve"> No Event of Default or Potential Event of Default shall have occurred and be continuing or could reasonably be expected to result from such Advance, as certified by the Company in the relevant Advance Request. The Disbursement Agent shall be entitled to rely on the certification by the Company in the relevant Advance Request or, if applicable, in the Company's Opening Date Certificate or Completion Certificate, in determining that this condition has been satisfied unless the Disbursement Agent shall (a) have received notice from any Funding Agent that an Event of Default or Potential Event of Default has occurred or (b) otherwise shall have acquired actual knowledge that the Company's certification is inaccurate.</w:t>
      </w:r>
    </w:p>
    <w:p>
      <w:pPr>
        <w:spacing w:after="0" w:line="158" w:lineRule="exact"/>
        <w:rPr>
          <w:sz w:val="20"/>
          <w:szCs w:val="20"/>
          <w:color w:val="auto"/>
        </w:rPr>
      </w:pPr>
    </w:p>
    <w:p>
      <w:pPr>
        <w:jc w:val="both"/>
        <w:ind w:right="6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i w:val="1"/>
          <w:iCs w:val="1"/>
          <w:color w:val="auto"/>
        </w:rPr>
        <w:t>Notice of Advance Request.</w:t>
      </w:r>
      <w:r>
        <w:rPr>
          <w:rFonts w:ascii="Times New Roman" w:cs="Times New Roman" w:eastAsia="Times New Roman" w:hAnsi="Times New Roman"/>
          <w:sz w:val="18"/>
          <w:szCs w:val="18"/>
          <w:color w:val="auto"/>
        </w:rPr>
        <w:t xml:space="preserve"> The Disbursement Agent shall have received and shall have been notified that the Funding Agents have received a preliminary Notice of Advance Request in accordance with </w:t>
      </w:r>
      <w:r>
        <w:rPr>
          <w:rFonts w:ascii="Times New Roman" w:cs="Times New Roman" w:eastAsia="Times New Roman" w:hAnsi="Times New Roman"/>
          <w:sz w:val="18"/>
          <w:szCs w:val="18"/>
          <w:i w:val="1"/>
          <w:iCs w:val="1"/>
          <w:color w:val="auto"/>
        </w:rPr>
        <w:t>Section 2.4.1(c)</w:t>
      </w:r>
      <w:r>
        <w:rPr>
          <w:rFonts w:ascii="Times New Roman" w:cs="Times New Roman" w:eastAsia="Times New Roman" w:hAnsi="Times New Roman"/>
          <w:sz w:val="18"/>
          <w:szCs w:val="18"/>
          <w:color w:val="auto"/>
        </w:rPr>
        <w:t xml:space="preserve"> and a final Notice of Advance Request in accordance with </w:t>
      </w:r>
      <w:r>
        <w:rPr>
          <w:rFonts w:ascii="Times New Roman" w:cs="Times New Roman" w:eastAsia="Times New Roman" w:hAnsi="Times New Roman"/>
          <w:sz w:val="18"/>
          <w:szCs w:val="18"/>
          <w:i w:val="1"/>
          <w:iCs w:val="1"/>
          <w:color w:val="auto"/>
        </w:rPr>
        <w:t xml:space="preserve">Section 2.4.2(b) </w:t>
      </w:r>
      <w:r>
        <w:rPr>
          <w:rFonts w:ascii="Times New Roman" w:cs="Times New Roman" w:eastAsia="Times New Roman" w:hAnsi="Times New Roman"/>
          <w:sz w:val="18"/>
          <w:szCs w:val="18"/>
          <w:color w:val="auto"/>
        </w:rPr>
        <w:t>with respect to the requested Advance.</w:t>
      </w:r>
    </w:p>
    <w:p>
      <w:pPr>
        <w:spacing w:after="0" w:line="1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i w:val="1"/>
          <w:iCs w:val="1"/>
          <w:color w:val="auto"/>
        </w:rPr>
        <w:t>Advance Request and Certificate.</w:t>
      </w:r>
      <w:r>
        <w:rPr>
          <w:rFonts w:ascii="Times New Roman" w:cs="Times New Roman" w:eastAsia="Times New Roman" w:hAnsi="Times New Roman"/>
          <w:sz w:val="18"/>
          <w:szCs w:val="18"/>
          <w:color w:val="auto"/>
        </w:rPr>
        <w:t xml:space="preserve"> The Company shall have delivered to the Disbursement Agent and the Construction Consultant a preliminary Advance Request for the requested Advance in accordance with </w:t>
      </w:r>
      <w:r>
        <w:rPr>
          <w:rFonts w:ascii="Times New Roman" w:cs="Times New Roman" w:eastAsia="Times New Roman" w:hAnsi="Times New Roman"/>
          <w:sz w:val="18"/>
          <w:szCs w:val="18"/>
          <w:i w:val="1"/>
          <w:iCs w:val="1"/>
          <w:color w:val="auto"/>
        </w:rPr>
        <w:t>Section 2.4.1(a)</w:t>
      </w:r>
      <w:r>
        <w:rPr>
          <w:rFonts w:ascii="Times New Roman" w:cs="Times New Roman" w:eastAsia="Times New Roman" w:hAnsi="Times New Roman"/>
          <w:sz w:val="18"/>
          <w:szCs w:val="18"/>
          <w:color w:val="auto"/>
        </w:rPr>
        <w:t xml:space="preserve"> and a final executed Advance Request for the requested Advance in accordance with </w:t>
      </w:r>
      <w:r>
        <w:rPr>
          <w:rFonts w:ascii="Times New Roman" w:cs="Times New Roman" w:eastAsia="Times New Roman" w:hAnsi="Times New Roman"/>
          <w:sz w:val="18"/>
          <w:szCs w:val="18"/>
          <w:i w:val="1"/>
          <w:iCs w:val="1"/>
          <w:color w:val="auto"/>
        </w:rPr>
        <w:t>Section 2.4.2(a)</w:t>
      </w:r>
      <w:r>
        <w:rPr>
          <w:rFonts w:ascii="Times New Roman" w:cs="Times New Roman" w:eastAsia="Times New Roman" w:hAnsi="Times New Roman"/>
          <w:sz w:val="18"/>
          <w:szCs w:val="18"/>
          <w:color w:val="auto"/>
        </w:rPr>
        <w:t xml:space="preserve">, in each case, with the Required Contractor Advance Certificates and all other attachments, exhibits and certificates required by </w:t>
      </w:r>
      <w:r>
        <w:rPr>
          <w:rFonts w:ascii="Times New Roman" w:cs="Times New Roman" w:eastAsia="Times New Roman" w:hAnsi="Times New Roman"/>
          <w:sz w:val="18"/>
          <w:szCs w:val="18"/>
          <w:i w:val="1"/>
          <w:iCs w:val="1"/>
          <w:color w:val="auto"/>
        </w:rPr>
        <w:t>Sections 2.4.1(a)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2.4.1(b)</w:t>
      </w:r>
      <w:r>
        <w:rPr>
          <w:rFonts w:ascii="Times New Roman" w:cs="Times New Roman" w:eastAsia="Times New Roman" w:hAnsi="Times New Roman"/>
          <w:sz w:val="18"/>
          <w:szCs w:val="18"/>
          <w:color w:val="auto"/>
        </w:rPr>
        <w:t xml:space="preserve">, as the case may be. Such Advance Request shall request an Advance in an amount sufficient to pay all amounts due and payable for work performed on the Project through the last day of the period covered by such Advance Request. The Disbursement Agent shall have reviewed and evaluated the same as provided in </w:t>
      </w:r>
      <w:r>
        <w:rPr>
          <w:rFonts w:ascii="Times New Roman" w:cs="Times New Roman" w:eastAsia="Times New Roman" w:hAnsi="Times New Roman"/>
          <w:sz w:val="18"/>
          <w:szCs w:val="18"/>
          <w:i w:val="1"/>
          <w:iCs w:val="1"/>
          <w:color w:val="auto"/>
        </w:rPr>
        <w:t>Section 2.4.3(a)</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i w:val="1"/>
          <w:iCs w:val="1"/>
          <w:color w:val="auto"/>
        </w:rPr>
        <w:t>Section 2.4.3(a)(ii)</w:t>
      </w:r>
      <w:r>
        <w:rPr>
          <w:rFonts w:ascii="Times New Roman" w:cs="Times New Roman" w:eastAsia="Times New Roman" w:hAnsi="Times New Roman"/>
          <w:sz w:val="18"/>
          <w:szCs w:val="18"/>
          <w:color w:val="auto"/>
        </w:rPr>
        <w:t xml:space="preserve"> , shall not have become aware of any material error, inaccuracy, misstatement or omission of fact in an Advance Request or an attachment, exhibit or certificate attached thereto or information provided by the Company upon the request of the Disbursement Agent.</w:t>
      </w:r>
    </w:p>
    <w:p>
      <w:pPr>
        <w:spacing w:after="0" w:line="192"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18"/>
          <w:szCs w:val="18"/>
          <w:color w:val="auto"/>
        </w:rPr>
        <w:t>3.3.6</w:t>
      </w:r>
      <w:r>
        <w:rPr>
          <w:sz w:val="20"/>
          <w:szCs w:val="20"/>
          <w:color w:val="auto"/>
        </w:rPr>
        <w:tab/>
      </w:r>
      <w:r>
        <w:rPr>
          <w:rFonts w:ascii="Times New Roman" w:cs="Times New Roman" w:eastAsia="Times New Roman" w:hAnsi="Times New Roman"/>
          <w:sz w:val="16"/>
          <w:szCs w:val="16"/>
          <w:i w:val="1"/>
          <w:iCs w:val="1"/>
          <w:color w:val="auto"/>
        </w:rPr>
        <w:t>Consultant's Certificates.</w:t>
      </w:r>
    </w:p>
    <w:p>
      <w:pPr>
        <w:spacing w:after="0" w:line="227" w:lineRule="exact"/>
        <w:rPr>
          <w:sz w:val="20"/>
          <w:szCs w:val="20"/>
          <w:color w:val="auto"/>
        </w:rPr>
      </w:pPr>
    </w:p>
    <w:p>
      <w:pPr>
        <w:ind w:left="540" w:right="40" w:firstLine="360"/>
        <w:spacing w:after="0" w:line="339" w:lineRule="auto"/>
        <w:tabs>
          <w:tab w:leader="none" w:pos="117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Delivery to the Disbursement Agent of the Construction Consultant's certificate with respect to the requested Advance as and when required by </w:t>
      </w:r>
      <w:r>
        <w:rPr>
          <w:rFonts w:ascii="Times New Roman" w:cs="Times New Roman" w:eastAsia="Times New Roman" w:hAnsi="Times New Roman"/>
          <w:sz w:val="16"/>
          <w:szCs w:val="16"/>
          <w:i w:val="1"/>
          <w:iCs w:val="1"/>
          <w:color w:val="auto"/>
        </w:rPr>
        <w:t>Section 2.4.2(c)</w:t>
      </w:r>
      <w:r>
        <w:rPr>
          <w:rFonts w:ascii="Times New Roman" w:cs="Times New Roman" w:eastAsia="Times New Roman" w:hAnsi="Times New Roman"/>
          <w:sz w:val="16"/>
          <w:szCs w:val="16"/>
          <w:color w:val="auto"/>
        </w:rPr>
        <w:t xml:space="preserve">, in the form of </w:t>
      </w:r>
      <w:r>
        <w:rPr>
          <w:rFonts w:ascii="Times New Roman" w:cs="Times New Roman" w:eastAsia="Times New Roman" w:hAnsi="Times New Roman"/>
          <w:sz w:val="16"/>
          <w:szCs w:val="16"/>
          <w:i w:val="1"/>
          <w:iCs w:val="1"/>
          <w:color w:val="auto"/>
        </w:rPr>
        <w:t>Exhibit C-2</w:t>
      </w:r>
      <w:r>
        <w:rPr>
          <w:rFonts w:ascii="Times New Roman" w:cs="Times New Roman" w:eastAsia="Times New Roman" w:hAnsi="Times New Roman"/>
          <w:sz w:val="16"/>
          <w:szCs w:val="16"/>
          <w:color w:val="auto"/>
        </w:rPr>
        <w:t xml:space="preserve">, approving (subject to the proviso in </w:t>
      </w:r>
      <w:r>
        <w:rPr>
          <w:rFonts w:ascii="Times New Roman" w:cs="Times New Roman" w:eastAsia="Times New Roman" w:hAnsi="Times New Roman"/>
          <w:sz w:val="16"/>
          <w:szCs w:val="16"/>
          <w:i w:val="1"/>
          <w:iCs w:val="1"/>
          <w:color w:val="auto"/>
        </w:rPr>
        <w:t>Section 2.4.2(c)</w:t>
      </w:r>
      <w:r>
        <w:rPr>
          <w:rFonts w:ascii="Times New Roman" w:cs="Times New Roman" w:eastAsia="Times New Roman" w:hAnsi="Times New Roman"/>
          <w:sz w:val="16"/>
          <w:szCs w:val="16"/>
          <w:color w:val="auto"/>
        </w:rPr>
        <w:t>) the corresponding Advance Request.</w:t>
      </w:r>
    </w:p>
    <w:p>
      <w:pPr>
        <w:spacing w:after="0" w:line="128" w:lineRule="exact"/>
        <w:rPr>
          <w:rFonts w:ascii="Times New Roman" w:cs="Times New Roman" w:eastAsia="Times New Roman" w:hAnsi="Times New Roman"/>
          <w:sz w:val="16"/>
          <w:szCs w:val="16"/>
          <w:color w:val="auto"/>
        </w:rPr>
      </w:pPr>
    </w:p>
    <w:p>
      <w:pPr>
        <w:ind w:left="540" w:right="120" w:firstLine="360"/>
        <w:spacing w:after="0" w:line="275" w:lineRule="auto"/>
        <w:tabs>
          <w:tab w:leader="none" w:pos="1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to the Disbursement Agent of the Project Architect's certificate with respect to the requested Advance as and when required by </w:t>
      </w:r>
      <w:r>
        <w:rPr>
          <w:rFonts w:ascii="Times New Roman" w:cs="Times New Roman" w:eastAsia="Times New Roman" w:hAnsi="Times New Roman"/>
          <w:sz w:val="18"/>
          <w:szCs w:val="18"/>
          <w:i w:val="1"/>
          <w:iCs w:val="1"/>
          <w:color w:val="auto"/>
        </w:rPr>
        <w:t>Section 2.4.2(d)</w:t>
      </w:r>
      <w:r>
        <w:rPr>
          <w:rFonts w:ascii="Times New Roman" w:cs="Times New Roman" w:eastAsia="Times New Roman" w:hAnsi="Times New Roman"/>
          <w:sz w:val="18"/>
          <w:szCs w:val="18"/>
          <w:color w:val="auto"/>
        </w:rPr>
        <w:t>, in the form of</w:t>
      </w:r>
      <w:r>
        <w:rPr>
          <w:rFonts w:ascii="Times New Roman" w:cs="Times New Roman" w:eastAsia="Times New Roman" w:hAnsi="Times New Roman"/>
          <w:sz w:val="18"/>
          <w:szCs w:val="18"/>
          <w:i w:val="1"/>
          <w:iCs w:val="1"/>
          <w:color w:val="auto"/>
        </w:rPr>
        <w:t xml:space="preserve"> Exhibit C-3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xml:space="preserve"> The Company shall have delivered or caused to be delivered to the Disbursement Agent an updated lien release summary chart in the form of </w:t>
      </w:r>
      <w:r>
        <w:rPr>
          <w:rFonts w:ascii="Times New Roman" w:cs="Times New Roman" w:eastAsia="Times New Roman" w:hAnsi="Times New Roman"/>
          <w:sz w:val="18"/>
          <w:szCs w:val="18"/>
          <w:i w:val="1"/>
          <w:iCs w:val="1"/>
          <w:color w:val="auto"/>
        </w:rPr>
        <w:t>Appendix VIII</w:t>
      </w:r>
      <w:r>
        <w:rPr>
          <w:rFonts w:ascii="Times New Roman" w:cs="Times New Roman" w:eastAsia="Times New Roman" w:hAnsi="Times New Roman"/>
          <w:sz w:val="18"/>
          <w:szCs w:val="18"/>
          <w:color w:val="auto"/>
        </w:rPr>
        <w:t xml:space="preserve"> to the Company's Advance Request and the following releases:</w:t>
      </w:r>
    </w:p>
    <w:p>
      <w:pPr>
        <w:spacing w:after="0" w:line="170" w:lineRule="exact"/>
        <w:rPr>
          <w:sz w:val="20"/>
          <w:szCs w:val="20"/>
          <w:color w:val="auto"/>
        </w:rPr>
      </w:pPr>
    </w:p>
    <w:p>
      <w:pPr>
        <w:ind w:left="540" w:firstLine="360"/>
        <w:spacing w:after="0" w:line="254" w:lineRule="auto"/>
        <w:tabs>
          <w:tab w:leader="none" w:pos="12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Unconditional Releases. </w:t>
      </w:r>
      <w:r>
        <w:rPr>
          <w:rFonts w:ascii="Times New Roman" w:cs="Times New Roman" w:eastAsia="Times New Roman" w:hAnsi="Times New Roman"/>
          <w:sz w:val="18"/>
          <w:szCs w:val="18"/>
          <w:color w:val="auto"/>
        </w:rPr>
        <w:t>Duly executed acknowledgments of payments and unconditional releases of mechanics' and materialmen's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liens in the form of </w:t>
      </w:r>
      <w:r>
        <w:rPr>
          <w:rFonts w:ascii="Times New Roman" w:cs="Times New Roman" w:eastAsia="Times New Roman" w:hAnsi="Times New Roman"/>
          <w:sz w:val="18"/>
          <w:szCs w:val="18"/>
          <w:i w:val="1"/>
          <w:iCs w:val="1"/>
          <w:color w:val="auto"/>
        </w:rPr>
        <w:t>Exhibit Y-1</w:t>
      </w:r>
      <w:r>
        <w:rPr>
          <w:rFonts w:ascii="Times New Roman" w:cs="Times New Roman" w:eastAsia="Times New Roman" w:hAnsi="Times New Roman"/>
          <w:sz w:val="18"/>
          <w:szCs w:val="18"/>
          <w:color w:val="auto"/>
        </w:rPr>
        <w:t xml:space="preserve"> from the Contractors and Subcontractors listed in clauses (i) and (ii) below for all work, services and materials, including equipment and fixtures of all kinds, done, performed or furnished for the construction of the Project through the last day covered by the immediately preceding Advance Request, except for such work, services and materials the payment for which does not exceed, in the aggregate $10,000,000 and is being disputed in good faith, so long as (1) such proceedings shall not involve any substantial danger of the sale, forfeiture or loss of the Project, or any Mortgaged Property, as the case may be, title thereto or any interest therein and shall not interfere in any material respect with the Project or any Mortgaged Property and (2) adequate cash reserves have been provided therefor through an allocation in the Anticipated Cost Report. The Persons required to provide such lien releases are:</w:t>
      </w:r>
    </w:p>
    <w:p>
      <w:pPr>
        <w:spacing w:after="0" w:line="194" w:lineRule="exact"/>
        <w:rPr>
          <w:rFonts w:ascii="Times New Roman" w:cs="Times New Roman" w:eastAsia="Times New Roman" w:hAnsi="Times New Roman"/>
          <w:sz w:val="18"/>
          <w:szCs w:val="18"/>
          <w:color w:val="auto"/>
        </w:rPr>
      </w:pPr>
    </w:p>
    <w:p>
      <w:pPr>
        <w:ind w:left="1080" w:right="40" w:firstLine="448"/>
        <w:spacing w:after="0" w:line="262" w:lineRule="auto"/>
        <w:tabs>
          <w:tab w:leader="none" w:pos="1769"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Contractor and each of its first tier trade subcontractors and materialmen under the Prime Construction Contract, in each case performing work with a contract price (or expected aggregate amount to be paid in the case of "cost-plus" contracts) in excess of $25,000; and</w:t>
      </w:r>
    </w:p>
    <w:p>
      <w:pPr>
        <w:spacing w:after="0" w:line="186" w:lineRule="exact"/>
        <w:rPr>
          <w:rFonts w:ascii="Times New Roman" w:cs="Times New Roman" w:eastAsia="Times New Roman" w:hAnsi="Times New Roman"/>
          <w:sz w:val="18"/>
          <w:szCs w:val="18"/>
          <w:color w:val="auto"/>
        </w:rPr>
      </w:pPr>
    </w:p>
    <w:p>
      <w:pPr>
        <w:jc w:val="both"/>
        <w:ind w:left="1080" w:right="180" w:firstLine="360"/>
        <w:spacing w:after="0" w:line="258" w:lineRule="auto"/>
        <w:tabs>
          <w:tab w:leader="none" w:pos="17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188" w:lineRule="exact"/>
        <w:rPr>
          <w:rFonts w:ascii="Times New Roman" w:cs="Times New Roman" w:eastAsia="Times New Roman" w:hAnsi="Times New Roman"/>
          <w:sz w:val="18"/>
          <w:szCs w:val="18"/>
          <w:color w:val="auto"/>
        </w:rPr>
      </w:pPr>
    </w:p>
    <w:p>
      <w:pPr>
        <w:ind w:left="540" w:right="40" w:firstLine="360"/>
        <w:spacing w:after="0" w:line="277" w:lineRule="auto"/>
        <w:tabs>
          <w:tab w:leader="none" w:pos="12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Conditional Releases. </w:t>
      </w:r>
      <w:r>
        <w:rPr>
          <w:rFonts w:ascii="Times New Roman" w:cs="Times New Roman" w:eastAsia="Times New Roman" w:hAnsi="Times New Roman"/>
          <w:sz w:val="18"/>
          <w:szCs w:val="18"/>
          <w:color w:val="auto"/>
        </w:rPr>
        <w:t>Duly executed acknowledgments of payments and releases of mechanics' and materialmen's liens in the form of</w:t>
      </w:r>
      <w:r>
        <w:rPr>
          <w:rFonts w:ascii="Times New Roman" w:cs="Times New Roman" w:eastAsia="Times New Roman" w:hAnsi="Times New Roman"/>
          <w:sz w:val="18"/>
          <w:szCs w:val="18"/>
          <w:i w:val="1"/>
          <w:iCs w:val="1"/>
          <w:color w:val="auto"/>
        </w:rPr>
        <w:t xml:space="preserve"> Exhibit Y-2 </w:t>
      </w:r>
      <w:r>
        <w:rPr>
          <w:rFonts w:ascii="Times New Roman" w:cs="Times New Roman" w:eastAsia="Times New Roman" w:hAnsi="Times New Roman"/>
          <w:sz w:val="18"/>
          <w:szCs w:val="18"/>
          <w:color w:val="auto"/>
        </w:rPr>
        <w:t>from the Contractors and Subcontractors listed in clauses (i) and (ii) below for all work, services and materials,</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93" w:lineRule="auto"/>
        <w:rPr>
          <w:sz w:val="20"/>
          <w:szCs w:val="20"/>
          <w:color w:val="auto"/>
        </w:rPr>
      </w:pPr>
      <w:r>
        <w:rPr>
          <w:rFonts w:ascii="Times New Roman" w:cs="Times New Roman" w:eastAsia="Times New Roman" w:hAnsi="Times New Roman"/>
          <w:sz w:val="16"/>
          <w:szCs w:val="16"/>
          <w:color w:val="auto"/>
        </w:rPr>
        <w:t>including equipment and fixtures of all kinds, done, performed or furnished for the construction of the Project from the last day covered by the immediately preceding Advance Request through the last day covered by the current Advance Request except for such work, services and materials the payment for which does not exceed, in the aggregate $10,000,000 and is being disputed in good faith, so long as (1) such proceedings shall not involve any substantial danger of the sale, forfeiture of loss or the Project or any Mortgaged Property, as the case may be, title thereto or any interest therein and shall not interfere in any material respect with the Project or any Mortgaged Property and (2) adequate cash reserves have been provided therefor through an allocation in the Anticipated Cost Report. The Persons required to provide such lien releases are:</w:t>
      </w:r>
    </w:p>
    <w:p>
      <w:pPr>
        <w:spacing w:after="0" w:line="165" w:lineRule="exact"/>
        <w:rPr>
          <w:sz w:val="20"/>
          <w:szCs w:val="20"/>
          <w:color w:val="auto"/>
        </w:rPr>
      </w:pPr>
    </w:p>
    <w:p>
      <w:pPr>
        <w:ind w:left="1080" w:right="40" w:firstLine="448"/>
        <w:spacing w:after="0" w:line="262" w:lineRule="auto"/>
        <w:tabs>
          <w:tab w:leader="none" w:pos="17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Contractor and each of its first tier trade subcontractors and materialmen under the Prime Construction Contract, in each case performing work with a contract price (or expected aggregate amount to be paid in the case of "cost-plus" contracts) in excess of $25,000;</w:t>
      </w:r>
    </w:p>
    <w:p>
      <w:pPr>
        <w:sectPr>
          <w:pgSz w:w="11900" w:h="16838" w:orient="portrait"/>
          <w:cols w:equalWidth="0" w:num="1">
            <w:col w:w="10880"/>
          </w:cols>
          <w:pgMar w:left="780" w:top="125" w:right="239" w:bottom="47" w:gutter="0" w:footer="0" w:header="0"/>
        </w:sectPr>
      </w:pPr>
    </w:p>
    <w:bookmarkStart w:id="28" w:name="page29"/>
    <w:bookmarkEnd w:id="28"/>
    <w:p>
      <w:pPr>
        <w:jc w:val="both"/>
        <w:ind w:left="1080" w:right="160" w:firstLine="360"/>
        <w:spacing w:after="0" w:line="258" w:lineRule="auto"/>
        <w:tabs>
          <w:tab w:leader="none" w:pos="17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190"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or any Contractor does not obtain any of the foregoing waivers and releases of liens required under clauses (a) or (b) above (collectively, "</w:t>
      </w:r>
      <w:r>
        <w:rPr>
          <w:rFonts w:ascii="Times New Roman" w:cs="Times New Roman" w:eastAsia="Times New Roman" w:hAnsi="Times New Roman"/>
          <w:sz w:val="18"/>
          <w:szCs w:val="18"/>
          <w:i w:val="1"/>
          <w:iCs w:val="1"/>
          <w:color w:val="auto"/>
        </w:rPr>
        <w:t>Outstanding Releases</w:t>
      </w:r>
      <w:r>
        <w:rPr>
          <w:rFonts w:ascii="Times New Roman" w:cs="Times New Roman" w:eastAsia="Times New Roman" w:hAnsi="Times New Roman"/>
          <w:sz w:val="18"/>
          <w:szCs w:val="18"/>
          <w:color w:val="auto"/>
        </w:rPr>
        <w:t xml:space="preserve">"), then instead of delivering such Outstanding Releases and as a condition to any progress or other payment from the proceeds of the requested Advance, the Company may obtain and provide to the Disbursement Agent from the Title Insurer bonds or endorsements to the title insurance policies insuring the lien free status of the work and the Mortgaged Property;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no time shall the aggregate of all Outstanding Releases represent work with an aggregate value in excess of $2,000,000.</w:t>
      </w:r>
    </w:p>
    <w:p>
      <w:pPr>
        <w:spacing w:after="0" w:line="193" w:lineRule="exact"/>
        <w:rPr>
          <w:sz w:val="20"/>
          <w:szCs w:val="20"/>
          <w:color w:val="auto"/>
        </w:rPr>
      </w:pPr>
    </w:p>
    <w:p>
      <w:pPr>
        <w:ind w:right="220" w:firstLine="348"/>
        <w:spacing w:after="0" w:line="310" w:lineRule="auto"/>
        <w:rPr>
          <w:sz w:val="20"/>
          <w:szCs w:val="20"/>
          <w:color w:val="auto"/>
        </w:rPr>
      </w:pPr>
      <w:r>
        <w:rPr>
          <w:rFonts w:ascii="Times New Roman" w:cs="Times New Roman" w:eastAsia="Times New Roman" w:hAnsi="Times New Roman"/>
          <w:sz w:val="16"/>
          <w:szCs w:val="16"/>
          <w:color w:val="auto"/>
        </w:rPr>
        <w:t>The Disbursement Agent may rely on the certification by the Company and the Construction Consultant set forth in their respective certificates relating to the requested Advance in determining that all Contractors and Subcontractors required to deliver lien releases pursuant to clauses (a) and (b) above have delivered the same unless the Disbursement Agent shall have actual knowledge that the Company's certification is inaccurate.</w:t>
      </w:r>
    </w:p>
    <w:p>
      <w:pPr>
        <w:spacing w:after="0" w:line="149"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 xml:space="preserve">3.3.8 </w:t>
      </w:r>
      <w:r>
        <w:rPr>
          <w:rFonts w:ascii="Times New Roman" w:cs="Times New Roman" w:eastAsia="Times New Roman" w:hAnsi="Times New Roman"/>
          <w:sz w:val="18"/>
          <w:szCs w:val="18"/>
          <w:i w:val="1"/>
          <w:iCs w:val="1"/>
          <w:color w:val="auto"/>
        </w:rPr>
        <w:t>Title Policy Endorsement.</w:t>
      </w:r>
      <w:r>
        <w:rPr>
          <w:rFonts w:ascii="Times New Roman" w:cs="Times New Roman" w:eastAsia="Times New Roman" w:hAnsi="Times New Roman"/>
          <w:sz w:val="18"/>
          <w:szCs w:val="18"/>
          <w:color w:val="auto"/>
        </w:rPr>
        <w:t xml:space="preserve"> The Disbursement Agent shall have received a commitment from the Title Insurer, attached to the Advance Request, evidencing the Title Insurer's unconditional commitment to issue an endorsement to each of the Bank Agent's and the Indenture Trustee's Title Policy in the form of a 122 CLTA Endorsement insuring the continuing priority of the Lien of each Deed of Trust as security for the requested Advance and confirming and/or insuring that (i) since the previous disbursement from the Disbursement Account, there has been no change in the condition of title unless permitted by the Financing Agreements, and (ii) there are no intervening liens or encumbrances which may then or thereafter take priority over the respective Liens of the Deeds of Trust other than Permitted Encumbrances and such intervening liens or encumbrances securing amounts the payment of which is being disputed in good faith by the Company, so long as the Disbursement Agent has received confirmation from the applicable Funding Agents that the Title Insurer has delivered to such Funding Agents any endorsement to the respective Title Policies required or desirable to assure against loss to the Project Secured Parties due to the priority of such lien or encumbrance.</w:t>
      </w:r>
    </w:p>
    <w:p>
      <w:pPr>
        <w:spacing w:after="0" w:line="1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3.3.9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xml:space="preserve"> The Company shall have certified (and, as set forth in the Construction Consultant's certificate related to the requested Advance, the Construction Consultant shall not have become aware of any inaccuracies in the Company's certification) that:</w:t>
      </w:r>
    </w:p>
    <w:p>
      <w:pPr>
        <w:spacing w:after="0" w:line="172" w:lineRule="exact"/>
        <w:rPr>
          <w:sz w:val="20"/>
          <w:szCs w:val="20"/>
          <w:color w:val="auto"/>
        </w:rPr>
      </w:pPr>
    </w:p>
    <w:p>
      <w:pPr>
        <w:ind w:left="540" w:right="20" w:firstLine="360"/>
        <w:spacing w:after="0" w:line="252" w:lineRule="auto"/>
        <w:tabs>
          <w:tab w:leader="none" w:pos="11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exceptions to any of the following that could not, individually or in the aggregate, reasonably be expected to have a Material Adverse Effect: (i) each of the Loan Parties has obtained and holds all Permits described in </w:t>
      </w:r>
      <w:r>
        <w:rPr>
          <w:rFonts w:ascii="Times New Roman" w:cs="Times New Roman" w:eastAsia="Times New Roman" w:hAnsi="Times New Roman"/>
          <w:sz w:val="18"/>
          <w:szCs w:val="18"/>
          <w:i w:val="1"/>
          <w:iCs w:val="1"/>
          <w:color w:val="auto"/>
        </w:rPr>
        <w:t>Exhibit M</w:t>
      </w:r>
      <w:r>
        <w:rPr>
          <w:rFonts w:ascii="Times New Roman" w:cs="Times New Roman" w:eastAsia="Times New Roman" w:hAnsi="Times New Roman"/>
          <w:sz w:val="18"/>
          <w:szCs w:val="18"/>
          <w:color w:val="auto"/>
        </w:rPr>
        <w:t xml:space="preserve"> required to be obtained by such Loan Party as of the date this representation is deemed made, (ii) all such Permits are in full force and effect and each of the Loan Parties has performed and observed all requirements of such Permits to the extent required to be performed as of the date this representation is deemed made, (iii) no event has occurred which allows or results in, or after notice or lapse of time would allow or result in, revocation, modification, suspension or termination by the issuer thereof or in any other impairment of the rights of the holder of any such Permit, (iv) no such Permits contain any restrictions, either individually or in the aggregate, that could reasonably be expected to materially and adversely affect any of the Loan Parties, or the operation of the business of any such Loan Party or any property owned, leased or otherwise operated by such Person, (v) the Company has no knowledge that any Governmental Authority is considering limiting, modifying, suspending, revoking or renewing any such Permit on terms that could reasonably be expected to materially and adversely affect any of the Loan Parties or the operation of the business of any such Loan Party or any property owned, leased or otherwise operated by such Person, and (vi) each of the Loan Parties reasonably believes that each such Permit will be timely renewed and complied with, without undue expense or delay;</w:t>
      </w:r>
    </w:p>
    <w:p>
      <w:pPr>
        <w:spacing w:after="0" w:line="199" w:lineRule="exact"/>
        <w:rPr>
          <w:rFonts w:ascii="Times New Roman" w:cs="Times New Roman" w:eastAsia="Times New Roman" w:hAnsi="Times New Roman"/>
          <w:sz w:val="18"/>
          <w:szCs w:val="18"/>
          <w:color w:val="auto"/>
        </w:rPr>
      </w:pPr>
    </w:p>
    <w:p>
      <w:pPr>
        <w:jc w:val="both"/>
        <w:ind w:left="540" w:right="80" w:firstLine="360"/>
        <w:spacing w:after="0" w:line="259"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of the Permits described in </w:t>
      </w:r>
      <w:r>
        <w:rPr>
          <w:rFonts w:ascii="Times New Roman" w:cs="Times New Roman" w:eastAsia="Times New Roman" w:hAnsi="Times New Roman"/>
          <w:sz w:val="18"/>
          <w:szCs w:val="18"/>
          <w:i w:val="1"/>
          <w:iCs w:val="1"/>
          <w:color w:val="auto"/>
        </w:rPr>
        <w:t>Exhibit M</w:t>
      </w:r>
      <w:r>
        <w:rPr>
          <w:rFonts w:ascii="Times New Roman" w:cs="Times New Roman" w:eastAsia="Times New Roman" w:hAnsi="Times New Roman"/>
          <w:sz w:val="18"/>
          <w:szCs w:val="18"/>
          <w:color w:val="auto"/>
        </w:rPr>
        <w:t xml:space="preserve"> as not yet required to be obtained (other than the gaming license),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 and</w:t>
      </w:r>
    </w:p>
    <w:p>
      <w:pPr>
        <w:spacing w:after="0" w:line="188" w:lineRule="exact"/>
        <w:rPr>
          <w:rFonts w:ascii="Times New Roman" w:cs="Times New Roman" w:eastAsia="Times New Roman" w:hAnsi="Times New Roman"/>
          <w:sz w:val="18"/>
          <w:szCs w:val="18"/>
          <w:color w:val="auto"/>
        </w:rPr>
      </w:pPr>
    </w:p>
    <w:p>
      <w:pPr>
        <w:ind w:left="1180" w:hanging="280"/>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Buy-Sell Agreement is in full force and effect.</w:t>
      </w:r>
    </w:p>
    <w:p>
      <w:pPr>
        <w:spacing w:after="0" w:line="223"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 xml:space="preserve">3.3.10 </w:t>
      </w:r>
      <w:r>
        <w:rPr>
          <w:rFonts w:ascii="Times New Roman" w:cs="Times New Roman" w:eastAsia="Times New Roman" w:hAnsi="Times New Roman"/>
          <w:sz w:val="16"/>
          <w:szCs w:val="16"/>
          <w:i w:val="1"/>
          <w:iCs w:val="1"/>
          <w:color w:val="auto"/>
        </w:rPr>
        <w:t>Additional Documents.</w:t>
      </w:r>
      <w:r>
        <w:rPr>
          <w:rFonts w:ascii="Times New Roman" w:cs="Times New Roman" w:eastAsia="Times New Roman" w:hAnsi="Times New Roman"/>
          <w:sz w:val="16"/>
          <w:szCs w:val="16"/>
          <w:color w:val="auto"/>
        </w:rPr>
        <w:t xml:space="preserve"> With respect to any Material Project Documents entered into or obtained, transferred or required (whether because of the status of the construction or operation of the Project or otherwise) since the date of the most recent Advance, (a) if such Material Project Document constitutes a Contract, there shall be an Additional Contract Certificate delivered by the Company to the Disbursement Agent, the Funding Agents and the Construction Consultant in accordance with </w:t>
      </w:r>
      <w:r>
        <w:rPr>
          <w:rFonts w:ascii="Times New Roman" w:cs="Times New Roman" w:eastAsia="Times New Roman" w:hAnsi="Times New Roman"/>
          <w:sz w:val="16"/>
          <w:szCs w:val="16"/>
          <w:i w:val="1"/>
          <w:iCs w:val="1"/>
          <w:color w:val="auto"/>
        </w:rPr>
        <w:t>Section 6.1</w:t>
      </w:r>
      <w:r>
        <w:rPr>
          <w:rFonts w:ascii="Times New Roman" w:cs="Times New Roman" w:eastAsia="Times New Roman" w:hAnsi="Times New Roman"/>
          <w:sz w:val="16"/>
          <w:szCs w:val="16"/>
          <w:color w:val="auto"/>
        </w:rPr>
        <w:t xml:space="preserve"> and redelivery of such matters as are described in </w:t>
      </w:r>
      <w:r>
        <w:rPr>
          <w:rFonts w:ascii="Times New Roman" w:cs="Times New Roman" w:eastAsia="Times New Roman" w:hAnsi="Times New Roman"/>
          <w:sz w:val="16"/>
          <w:szCs w:val="16"/>
          <w:i w:val="1"/>
          <w:iCs w:val="1"/>
          <w:color w:val="auto"/>
        </w:rPr>
        <w:t>Section 3.1.1, Section 3.1.4</w:t>
      </w:r>
      <w:r>
        <w:rPr>
          <w:rFonts w:ascii="Times New Roman" w:cs="Times New Roman" w:eastAsia="Times New Roman" w:hAnsi="Times New Roman"/>
          <w:sz w:val="16"/>
          <w:szCs w:val="16"/>
          <w:color w:val="auto"/>
        </w:rPr>
        <w:t xml:space="preserve"> and, if requested by any Funding Agent or the Disbursement Agent, </w:t>
      </w:r>
      <w:r>
        <w:rPr>
          <w:rFonts w:ascii="Times New Roman" w:cs="Times New Roman" w:eastAsia="Times New Roman" w:hAnsi="Times New Roman"/>
          <w:sz w:val="16"/>
          <w:szCs w:val="16"/>
          <w:i w:val="1"/>
          <w:iCs w:val="1"/>
          <w:color w:val="auto"/>
        </w:rPr>
        <w:t>Section 3.1.8,</w:t>
      </w:r>
      <w:r>
        <w:rPr>
          <w:rFonts w:ascii="Times New Roman" w:cs="Times New Roman" w:eastAsia="Times New Roman" w:hAnsi="Times New Roman"/>
          <w:sz w:val="16"/>
          <w:szCs w:val="16"/>
          <w:color w:val="auto"/>
        </w:rPr>
        <w:t xml:space="preserve"> in each case, to the extent not previously addressed and (b) if such Material Project Document does not constitute a Contract the Bank Agent shall have confirmed that the Company has complied with the requirements of </w:t>
      </w:r>
      <w:r>
        <w:rPr>
          <w:rFonts w:ascii="Times New Roman" w:cs="Times New Roman" w:eastAsia="Times New Roman" w:hAnsi="Times New Roman"/>
          <w:sz w:val="16"/>
          <w:szCs w:val="16"/>
          <w:i w:val="1"/>
          <w:iCs w:val="1"/>
          <w:color w:val="auto"/>
        </w:rPr>
        <w:t>Section 7.23</w:t>
      </w:r>
      <w:r>
        <w:rPr>
          <w:rFonts w:ascii="Times New Roman" w:cs="Times New Roman" w:eastAsia="Times New Roman" w:hAnsi="Times New Roman"/>
          <w:sz w:val="16"/>
          <w:szCs w:val="16"/>
          <w:color w:val="auto"/>
        </w:rPr>
        <w:t xml:space="preserve"> of the Bank Credit Agreement. The Disbursement Agent may rely upon the certification of the Company set forth in the relevant Advance Request or, if applicable, the Company's Opening Date Certificate or Completion Certificate in determining whether an Additional Project Document has been entered into since the date of the most recent Advance unless the Disbursement Agent shall have actual knowledge that the Company's certification is inaccurate.</w:t>
      </w:r>
    </w:p>
    <w:p>
      <w:pPr>
        <w:spacing w:after="0" w:line="167"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3.3.11 </w:t>
      </w:r>
      <w:r>
        <w:rPr>
          <w:rFonts w:ascii="Times New Roman" w:cs="Times New Roman" w:eastAsia="Times New Roman" w:hAnsi="Times New Roman"/>
          <w:sz w:val="18"/>
          <w:szCs w:val="18"/>
          <w:i w:val="1"/>
          <w:iCs w:val="1"/>
          <w:color w:val="auto"/>
        </w:rPr>
        <w:t>Plans and Specifications.</w:t>
      </w:r>
      <w:r>
        <w:rPr>
          <w:rFonts w:ascii="Times New Roman" w:cs="Times New Roman" w:eastAsia="Times New Roman" w:hAnsi="Times New Roman"/>
          <w:sz w:val="18"/>
          <w:szCs w:val="18"/>
          <w:color w:val="auto"/>
        </w:rPr>
        <w:t xml:space="preserve"> The Disbursement Agent and the Construction Consultant shall have received copies of all Plans and Specifications which, as of the date of the requested Advance Date, constitute Final Plans and Specifications to the extent not theretofore delivered. The Disbursement Agent may rely upon the certification of the Company set forth in the relevant</w:t>
      </w:r>
    </w:p>
    <w:p>
      <w:pPr>
        <w:spacing w:after="0" w:line="18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Advance Request or, if applicable, in the Company's Opening Date Certificate or Completion Certificate, in order to establish satisfaction of this condition unless the Disbursement Agent shall have actual knowledge that the Company's certification is inaccurate.</w:t>
      </w:r>
    </w:p>
    <w:p>
      <w:pPr>
        <w:spacing w:after="0" w:line="172" w:lineRule="exact"/>
        <w:rPr>
          <w:sz w:val="20"/>
          <w:szCs w:val="20"/>
          <w:color w:val="auto"/>
        </w:rPr>
      </w:pPr>
    </w:p>
    <w:p>
      <w:pPr>
        <w:ind w:right="6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3.3.12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The Company shall be in compliance with </w:t>
      </w:r>
      <w:r>
        <w:rPr>
          <w:rFonts w:ascii="Times New Roman" w:cs="Times New Roman" w:eastAsia="Times New Roman" w:hAnsi="Times New Roman"/>
          <w:sz w:val="18"/>
          <w:szCs w:val="18"/>
          <w:i w:val="1"/>
          <w:iCs w:val="1"/>
          <w:color w:val="auto"/>
        </w:rPr>
        <w:t>Sections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5.9,</w:t>
      </w:r>
      <w:r>
        <w:rPr>
          <w:rFonts w:ascii="Times New Roman" w:cs="Times New Roman" w:eastAsia="Times New Roman" w:hAnsi="Times New Roman"/>
          <w:sz w:val="18"/>
          <w:szCs w:val="18"/>
          <w:color w:val="auto"/>
        </w:rPr>
        <w:t xml:space="preserve"> and no demands for funds shall be outstanding under </w:t>
      </w:r>
      <w:r>
        <w:rPr>
          <w:rFonts w:ascii="Times New Roman" w:cs="Times New Roman" w:eastAsia="Times New Roman" w:hAnsi="Times New Roman"/>
          <w:sz w:val="18"/>
          <w:szCs w:val="18"/>
          <w:i w:val="1"/>
          <w:iCs w:val="1"/>
          <w:color w:val="auto"/>
        </w:rPr>
        <w:t xml:space="preserve">Sections 5.9.1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5.9.2.</w:t>
      </w:r>
    </w:p>
    <w:p>
      <w:pPr>
        <w:sectPr>
          <w:pgSz w:w="11900" w:h="16838" w:orient="portrait"/>
          <w:cols w:equalWidth="0" w:num="1">
            <w:col w:w="10860"/>
          </w:cols>
          <w:pgMar w:left="780" w:top="125" w:right="259" w:bottom="0" w:gutter="0" w:footer="0" w:header="0"/>
        </w:sectPr>
      </w:pPr>
    </w:p>
    <w:bookmarkStart w:id="29" w:name="page30"/>
    <w:bookmarkEnd w:id="29"/>
    <w:p>
      <w:pPr>
        <w:spacing w:after="0" w:line="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3.3.13 </w:t>
      </w: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xml:space="preserve"> The Company shall have paid or arranged for payment out of the requested Advance of all fees, expenses and other charges then due and payable by it under this Agreement, the other Financing Agreements, the Bank Agent Fee Letter, the Disbursement Agent Fee Letter, the FF&amp;E Agent Fee Letter or under any agreements between the Company and any of the Independent Consultants. The Disbursement Agent shall be entitled to rely upon the certification of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93"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3.3.14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Insurance complying in all material respects with the requirements of </w:t>
      </w:r>
      <w:r>
        <w:rPr>
          <w:rFonts w:ascii="Times New Roman" w:cs="Times New Roman" w:eastAsia="Times New Roman" w:hAnsi="Times New Roman"/>
          <w:sz w:val="18"/>
          <w:szCs w:val="18"/>
          <w:i w:val="1"/>
          <w:iCs w:val="1"/>
          <w:color w:val="auto"/>
        </w:rPr>
        <w:t>Section 5.20</w:t>
      </w:r>
      <w:r>
        <w:rPr>
          <w:rFonts w:ascii="Times New Roman" w:cs="Times New Roman" w:eastAsia="Times New Roman" w:hAnsi="Times New Roman"/>
          <w:sz w:val="18"/>
          <w:szCs w:val="18"/>
          <w:color w:val="auto"/>
        </w:rPr>
        <w:t xml:space="preserve"> shall be in place and in full force and effect. The Disbursement Agent shall be entitled to rely upon the certification of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87"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3.3.15 </w:t>
      </w:r>
      <w:r>
        <w:rPr>
          <w:rFonts w:ascii="Times New Roman" w:cs="Times New Roman" w:eastAsia="Times New Roman" w:hAnsi="Times New Roman"/>
          <w:sz w:val="18"/>
          <w:szCs w:val="18"/>
          <w:i w:val="1"/>
          <w:iCs w:val="1"/>
          <w:color w:val="auto"/>
        </w:rPr>
        <w:t>As-Built Survey.</w:t>
      </w:r>
      <w:r>
        <w:rPr>
          <w:rFonts w:ascii="Times New Roman" w:cs="Times New Roman" w:eastAsia="Times New Roman" w:hAnsi="Times New Roman"/>
          <w:sz w:val="18"/>
          <w:szCs w:val="18"/>
          <w:color w:val="auto"/>
        </w:rPr>
        <w:t xml:space="preserve"> At the time of the first Advance Request occurring after completion of the foundation work for each phase of the Project, the Company shall cause an updated as-built survey to be delivered to the Construction Consultant and the Disbursement Agent satisfactory in form and substance to the Title Insurer and each Funding Agent and otherwise complying with the requirements of clauses (a) through (f) of </w:t>
      </w:r>
      <w:r>
        <w:rPr>
          <w:rFonts w:ascii="Times New Roman" w:cs="Times New Roman" w:eastAsia="Times New Roman" w:hAnsi="Times New Roman"/>
          <w:sz w:val="18"/>
          <w:szCs w:val="18"/>
          <w:i w:val="1"/>
          <w:iCs w:val="1"/>
          <w:color w:val="auto"/>
        </w:rPr>
        <w:t>Section 3.1.27.</w:t>
      </w:r>
      <w:r>
        <w:rPr>
          <w:rFonts w:ascii="Times New Roman" w:cs="Times New Roman" w:eastAsia="Times New Roman" w:hAnsi="Times New Roman"/>
          <w:sz w:val="18"/>
          <w:szCs w:val="18"/>
          <w:color w:val="auto"/>
        </w:rPr>
        <w:t xml:space="preserve"> The Disbursement Agent shall be entitled to rely upon the certification of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93"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3.3.16 </w:t>
      </w:r>
      <w:r>
        <w:rPr>
          <w:rFonts w:ascii="Times New Roman" w:cs="Times New Roman" w:eastAsia="Times New Roman" w:hAnsi="Times New Roman"/>
          <w:sz w:val="18"/>
          <w:szCs w:val="18"/>
          <w:i w:val="1"/>
          <w:iCs w:val="1"/>
          <w:color w:val="auto"/>
        </w:rPr>
        <w:t>Project Security.</w:t>
      </w:r>
      <w:r>
        <w:rPr>
          <w:rFonts w:ascii="Times New Roman" w:cs="Times New Roman" w:eastAsia="Times New Roman" w:hAnsi="Times New Roman"/>
          <w:sz w:val="18"/>
          <w:szCs w:val="18"/>
          <w:color w:val="auto"/>
        </w:rPr>
        <w:t xml:space="preserve"> All of the Security Documents shall continue to be in full force and effect and all actions necessary or desirable (including all filings) in the reasonable opinion of the Funding Agents party thereto to perfect the security interests granted therein as a valid security interest over the Project Security thereunder having the priority contemplated therefor by this Agreement and the Security Documents shall have been taken or made. All property, rights and assets required for the Project shall be free and clear of all encumbrances except for Permitted Liens. The Disbursement Agent shall be entitled to rely upon the certification of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89"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3.3.17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No action, suit, proceeding or investigation of any kind shall have been instituted or, to the Company's knowledge, pending or threatened, including actions or proceedings of or before any Governmental Authority, to which any Loan Party, the Project or, to the knowledge of the Company, any Major Project Participant (other than any Loan Party), is a party or is subject, or by which any of them or any of their properties or the Project are bound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w:t>
      </w:r>
    </w:p>
    <w:p>
      <w:pPr>
        <w:spacing w:after="0" w:line="1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same could reasonably be expected to have a Material Adverse Effect. The Disbursement Agent shall be entitled to rely upon the certification of the Company in the relevant Advance Request or, if applicable, in the Company's Completion Certificate, in determining that this condition has been satisfied unless the Disbursement Agent shall have actual knowledge that the Company's certification is inaccurate.</w:t>
      </w:r>
    </w:p>
    <w:p>
      <w:pPr>
        <w:spacing w:after="0" w:line="184" w:lineRule="exact"/>
        <w:rPr>
          <w:sz w:val="20"/>
          <w:szCs w:val="20"/>
          <w:color w:val="auto"/>
        </w:rPr>
      </w:pPr>
    </w:p>
    <w:p>
      <w:pPr>
        <w:ind w:left="360"/>
        <w:spacing w:after="0"/>
        <w:tabs>
          <w:tab w:leader="none" w:pos="960" w:val="left"/>
          <w:tab w:leader="none" w:pos="2880" w:val="left"/>
        </w:tabs>
        <w:rPr>
          <w:sz w:val="20"/>
          <w:szCs w:val="20"/>
          <w:color w:val="auto"/>
        </w:rPr>
      </w:pPr>
      <w:r>
        <w:rPr>
          <w:rFonts w:ascii="Times New Roman" w:cs="Times New Roman" w:eastAsia="Times New Roman" w:hAnsi="Times New Roman"/>
          <w:sz w:val="18"/>
          <w:szCs w:val="18"/>
          <w:color w:val="auto"/>
        </w:rPr>
        <w:t>3.3.18</w:t>
      </w:r>
      <w:r>
        <w:rPr>
          <w:sz w:val="20"/>
          <w:szCs w:val="20"/>
          <w:color w:val="auto"/>
        </w:rPr>
        <w:tab/>
      </w:r>
      <w:r>
        <w:rPr>
          <w:rFonts w:ascii="Times New Roman" w:cs="Times New Roman" w:eastAsia="Times New Roman" w:hAnsi="Times New Roman"/>
          <w:sz w:val="18"/>
          <w:szCs w:val="18"/>
          <w:i w:val="1"/>
          <w:iCs w:val="1"/>
          <w:color w:val="auto"/>
        </w:rPr>
        <w:t>In Balance Requirement.</w:t>
      </w:r>
      <w:r>
        <w:rPr>
          <w:sz w:val="20"/>
          <w:szCs w:val="20"/>
          <w:color w:val="auto"/>
        </w:rPr>
        <w:tab/>
      </w:r>
      <w:r>
        <w:rPr>
          <w:rFonts w:ascii="Times New Roman" w:cs="Times New Roman" w:eastAsia="Times New Roman" w:hAnsi="Times New Roman"/>
          <w:sz w:val="16"/>
          <w:szCs w:val="16"/>
          <w:color w:val="auto"/>
        </w:rPr>
        <w:t>The Project shall be In Balance.</w:t>
      </w:r>
    </w:p>
    <w:p>
      <w:pPr>
        <w:spacing w:after="0" w:line="225"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3.3.19 </w:t>
      </w:r>
      <w:r>
        <w:rPr>
          <w:rFonts w:ascii="Times New Roman" w:cs="Times New Roman" w:eastAsia="Times New Roman" w:hAnsi="Times New Roman"/>
          <w:sz w:val="18"/>
          <w:szCs w:val="18"/>
          <w:i w:val="1"/>
          <w:iCs w:val="1"/>
          <w:color w:val="auto"/>
        </w:rPr>
        <w:t>No Restriction.</w:t>
      </w:r>
      <w:r>
        <w:rPr>
          <w:rFonts w:ascii="Times New Roman" w:cs="Times New Roman" w:eastAsia="Times New Roman" w:hAnsi="Times New Roman"/>
          <w:sz w:val="18"/>
          <w:szCs w:val="18"/>
          <w:color w:val="auto"/>
        </w:rPr>
        <w:t xml:space="preserve"> No order, judgment or decree of any court, arbitrator or governmental authority shall purport to enjoin or restrain any of the Bank Lenders, the FF&amp;E Lenders or the Indenture Trustee from making the Advances to be made by it on the requested Advance Date. The Disbursement Agent shall be entitled to rely upon a certification of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88"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3.3.20 </w:t>
      </w:r>
      <w:r>
        <w:rPr>
          <w:rFonts w:ascii="Times New Roman" w:cs="Times New Roman" w:eastAsia="Times New Roman" w:hAnsi="Times New Roman"/>
          <w:sz w:val="18"/>
          <w:szCs w:val="18"/>
          <w:i w:val="1"/>
          <w:iCs w:val="1"/>
          <w:color w:val="auto"/>
        </w:rPr>
        <w:t>Violation of Certain Regulations.</w:t>
      </w:r>
      <w:r>
        <w:rPr>
          <w:rFonts w:ascii="Times New Roman" w:cs="Times New Roman" w:eastAsia="Times New Roman" w:hAnsi="Times New Roman"/>
          <w:sz w:val="18"/>
          <w:szCs w:val="18"/>
          <w:color w:val="auto"/>
        </w:rPr>
        <w:t xml:space="preserve"> The making of the requested Advance shall not violate any law including Regulation T, Regulation U or Regulation X of the Board of Governors of the Federal Reserve System. The Disbursement Agent shall be entitled to rely upon the certification of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8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 xml:space="preserve">3.3.21 </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Since the Closing Date, there shall not have occurred any change in the Project Budget, in the economics or feasibility of constructing and/or operating the Project, or in the financial condition, business or property of the Loan Parties, any of which could reasonably be expected to have a Material Adverse Effect. Neither the Bank Lenders nor the FF&amp;E Lenders shall have become aware after the date hereof of any information or other matter affecting any Loan Party, any Project Credit Support Provider, the Project or the transactions contemplated hereby that is inconsistent in a material and adverse manner with any such information or other matter disclosed to the Bank Lenders or the FF&amp;E Lenders. The Disbursement Agent shall be entitled to rely on the certification by the Company in the relevant Advance Request or, if applicable, in the Company's Opening Date Certificate or Completion Certificate, in determining that this condition has been satisfied unless the Disbursement Agent shall have actual knowledge that the Company's certification is inaccurate.</w:t>
      </w:r>
    </w:p>
    <w:p>
      <w:pPr>
        <w:spacing w:after="0" w:line="192"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3.3.22 </w:t>
      </w:r>
      <w:r>
        <w:rPr>
          <w:rFonts w:ascii="Times New Roman" w:cs="Times New Roman" w:eastAsia="Times New Roman" w:hAnsi="Times New Roman"/>
          <w:sz w:val="18"/>
          <w:szCs w:val="18"/>
          <w:i w:val="1"/>
          <w:iCs w:val="1"/>
          <w:color w:val="auto"/>
        </w:rPr>
        <w:t>Water Rights.</w:t>
      </w:r>
      <w:r>
        <w:rPr>
          <w:rFonts w:ascii="Times New Roman" w:cs="Times New Roman" w:eastAsia="Times New Roman" w:hAnsi="Times New Roman"/>
          <w:sz w:val="18"/>
          <w:szCs w:val="18"/>
          <w:color w:val="auto"/>
        </w:rPr>
        <w:t xml:space="preserve"> There shall be in place arrangements reasonably satisfactory to the Bank Lenders and the FF&amp;E Lenders ensuring that the Company will have the benefit of the necessary water rights to develop and operate the Project as contemplated in the Financing Agreements. Specifically, the following conditions shall have been satisfied:</w:t>
      </w:r>
    </w:p>
    <w:p>
      <w:pPr>
        <w:spacing w:after="0" w:line="183" w:lineRule="exact"/>
        <w:rPr>
          <w:sz w:val="20"/>
          <w:szCs w:val="20"/>
          <w:color w:val="auto"/>
        </w:rPr>
      </w:pPr>
    </w:p>
    <w:p>
      <w:pPr>
        <w:ind w:left="540" w:right="80" w:firstLine="360"/>
        <w:spacing w:after="0" w:line="275" w:lineRule="auto"/>
        <w:tabs>
          <w:tab w:leader="none" w:pos="11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Minimum Contingency shall have been increased by $5,000,000 as provided in the proviso to clause (b) to the definition of "Required Minimum Contingency"; or</w:t>
      </w:r>
    </w:p>
    <w:p>
      <w:pPr>
        <w:spacing w:after="0" w:line="173" w:lineRule="exact"/>
        <w:rPr>
          <w:rFonts w:ascii="Times New Roman" w:cs="Times New Roman" w:eastAsia="Times New Roman" w:hAnsi="Times New Roman"/>
          <w:sz w:val="18"/>
          <w:szCs w:val="18"/>
          <w:color w:val="auto"/>
        </w:rPr>
      </w:pPr>
    </w:p>
    <w:p>
      <w:pPr>
        <w:ind w:left="1200" w:hanging="300"/>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conditions shall have been satisfied:</w:t>
      </w:r>
    </w:p>
    <w:p>
      <w:pPr>
        <w:spacing w:after="0" w:line="225" w:lineRule="exact"/>
        <w:rPr>
          <w:rFonts w:ascii="Times New Roman" w:cs="Times New Roman" w:eastAsia="Times New Roman" w:hAnsi="Times New Roman"/>
          <w:sz w:val="18"/>
          <w:szCs w:val="18"/>
          <w:color w:val="auto"/>
        </w:rPr>
      </w:pPr>
    </w:p>
    <w:p>
      <w:pPr>
        <w:ind w:left="1080" w:right="60" w:firstLine="448"/>
        <w:spacing w:after="0" w:line="275" w:lineRule="auto"/>
        <w:tabs>
          <w:tab w:leader="none" w:pos="176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Bank Agent and the Indenture Trustee a copy of an order issued by the PUC approving the Bank DIIC Deed of Trust and the Second Mortgage Notes DIIC Deed of Trust;</w:t>
      </w:r>
    </w:p>
    <w:p>
      <w:pPr>
        <w:sectPr>
          <w:pgSz w:w="11900" w:h="16844" w:orient="portrait"/>
          <w:cols w:equalWidth="0" w:num="1">
            <w:col w:w="10880"/>
          </w:cols>
          <w:pgMar w:left="780" w:top="123" w:right="239" w:bottom="0" w:gutter="0" w:footer="0" w:header="0"/>
        </w:sectPr>
      </w:pPr>
    </w:p>
    <w:bookmarkStart w:id="30" w:name="page31"/>
    <w:bookmarkEnd w:id="30"/>
    <w:p>
      <w:pPr>
        <w:spacing w:after="0" w:line="16" w:lineRule="exact"/>
        <w:rPr>
          <w:sz w:val="20"/>
          <w:szCs w:val="20"/>
          <w:color w:val="auto"/>
        </w:rPr>
      </w:pPr>
    </w:p>
    <w:p>
      <w:pPr>
        <w:ind w:left="1080" w:right="380" w:firstLine="360"/>
        <w:spacing w:after="0" w:line="275" w:lineRule="auto"/>
        <w:tabs>
          <w:tab w:leader="none" w:pos="17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the order of the PUC approving the Bank DIIC Deed of Trust and the Second Mortgage Notes DIIC Deed of Trust described in clause (i) above, Desert</w:t>
      </w:r>
    </w:p>
    <w:p>
      <w:pPr>
        <w:spacing w:after="0" w:line="1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Inn Improvement shall have executed the Bank DIIC Deed of Trust and the Second Mortgage Notes DIIC Deed of Trust;</w:t>
      </w:r>
    </w:p>
    <w:p>
      <w:pPr>
        <w:spacing w:after="0" w:line="225" w:lineRule="exact"/>
        <w:rPr>
          <w:sz w:val="20"/>
          <w:szCs w:val="20"/>
          <w:color w:val="auto"/>
        </w:rPr>
      </w:pPr>
    </w:p>
    <w:p>
      <w:pPr>
        <w:ind w:left="1080" w:firstLine="360"/>
        <w:spacing w:after="0" w:line="252" w:lineRule="auto"/>
        <w:tabs>
          <w:tab w:leader="none" w:pos="17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Title Insurer shall have delivered to the Bank Agent evidence in form and substance reasonably satisfactory to the Bank Agent that the lender's A.L.T.A. policy of title insurance issued for the benefit of the Bank Lenders on the Closing Date also insures that Desert Inn Improvement has fee simple title to the Water Utility Land, free and clear of liens, encumbrances and other exceptions to title except DIIC Permitted Encumbrances, and the Bank DIIC Deed of Trust is (or will be when recorded) a valid lien on the "Trust Estate" (as defined in such Deed of Trust) entitled to the priority described therein, free and clear of all liens, encumbrances and exceptions to title whatsoever, other than DIIC Permitted Encumbrances and (B) the Title Insurer shall have delivered to the Indenture Trustee evidence in form and substance substantially similar to the evidence delivered to the Bank Agent under clause (A) above that the lender's A.L.T.A. policy of title insurance issued for the benefit of the Second Mortgage Note Holders on the Closing Date also insures that Desert Inn Improvement has fee simple title to the Water Utility Land, free and clear of liens, encumbrances and other exceptions to title except DIIC Permitted Encumbrances and the Second Mortgage Notes DIIC Deed of Trust is (or will be when recorded) a valid lien on the "Trust Estate" (as defined in such Deed of Trust) entitled to the priority described therein, free and clear of all liens, encumbrances and exceptions to title whatsoever, other than DIIC Permitted Encumbrances; and</w:t>
      </w:r>
    </w:p>
    <w:p>
      <w:pPr>
        <w:spacing w:after="0" w:line="201" w:lineRule="exact"/>
        <w:rPr>
          <w:rFonts w:ascii="Times New Roman" w:cs="Times New Roman" w:eastAsia="Times New Roman" w:hAnsi="Times New Roman"/>
          <w:sz w:val="18"/>
          <w:szCs w:val="18"/>
          <w:color w:val="auto"/>
        </w:rPr>
      </w:pPr>
    </w:p>
    <w:p>
      <w:pPr>
        <w:ind w:left="1080" w:right="180" w:firstLine="360"/>
        <w:spacing w:after="0" w:line="254" w:lineRule="auto"/>
        <w:tabs>
          <w:tab w:leader="none" w:pos="17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Desert Inn Improvement shall have executed duplicate original notices of pledge substantially similar to the notice of pledge delivered by Valvino pursuant to </w:t>
      </w:r>
      <w:r>
        <w:rPr>
          <w:rFonts w:ascii="Times New Roman" w:cs="Times New Roman" w:eastAsia="Times New Roman" w:hAnsi="Times New Roman"/>
          <w:sz w:val="18"/>
          <w:szCs w:val="18"/>
          <w:i w:val="1"/>
          <w:iCs w:val="1"/>
          <w:color w:val="auto"/>
        </w:rPr>
        <w:t>Section 3.1.42</w:t>
      </w:r>
      <w:r>
        <w:rPr>
          <w:rFonts w:ascii="Times New Roman" w:cs="Times New Roman" w:eastAsia="Times New Roman" w:hAnsi="Times New Roman"/>
          <w:sz w:val="18"/>
          <w:szCs w:val="18"/>
          <w:color w:val="auto"/>
        </w:rPr>
        <w:t xml:space="preserve"> or otherwise in form and substance reasonably satisfactory to the Bank Agent describing Nevada Permit to Appropriate Nos. 13393 (certificate no. 4731), 16938 (certificate no. 4765), 16939 (certificate no. 4766), 24558 (certificate no. 7828), 24560 (certificate no. 7827), 24561 (certificate no. 7829), and 25223 (certificate no. 7830), and such notices of pledge shall have been completed and delivered to the Disbursement Agent. The Company hereby authorizes the Disbursement Agent to complete the recording information from the Bank DIIC Deed of Trust and the Second Mortgage Notes DIIC Deed of Trust) and to file them with the Nevada State Engineer promptly after recordation of such Deeds of Trust, together with a Report of Conveyance and Abstract of Title for each permit.</w:t>
      </w:r>
    </w:p>
    <w:p>
      <w:pPr>
        <w:spacing w:after="0" w:line="192" w:lineRule="exact"/>
        <w:rPr>
          <w:sz w:val="20"/>
          <w:szCs w:val="20"/>
          <w:color w:val="auto"/>
        </w:rPr>
      </w:pPr>
    </w:p>
    <w:p>
      <w:pPr>
        <w:ind w:left="1080" w:right="80"/>
        <w:spacing w:after="0" w:line="262" w:lineRule="auto"/>
        <w:rPr>
          <w:sz w:val="20"/>
          <w:szCs w:val="20"/>
          <w:color w:val="auto"/>
        </w:rPr>
      </w:pPr>
      <w:r>
        <w:rPr>
          <w:rFonts w:ascii="Times New Roman" w:cs="Times New Roman" w:eastAsia="Times New Roman" w:hAnsi="Times New Roman"/>
          <w:sz w:val="18"/>
          <w:szCs w:val="18"/>
          <w:color w:val="auto"/>
        </w:rPr>
        <w:t>The Disbursement Agent shall be entitled to rely on the certification by the Company in the relevant Advance Request or, if applicable, in the Company's Opening Date Certificate or Completion Certificate, in determining that the conditions set forth in this Section have been satisfied unless the Disbursement Agent shall have actual knowledge that the Company's certification is inaccurate.</w:t>
      </w:r>
    </w:p>
    <w:p>
      <w:pPr>
        <w:spacing w:after="0" w:line="184"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3.3.23</w:t>
      </w:r>
      <w:r>
        <w:rPr>
          <w:sz w:val="20"/>
          <w:szCs w:val="20"/>
          <w:color w:val="auto"/>
        </w:rPr>
        <w:tab/>
      </w:r>
      <w:r>
        <w:rPr>
          <w:rFonts w:ascii="Times New Roman" w:cs="Times New Roman" w:eastAsia="Times New Roman" w:hAnsi="Times New Roman"/>
          <w:sz w:val="16"/>
          <w:szCs w:val="16"/>
          <w:i w:val="1"/>
          <w:iCs w:val="1"/>
          <w:color w:val="auto"/>
        </w:rPr>
        <w:t>Subcontracts.</w:t>
      </w:r>
    </w:p>
    <w:p>
      <w:pPr>
        <w:spacing w:after="0" w:line="227" w:lineRule="exact"/>
        <w:rPr>
          <w:sz w:val="20"/>
          <w:szCs w:val="20"/>
          <w:color w:val="auto"/>
        </w:rPr>
      </w:pPr>
    </w:p>
    <w:p>
      <w:pPr>
        <w:ind w:left="540" w:right="140" w:firstLine="360"/>
        <w:spacing w:after="0" w:line="289" w:lineRule="auto"/>
        <w:tabs>
          <w:tab w:leader="none" w:pos="1174"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with respect to the initial Advance of funds from the Second Mortgage Notes Proceeds Account, (i) the Prime Contractor shall have entered into Subcontracts in respect of seventy percent (70%) of the guaranteed maximum price under the Prime Construction Contract and</w:t>
      </w:r>
    </w:p>
    <w:p>
      <w:pPr>
        <w:spacing w:after="0" w:line="1" w:lineRule="exact"/>
        <w:rPr>
          <w:rFonts w:ascii="Times New Roman" w:cs="Times New Roman" w:eastAsia="Times New Roman" w:hAnsi="Times New Roman"/>
          <w:sz w:val="16"/>
          <w:szCs w:val="16"/>
          <w:color w:val="auto"/>
        </w:rPr>
      </w:pPr>
    </w:p>
    <w:p>
      <w:pPr>
        <w:jc w:val="both"/>
        <w:ind w:left="540" w:right="20" w:firstLine="8"/>
        <w:spacing w:after="0" w:line="254" w:lineRule="auto"/>
        <w:tabs>
          <w:tab w:leader="none" w:pos="7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guaranteed maximum price Contracts in respect of fifty percent (50%) of the total costs reflected in the Project Budget for the "Interior Furnishings/Signage/Electronic Systems," "Miscellaneous Capital Projects," "Golf Course Construction," and Parking Garage" Line Item Categories and copies of all such Subcontracts and Contracts shall have been delivered to the Construction Consultant. The Company shall have certified in the Company's Advance Certificate that such Subcontracts</w:t>
      </w:r>
    </w:p>
    <w:p>
      <w:pPr>
        <w:spacing w:after="0" w:line="1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Contracts are consistent with the Project Budget, the Project Schedule and the Plans and Specifications.</w:t>
      </w:r>
    </w:p>
    <w:p>
      <w:pPr>
        <w:spacing w:after="0" w:line="225" w:lineRule="exact"/>
        <w:rPr>
          <w:sz w:val="20"/>
          <w:szCs w:val="20"/>
          <w:color w:val="auto"/>
        </w:rPr>
      </w:pPr>
    </w:p>
    <w:p>
      <w:pPr>
        <w:ind w:left="540" w:right="80" w:firstLine="360"/>
        <w:spacing w:after="0" w:line="254" w:lineRule="auto"/>
        <w:tabs>
          <w:tab w:leader="none" w:pos="1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initial Advance of funds from the Bank Credit Facility, (i) the Prime Contractor shall have entered into Subcontracts in respect of ninety percent (90%) of the guaranteed maximum price under the Prime Construction Contract and (ii) the Company shall have executed guaranteed maximum price Contracts in respect of seventy percent (70%) of the total costs reflected in the Project Budget for the "Interior Furnishings/Signage/Electronic Systems," "Miscellaneous Capital Projects," "Golf Course Construction," and Parking Garage" Line Item Categories; and copies of all such Subcontracts and Contracts shall have been delivered to the Construction Consultant. The Company shall have certified in the Company's Advance Certificate that such Subcontracts and Contracts are consistent with the Project Budget, the Project Schedule and the Final Plans and Specifications.</w:t>
      </w:r>
    </w:p>
    <w:p>
      <w:pPr>
        <w:spacing w:after="0" w:line="195" w:lineRule="exact"/>
        <w:rPr>
          <w:rFonts w:ascii="Times New Roman" w:cs="Times New Roman" w:eastAsia="Times New Roman" w:hAnsi="Times New Roman"/>
          <w:sz w:val="18"/>
          <w:szCs w:val="18"/>
          <w:color w:val="auto"/>
        </w:rPr>
      </w:pPr>
    </w:p>
    <w:p>
      <w:pPr>
        <w:ind w:left="540" w:right="20" w:firstLine="360"/>
        <w:spacing w:after="0" w:line="254"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a copy of (i) each Contract entered into between the Company and any Contractor with a contract price (or expected aggregate amount to be paid in the case of "cost plus" contracts) in excess of $500,000, (ii) each first tier Subcontract entered into by the Prime Contractor with a contract price (or expected aggregate amount to be paid in the case of "cost plus" contracts) in excess of $500,000, and (iii) each first tier Subcontract with a contract price (or expected aggregate amount to be paid in the case of "cost plus" contracts) in excess of $500,000 entered into by any other Contractor who is party to a Contract entered into with the Company that is not subject to a fixed price, and (iv) a copy of any Payment and Performance Bond required pursuant to </w:t>
      </w:r>
      <w:r>
        <w:rPr>
          <w:rFonts w:ascii="Times New Roman" w:cs="Times New Roman" w:eastAsia="Times New Roman" w:hAnsi="Times New Roman"/>
          <w:sz w:val="18"/>
          <w:szCs w:val="18"/>
          <w:i w:val="1"/>
          <w:iCs w:val="1"/>
          <w:color w:val="auto"/>
        </w:rPr>
        <w:t>Section 5.14</w:t>
      </w:r>
      <w:r>
        <w:rPr>
          <w:rFonts w:ascii="Times New Roman" w:cs="Times New Roman" w:eastAsia="Times New Roman" w:hAnsi="Times New Roman"/>
          <w:sz w:val="18"/>
          <w:szCs w:val="18"/>
          <w:color w:val="auto"/>
        </w:rPr>
        <w:t xml:space="preserve"> hereof to the Disbursement Agent, the Construction Consultant and Bank Agent promptly after mutual execution and delivery thereof.</w:t>
      </w:r>
    </w:p>
    <w:p>
      <w:pPr>
        <w:spacing w:after="0" w:line="193"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3.3.24 </w:t>
      </w:r>
      <w:r>
        <w:rPr>
          <w:rFonts w:ascii="Times New Roman" w:cs="Times New Roman" w:eastAsia="Times New Roman" w:hAnsi="Times New Roman"/>
          <w:sz w:val="18"/>
          <w:szCs w:val="18"/>
          <w:i w:val="1"/>
          <w:iCs w:val="1"/>
          <w:color w:val="auto"/>
        </w:rPr>
        <w:t>Funding of Equity.</w:t>
      </w:r>
      <w:r>
        <w:rPr>
          <w:rFonts w:ascii="Times New Roman" w:cs="Times New Roman" w:eastAsia="Times New Roman" w:hAnsi="Times New Roman"/>
          <w:sz w:val="18"/>
          <w:szCs w:val="18"/>
          <w:color w:val="auto"/>
        </w:rPr>
        <w:t xml:space="preserve"> Solely with respect to the initial Advance of funds from the Second Mortgage Notes Proceeds Account, the Company has certified (and the Construction Consultant has confirmed to the extent set forth in the Construction Consultant's Advance Certificate) that cash or property in the amount equal to Nine Hundred Two Million Three Hundred Seventy Seven Thousand Three Hundred Ninety Dollars ($902,377,390) has been applied to the payment of Project Costs.</w:t>
      </w:r>
    </w:p>
    <w:p>
      <w:pPr>
        <w:spacing w:after="0" w:line="187"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3.3.25 </w:t>
      </w:r>
      <w:r>
        <w:rPr>
          <w:rFonts w:ascii="Times New Roman" w:cs="Times New Roman" w:eastAsia="Times New Roman" w:hAnsi="Times New Roman"/>
          <w:sz w:val="18"/>
          <w:szCs w:val="18"/>
          <w:i w:val="1"/>
          <w:iCs w:val="1"/>
          <w:color w:val="auto"/>
        </w:rPr>
        <w:t>Updated Consultant Certificates and Reports.</w:t>
      </w:r>
      <w:r>
        <w:rPr>
          <w:rFonts w:ascii="Times New Roman" w:cs="Times New Roman" w:eastAsia="Times New Roman" w:hAnsi="Times New Roman"/>
          <w:sz w:val="18"/>
          <w:szCs w:val="18"/>
          <w:color w:val="auto"/>
        </w:rPr>
        <w:t xml:space="preserve"> Solely with respect to the initial Advance of funds from the Second Mortgage Notes Proceeds Account, each of the Bank Agent, the Representatives of the Underwriters, the FF&amp;E Agent and the Disbursement Agent shall have received an updated Construction Consultant's Report in form and substance satisfactory to each such Person which will address (i) construction progress for the period from the Closing Date through the initial Advance from the Second Mortgage Notes Proceeds Account and (ii) the Final Plans and Specifications that have been completed through such period to the extent not theretofore delivered.</w:t>
      </w:r>
    </w:p>
    <w:p>
      <w:pPr>
        <w:sectPr>
          <w:pgSz w:w="11900" w:h="16855" w:orient="portrait"/>
          <w:cols w:equalWidth="0" w:num="1">
            <w:col w:w="10860"/>
          </w:cols>
          <w:pgMar w:left="780" w:top="125" w:right="259" w:bottom="0" w:gutter="0" w:footer="0" w:header="0"/>
        </w:sectPr>
      </w:pPr>
    </w:p>
    <w:bookmarkStart w:id="31" w:name="page32"/>
    <w:bookmarkEnd w:id="31"/>
    <w:p>
      <w:pPr>
        <w:spacing w:after="0" w:line="85"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3.3.26 </w:t>
      </w:r>
      <w:r>
        <w:rPr>
          <w:rFonts w:ascii="Times New Roman" w:cs="Times New Roman" w:eastAsia="Times New Roman" w:hAnsi="Times New Roman"/>
          <w:sz w:val="18"/>
          <w:szCs w:val="18"/>
          <w:i w:val="1"/>
          <w:iCs w:val="1"/>
          <w:color w:val="auto"/>
        </w:rPr>
        <w:t>Unincorporated Materials.</w:t>
      </w:r>
      <w:r>
        <w:rPr>
          <w:rFonts w:ascii="Times New Roman" w:cs="Times New Roman" w:eastAsia="Times New Roman" w:hAnsi="Times New Roman"/>
          <w:sz w:val="18"/>
          <w:szCs w:val="18"/>
          <w:color w:val="auto"/>
        </w:rPr>
        <w:t xml:space="preserve"> Delivery to the Disbursement Agent and the Construction Consultant of a written inventory in the form of </w:t>
      </w:r>
      <w:r>
        <w:rPr>
          <w:rFonts w:ascii="Times New Roman" w:cs="Times New Roman" w:eastAsia="Times New Roman" w:hAnsi="Times New Roman"/>
          <w:sz w:val="18"/>
          <w:szCs w:val="18"/>
          <w:i w:val="1"/>
          <w:iCs w:val="1"/>
          <w:color w:val="auto"/>
        </w:rPr>
        <w:t xml:space="preserve">Appendix X </w:t>
      </w:r>
      <w:r>
        <w:rPr>
          <w:rFonts w:ascii="Times New Roman" w:cs="Times New Roman" w:eastAsia="Times New Roman" w:hAnsi="Times New Roman"/>
          <w:sz w:val="18"/>
          <w:szCs w:val="18"/>
          <w:color w:val="auto"/>
        </w:rPr>
        <w:t>to the Company's Advance Request identifying all materials, machinery, fixtures, furniture, equipment or other items purchased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manufactured for incorporation into the Project but which, at the time of the Advance Request, (i) are not located at the Site and for which the Company has paid or intends to pay with the proceeds of the Advance Request all or a portion of the purchase price, or (ii) are located at the Site but are not expected to be incorporated into the Project within thirty (30) days after such Advance Request (such materials, the "</w:t>
      </w:r>
      <w:r>
        <w:rPr>
          <w:rFonts w:ascii="Times New Roman" w:cs="Times New Roman" w:eastAsia="Times New Roman" w:hAnsi="Times New Roman"/>
          <w:sz w:val="18"/>
          <w:szCs w:val="18"/>
          <w:i w:val="1"/>
          <w:iCs w:val="1"/>
          <w:color w:val="auto"/>
        </w:rPr>
        <w:t>Unincorporated Materials</w:t>
      </w:r>
      <w:r>
        <w:rPr>
          <w:rFonts w:ascii="Times New Roman" w:cs="Times New Roman" w:eastAsia="Times New Roman" w:hAnsi="Times New Roman"/>
          <w:sz w:val="18"/>
          <w:szCs w:val="18"/>
          <w:color w:val="auto"/>
        </w:rPr>
        <w:t>") and including the value thereof, together with evidence reasonably satisfactory to the Construction Consultant and the</w:t>
      </w:r>
    </w:p>
    <w:p>
      <w:pPr>
        <w:spacing w:after="0" w:line="1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 Agent that the following conditions have been satisfied with respect to such Unincorporated Materials:</w:t>
      </w:r>
    </w:p>
    <w:p>
      <w:pPr>
        <w:spacing w:after="0" w:line="225" w:lineRule="exact"/>
        <w:rPr>
          <w:sz w:val="20"/>
          <w:szCs w:val="20"/>
          <w:color w:val="auto"/>
        </w:rPr>
      </w:pPr>
    </w:p>
    <w:p>
      <w:pPr>
        <w:ind w:left="540" w:firstLine="360"/>
        <w:spacing w:after="0" w:line="256" w:lineRule="auto"/>
        <w:tabs>
          <w:tab w:leader="none" w:pos="11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Unincorporated Materials for which full payment has previously been made or is being made with the proceeds of the Advance to be disbursed are, or will be upon full payment, owned by the Company, as evidenced by the bills of sale, certificates of title or other evidence reasonably satisfactory to the Construction Consultant, and all lien rights or claims of the supplier has been or will be released simultaneously with such full payment and all amounts, if any, required to be paid to the supplier thereof with respect to the installation of such Unincorporated Materials (including any Retainage Amounts);</w:t>
      </w:r>
    </w:p>
    <w:p>
      <w:pPr>
        <w:spacing w:after="0" w:line="192" w:lineRule="exact"/>
        <w:rPr>
          <w:rFonts w:ascii="Times New Roman" w:cs="Times New Roman" w:eastAsia="Times New Roman" w:hAnsi="Times New Roman"/>
          <w:sz w:val="18"/>
          <w:szCs w:val="18"/>
          <w:color w:val="auto"/>
        </w:rPr>
      </w:pPr>
    </w:p>
    <w:p>
      <w:pPr>
        <w:ind w:left="540" w:right="20" w:firstLine="360"/>
        <w:spacing w:after="0" w:line="275" w:lineRule="auto"/>
        <w:tabs>
          <w:tab w:leader="none" w:pos="1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the Unincorporated Materials consist of fabricated or unfabricated components that conform to the Final Plans and Specifications and that will be ready for incorporation into the Project upon delivery thereof;</w:t>
      </w:r>
    </w:p>
    <w:p>
      <w:pPr>
        <w:spacing w:after="0" w:line="173" w:lineRule="exact"/>
        <w:rPr>
          <w:rFonts w:ascii="Times New Roman" w:cs="Times New Roman" w:eastAsia="Times New Roman" w:hAnsi="Times New Roman"/>
          <w:sz w:val="18"/>
          <w:szCs w:val="18"/>
          <w:color w:val="auto"/>
        </w:rPr>
      </w:pPr>
    </w:p>
    <w:p>
      <w:pPr>
        <w:ind w:left="540" w:right="380" w:firstLine="360"/>
        <w:spacing w:after="0" w:line="258" w:lineRule="auto"/>
        <w:tabs>
          <w:tab w:leader="none" w:pos="11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Unincorporated Materials are properly inventoried, securely stored, protected against theft and damage at the Site or at such other location which has been specifically identified by its complete address to the Construction Consultant and the Disbursement Agent (or if the Company cannot provide the complete address of the current storage location, the Company shall list the name and complete address of the applicable contracting party supplying or manufacturing such Unincorporated Materials);</w:t>
      </w:r>
    </w:p>
    <w:p>
      <w:pPr>
        <w:spacing w:after="0" w:line="190" w:lineRule="exact"/>
        <w:rPr>
          <w:rFonts w:ascii="Times New Roman" w:cs="Times New Roman" w:eastAsia="Times New Roman" w:hAnsi="Times New Roman"/>
          <w:sz w:val="18"/>
          <w:szCs w:val="18"/>
          <w:color w:val="auto"/>
        </w:rPr>
      </w:pPr>
    </w:p>
    <w:p>
      <w:pPr>
        <w:ind w:left="540" w:right="40" w:firstLine="360"/>
        <w:spacing w:after="0" w:line="287" w:lineRule="auto"/>
        <w:tabs>
          <w:tab w:leader="none" w:pos="118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Unincorporated Materials as to which deposit or other partial payments have been made or will be made out of the requested Advance (but which have not been and will not be fully paid after giving effect to the requested Advance), (i) the Project Secured Parties have, or will have upon payment with the proceeds of the requested Advance, a perfected security interest in the Unincorporated Materials comprising portions of either the Resort Component or the FF&amp;E Component and/or Contract therefor, and (ii) the FF&amp;E Secured Parties have, or will have upon payment with the proceeds of the requested Advance, a perfected security interest in the Unincorporated Materials comprising portions of the FF&amp;E Component and/or any Contract therefor; in each case, with the priority therein contemplated by the Security Documents (and with respect to Unincorporated Materials not stored at the Site from a single or Affiliated suppliers (of which the Company is aware that such suppliers is an Affiliate) with a contract price (or expected aggregate amount to be paid in the case of "cost-plus" contracts) in excess of $5,000,000 (excluding items located outside of the United States or in transit from jurisdictions outside of the United States) or any Contracts with a contract price (or expected aggregate amount to be paid in the case of "cost plus" contracts) in excess of $5,000,000, the Company shall have executed and delivered to the Disbursement Agent such additional security documents (including, without limitation, financing statements, security agreements, collateral access agreements, consents of manufacturers, vendors, warehousemen and bailees) required by the laws of any jurisdiction necessary to grant the Secured Parties such security interest in such Unincorporated Materials or Contracts);</w:t>
      </w:r>
    </w:p>
    <w:p>
      <w:pPr>
        <w:spacing w:after="0" w:line="382" w:lineRule="exact"/>
        <w:rPr>
          <w:rFonts w:ascii="Times New Roman" w:cs="Times New Roman" w:eastAsia="Times New Roman" w:hAnsi="Times New Roman"/>
          <w:sz w:val="16"/>
          <w:szCs w:val="16"/>
          <w:color w:val="auto"/>
        </w:rPr>
      </w:pPr>
    </w:p>
    <w:p>
      <w:pPr>
        <w:ind w:left="1180" w:hanging="280"/>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insured against casualty, loss and theft for an amount equal to their replacement costs in accordance with </w:t>
      </w:r>
      <w:r>
        <w:rPr>
          <w:rFonts w:ascii="Times New Roman" w:cs="Times New Roman" w:eastAsia="Times New Roman" w:hAnsi="Times New Roman"/>
          <w:sz w:val="18"/>
          <w:szCs w:val="18"/>
          <w:i w:val="1"/>
          <w:iCs w:val="1"/>
          <w:color w:val="auto"/>
        </w:rPr>
        <w:t>Section 5.20;</w:t>
      </w:r>
    </w:p>
    <w:p>
      <w:pPr>
        <w:spacing w:after="0" w:line="227" w:lineRule="exact"/>
        <w:rPr>
          <w:rFonts w:ascii="Times New Roman" w:cs="Times New Roman" w:eastAsia="Times New Roman" w:hAnsi="Times New Roman"/>
          <w:sz w:val="18"/>
          <w:szCs w:val="18"/>
          <w:color w:val="auto"/>
        </w:rPr>
      </w:pPr>
    </w:p>
    <w:p>
      <w:pPr>
        <w:ind w:left="540" w:right="20" w:firstLine="360"/>
        <w:spacing w:after="0" w:line="275" w:lineRule="auto"/>
        <w:tabs>
          <w:tab w:leader="none" w:pos="12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Unincorporated Materials located at the Site but not expected to be incorporated into the Project within the ensuing calendar month at any time is not more than $10,000,000;</w:t>
      </w:r>
    </w:p>
    <w:p>
      <w:pPr>
        <w:spacing w:after="0" w:line="173" w:lineRule="exact"/>
        <w:rPr>
          <w:rFonts w:ascii="Times New Roman" w:cs="Times New Roman" w:eastAsia="Times New Roman" w:hAnsi="Times New Roman"/>
          <w:sz w:val="18"/>
          <w:szCs w:val="18"/>
          <w:color w:val="auto"/>
        </w:rPr>
      </w:pPr>
    </w:p>
    <w:p>
      <w:pPr>
        <w:ind w:left="5080" w:right="240" w:hanging="4180"/>
        <w:spacing w:after="0" w:line="525" w:lineRule="auto"/>
        <w:tabs>
          <w:tab w:leader="none" w:pos="11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paid by the Company in respect of Unincorporated Materials not at the Site at any one time is not more than $20,000,000; 41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1200" w:hanging="300"/>
        <w:spacing w:after="0"/>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contract deposits paid by the Company in respect of Unincorporated Materials at any one time is not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-569595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$30,000,000;</w:t>
      </w:r>
    </w:p>
    <w:p>
      <w:pPr>
        <w:spacing w:after="0" w:line="213" w:lineRule="exact"/>
        <w:rPr>
          <w:sz w:val="20"/>
          <w:szCs w:val="20"/>
          <w:color w:val="auto"/>
        </w:rPr>
      </w:pPr>
    </w:p>
    <w:p>
      <w:pPr>
        <w:jc w:val="both"/>
        <w:ind w:left="540" w:right="20" w:firstLine="360"/>
        <w:spacing w:after="0" w:line="262" w:lineRule="auto"/>
        <w:tabs>
          <w:tab w:leader="none" w:pos="12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shall have confirmed the accuracy of the certification required in subparagraph (c) above, and in connection therewith the Construction Consultant may, but shall not be required to, visit the site of and inspect the Unincorporated Materials at the Company's expense; and</w:t>
      </w:r>
    </w:p>
    <w:p>
      <w:pPr>
        <w:spacing w:after="0" w:line="186" w:lineRule="exact"/>
        <w:rPr>
          <w:rFonts w:ascii="Times New Roman" w:cs="Times New Roman" w:eastAsia="Times New Roman" w:hAnsi="Times New Roman"/>
          <w:sz w:val="18"/>
          <w:szCs w:val="18"/>
          <w:color w:val="auto"/>
        </w:rPr>
      </w:pPr>
    </w:p>
    <w:p>
      <w:pPr>
        <w:ind w:left="540" w:right="440" w:firstLine="360"/>
        <w:spacing w:after="0" w:line="275" w:lineRule="auto"/>
        <w:tabs>
          <w:tab w:leader="none" w:pos="12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Disbursement Agent and the Construction Consultant, at the request of the Company, may from time to time mutually agree to increase the thresholds set forth in </w:t>
      </w:r>
      <w:r>
        <w:rPr>
          <w:rFonts w:ascii="Times New Roman" w:cs="Times New Roman" w:eastAsia="Times New Roman" w:hAnsi="Times New Roman"/>
          <w:sz w:val="18"/>
          <w:szCs w:val="18"/>
          <w:i w:val="1"/>
          <w:iCs w:val="1"/>
          <w:color w:val="auto"/>
        </w:rPr>
        <w:t>Sections 3.3.26(f),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above.</w:t>
      </w:r>
    </w:p>
    <w:p>
      <w:pPr>
        <w:spacing w:after="0" w:line="172" w:lineRule="exact"/>
        <w:rPr>
          <w:sz w:val="20"/>
          <w:szCs w:val="20"/>
          <w:color w:val="auto"/>
        </w:rPr>
      </w:pPr>
    </w:p>
    <w:p>
      <w:pPr>
        <w:ind w:right="120" w:firstLine="351"/>
        <w:spacing w:after="0" w:line="290" w:lineRule="auto"/>
        <w:rPr>
          <w:sz w:val="20"/>
          <w:szCs w:val="20"/>
          <w:color w:val="auto"/>
        </w:rPr>
      </w:pPr>
      <w:r>
        <w:rPr>
          <w:rFonts w:ascii="Times New Roman" w:cs="Times New Roman" w:eastAsia="Times New Roman" w:hAnsi="Times New Roman"/>
          <w:sz w:val="16"/>
          <w:szCs w:val="16"/>
          <w:color w:val="auto"/>
        </w:rPr>
        <w:t xml:space="preserve">3.3.27 </w:t>
      </w:r>
      <w:r>
        <w:rPr>
          <w:rFonts w:ascii="Times New Roman" w:cs="Times New Roman" w:eastAsia="Times New Roman" w:hAnsi="Times New Roman"/>
          <w:sz w:val="16"/>
          <w:szCs w:val="16"/>
          <w:i w:val="1"/>
          <w:iCs w:val="1"/>
          <w:color w:val="auto"/>
        </w:rPr>
        <w:t>Cash Management Accounts.</w:t>
      </w:r>
      <w:r>
        <w:rPr>
          <w:rFonts w:ascii="Times New Roman" w:cs="Times New Roman" w:eastAsia="Times New Roman" w:hAnsi="Times New Roman"/>
          <w:sz w:val="16"/>
          <w:szCs w:val="16"/>
          <w:color w:val="auto"/>
        </w:rPr>
        <w:t xml:space="preserve"> With respect to an Advance Request which requests that funds be deposited in the Soft Costs Cash Management Account or the Hard Costs Cash Management Account, the Company shall have substantiated (a) to the Construction Consultant's satisfaction (as set forth in the Construction Consultant's Advance Certificate), in the manner contemplated by the Advance Request, that the amounts previously drawn by the Company from the Hard Costs Cash Management Account have been used to pay Hard Costs in accordance with the Project Budget and (b) to the Disbursement Agent's satisfaction, in the manner contemplated by the Advance Request, that amounts previously drawn by the Company from the Soft Costs Cash Management Account have been used to pay Soft Costs in accordance with the Project Budget. After giving effect to the requested Advance, the balance in the Soft Costs Cash Management Account will not exceed $2,500,000 and the Hard Costs Cash Management Account will not exceed $3,000,000 in each case, unless approved by the Disbursement Agent in accordance with </w:t>
      </w:r>
      <w:r>
        <w:rPr>
          <w:rFonts w:ascii="Times New Roman" w:cs="Times New Roman" w:eastAsia="Times New Roman" w:hAnsi="Times New Roman"/>
          <w:sz w:val="16"/>
          <w:szCs w:val="16"/>
          <w:i w:val="1"/>
          <w:iCs w:val="1"/>
          <w:color w:val="auto"/>
        </w:rPr>
        <w:t>Section 2.3.4.</w:t>
      </w:r>
    </w:p>
    <w:p>
      <w:pPr>
        <w:spacing w:after="0" w:line="166" w:lineRule="exact"/>
        <w:rPr>
          <w:sz w:val="20"/>
          <w:szCs w:val="20"/>
          <w:color w:val="auto"/>
        </w:rPr>
      </w:pPr>
    </w:p>
    <w:p>
      <w:pPr>
        <w:ind w:right="80" w:firstLine="351"/>
        <w:spacing w:after="0" w:line="312" w:lineRule="auto"/>
        <w:rPr>
          <w:sz w:val="20"/>
          <w:szCs w:val="20"/>
          <w:color w:val="auto"/>
        </w:rPr>
      </w:pPr>
      <w:r>
        <w:rPr>
          <w:rFonts w:ascii="Times New Roman" w:cs="Times New Roman" w:eastAsia="Times New Roman" w:hAnsi="Times New Roman"/>
          <w:sz w:val="16"/>
          <w:szCs w:val="16"/>
          <w:color w:val="auto"/>
        </w:rPr>
        <w:t xml:space="preserve">3.3.28 </w:t>
      </w:r>
      <w:r>
        <w:rPr>
          <w:rFonts w:ascii="Times New Roman" w:cs="Times New Roman" w:eastAsia="Times New Roman" w:hAnsi="Times New Roman"/>
          <w:sz w:val="16"/>
          <w:szCs w:val="16"/>
          <w:i w:val="1"/>
          <w:iCs w:val="1"/>
          <w:color w:val="auto"/>
        </w:rPr>
        <w:t>Company's Payment and Company's FF&amp;E Payment Accounts.</w:t>
      </w:r>
      <w:r>
        <w:rPr>
          <w:rFonts w:ascii="Times New Roman" w:cs="Times New Roman" w:eastAsia="Times New Roman" w:hAnsi="Times New Roman"/>
          <w:sz w:val="16"/>
          <w:szCs w:val="16"/>
          <w:color w:val="auto"/>
        </w:rPr>
        <w:t xml:space="preserve"> With respect to an Advance Request which requests that funds be deposited in the Company's Payment Account and/or the Company's FF&amp;E Payment Account, the Company shall have substantiated to the Construction Consultant's satisfaction (as set forth in the Construction Consultant's Advance Certificate), in the manner contemplated by the Advance Request, that the</w:t>
      </w:r>
    </w:p>
    <w:p>
      <w:pPr>
        <w:sectPr>
          <w:pgSz w:w="11900" w:h="16923" w:orient="portrait"/>
          <w:cols w:equalWidth="0" w:num="1">
            <w:col w:w="10880"/>
          </w:cols>
          <w:pgMar w:left="780" w:top="123" w:right="239" w:bottom="0" w:gutter="0" w:footer="0" w:header="0"/>
        </w:sectPr>
      </w:pPr>
    </w:p>
    <w:bookmarkStart w:id="32" w:name="page33"/>
    <w:bookmarkEnd w:id="32"/>
    <w:p>
      <w:pPr>
        <w:spacing w:after="0" w:line="49" w:lineRule="exact"/>
        <w:rPr>
          <w:sz w:val="20"/>
          <w:szCs w:val="20"/>
          <w:color w:val="auto"/>
        </w:rPr>
      </w:pPr>
    </w:p>
    <w:p>
      <w:pPr>
        <w:ind w:left="540" w:right="320"/>
        <w:spacing w:after="0" w:line="275" w:lineRule="auto"/>
        <w:rPr>
          <w:sz w:val="20"/>
          <w:szCs w:val="20"/>
          <w:color w:val="auto"/>
        </w:rPr>
      </w:pPr>
      <w:r>
        <w:rPr>
          <w:rFonts w:ascii="Times New Roman" w:cs="Times New Roman" w:eastAsia="Times New Roman" w:hAnsi="Times New Roman"/>
          <w:sz w:val="18"/>
          <w:szCs w:val="18"/>
          <w:color w:val="auto"/>
        </w:rPr>
        <w:t>amounts previously withdrawn by the Company from each such Account have been used to pay Project Costs in the amounts specified in the previous Advance Requests.</w:t>
      </w:r>
    </w:p>
    <w:p>
      <w:pPr>
        <w:spacing w:after="0" w:line="172" w:lineRule="exact"/>
        <w:rPr>
          <w:sz w:val="20"/>
          <w:szCs w:val="20"/>
          <w:color w:val="auto"/>
        </w:rPr>
      </w:pPr>
    </w:p>
    <w:p>
      <w:pPr>
        <w:ind w:left="540" w:right="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3.3.29 </w:t>
      </w:r>
      <w:r>
        <w:rPr>
          <w:rFonts w:ascii="Times New Roman" w:cs="Times New Roman" w:eastAsia="Times New Roman" w:hAnsi="Times New Roman"/>
          <w:sz w:val="18"/>
          <w:szCs w:val="18"/>
          <w:i w:val="1"/>
          <w:iCs w:val="1"/>
          <w:color w:val="auto"/>
        </w:rPr>
        <w:t>FF&amp;E Component.</w:t>
      </w:r>
      <w:r>
        <w:rPr>
          <w:rFonts w:ascii="Times New Roman" w:cs="Times New Roman" w:eastAsia="Times New Roman" w:hAnsi="Times New Roman"/>
          <w:sz w:val="18"/>
          <w:szCs w:val="18"/>
          <w:color w:val="auto"/>
        </w:rPr>
        <w:t xml:space="preserve"> At the time of any Advance Request for payment of Project Costs with respect to the FF&amp;E Component (including replacement of amounts previously withdrawn by the Company from the Soft Costs Cash Management Account and the Hard Costs Cash Management Account, to pay Project Costs allocated to the FF&amp;E Component), the Company shall have specified in such Advance Request the items of Eligible FF&amp;E Equipment that comprise the portion of the FF&amp;E Component for which payment is requested in such Advance Request and the FF&amp;E Lenders shall have approved (or deemed to have approved) such Eligible FF&amp;E Equipment in accordance with </w:t>
      </w:r>
      <w:r>
        <w:rPr>
          <w:rFonts w:ascii="Times New Roman" w:cs="Times New Roman" w:eastAsia="Times New Roman" w:hAnsi="Times New Roman"/>
          <w:sz w:val="18"/>
          <w:szCs w:val="18"/>
          <w:i w:val="1"/>
          <w:iCs w:val="1"/>
          <w:color w:val="auto"/>
        </w:rPr>
        <w:t>Section 2.4.1(e).</w:t>
      </w:r>
    </w:p>
    <w:p>
      <w:pPr>
        <w:spacing w:after="0" w:line="188" w:lineRule="exact"/>
        <w:rPr>
          <w:sz w:val="20"/>
          <w:szCs w:val="20"/>
          <w:color w:val="auto"/>
        </w:rPr>
      </w:pPr>
    </w:p>
    <w:p>
      <w:pPr>
        <w:ind w:left="540"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3.3.30 </w:t>
      </w:r>
      <w:r>
        <w:rPr>
          <w:rFonts w:ascii="Times New Roman" w:cs="Times New Roman" w:eastAsia="Times New Roman" w:hAnsi="Times New Roman"/>
          <w:sz w:val="18"/>
          <w:szCs w:val="18"/>
          <w:i w:val="1"/>
          <w:iCs w:val="1"/>
          <w:color w:val="auto"/>
        </w:rPr>
        <w:t>Suspension of Performance.</w:t>
      </w:r>
      <w:r>
        <w:rPr>
          <w:rFonts w:ascii="Times New Roman" w:cs="Times New Roman" w:eastAsia="Times New Roman" w:hAnsi="Times New Roman"/>
          <w:sz w:val="18"/>
          <w:szCs w:val="18"/>
          <w:color w:val="auto"/>
        </w:rPr>
        <w:t xml:space="preserve"> Construction of the Project is proceeding in accordance with the Project Schedule and the Final Plans and Specifications and no Major Project Participant or first tier Subcontractor under the Prime Construction Contract has suspended performance or otherwise repudiated its obligation to perform any duty or obligation under its respective Material Project Document or Subcontract (unless such suspended or repudiated Material Project Document or Subcontract is permitted to be, and actually has been, replaced, or a replacement is determined not to be necessary, pursuant to </w:t>
      </w:r>
      <w:r>
        <w:rPr>
          <w:rFonts w:ascii="Times New Roman" w:cs="Times New Roman" w:eastAsia="Times New Roman" w:hAnsi="Times New Roman"/>
          <w:sz w:val="18"/>
          <w:szCs w:val="18"/>
          <w:i w:val="1"/>
          <w:iCs w:val="1"/>
          <w:color w:val="auto"/>
        </w:rPr>
        <w:t>Section 7.1.6</w:t>
      </w:r>
      <w:r>
        <w:rPr>
          <w:rFonts w:ascii="Times New Roman" w:cs="Times New Roman" w:eastAsia="Times New Roman" w:hAnsi="Times New Roman"/>
          <w:sz w:val="18"/>
          <w:szCs w:val="18"/>
          <w:color w:val="auto"/>
        </w:rPr>
        <w:t xml:space="preserve"> (in the case of Contracts) or </w:t>
      </w:r>
      <w:r>
        <w:rPr>
          <w:rFonts w:ascii="Times New Roman" w:cs="Times New Roman" w:eastAsia="Times New Roman" w:hAnsi="Times New Roman"/>
          <w:sz w:val="18"/>
          <w:szCs w:val="18"/>
          <w:i w:val="1"/>
          <w:iCs w:val="1"/>
          <w:color w:val="auto"/>
        </w:rPr>
        <w:t>Section 7.1.7</w:t>
      </w:r>
      <w:r>
        <w:rPr>
          <w:rFonts w:ascii="Times New Roman" w:cs="Times New Roman" w:eastAsia="Times New Roman" w:hAnsi="Times New Roman"/>
          <w:sz w:val="18"/>
          <w:szCs w:val="18"/>
          <w:color w:val="auto"/>
        </w:rPr>
        <w:t xml:space="preserve"> (in the case of any other Material Project Document). The Disbursement Agent may rely upon the certification of the Company set forth in the relevant Advance Request, or if applicable, in the Company's Opening Date Certificate or Completion Certificate, in order to establish satisfaction of</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condition unless the Disbursement Agent shall have actual knowledge that the Company's certification is inaccurate.</w:t>
      </w:r>
    </w:p>
    <w:p>
      <w:pPr>
        <w:spacing w:after="0" w:line="223" w:lineRule="exact"/>
        <w:rPr>
          <w:sz w:val="20"/>
          <w:szCs w:val="20"/>
          <w:color w:val="auto"/>
        </w:rPr>
      </w:pPr>
    </w:p>
    <w:p>
      <w:pPr>
        <w:ind w:left="540" w:right="20" w:firstLine="351"/>
        <w:spacing w:after="0" w:line="293" w:lineRule="auto"/>
        <w:rPr>
          <w:sz w:val="20"/>
          <w:szCs w:val="20"/>
          <w:color w:val="auto"/>
        </w:rPr>
      </w:pPr>
      <w:r>
        <w:rPr>
          <w:rFonts w:ascii="Times New Roman" w:cs="Times New Roman" w:eastAsia="Times New Roman" w:hAnsi="Times New Roman"/>
          <w:sz w:val="16"/>
          <w:szCs w:val="16"/>
          <w:color w:val="auto"/>
        </w:rPr>
        <w:t xml:space="preserve">3.3.31 </w:t>
      </w:r>
      <w:r>
        <w:rPr>
          <w:rFonts w:ascii="Times New Roman" w:cs="Times New Roman" w:eastAsia="Times New Roman" w:hAnsi="Times New Roman"/>
          <w:sz w:val="16"/>
          <w:szCs w:val="16"/>
          <w:i w:val="1"/>
          <w:iCs w:val="1"/>
          <w:color w:val="auto"/>
        </w:rPr>
        <w:t>Intellectual Property.</w:t>
      </w:r>
      <w:r>
        <w:rPr>
          <w:rFonts w:ascii="Times New Roman" w:cs="Times New Roman" w:eastAsia="Times New Roman" w:hAnsi="Times New Roman"/>
          <w:sz w:val="16"/>
          <w:szCs w:val="16"/>
          <w:color w:val="auto"/>
        </w:rPr>
        <w:t xml:space="preserve"> Prior to the initial Advance of funds from the Second Mortgage Notes Proceeds Account, all action as is necessary to establish and perfect the Secured Parties' rights in and to all patents, trademarks, permits, service marks, trade names, copyrights, franchises, formulas, licenses and other rights with respect thereto, that are material to the operation of the Company's business as contemplated in the Operative Documents shall have been taken, including any recording, filing, registration, giving of notice or other similar action, the Bank Agent shall have received an opinion confirming the same from legal counsel to the Company in form and substance satisfactory to the Bank Agent, and the Indenture Trustee shall have received an opinion confirming the same from legal counsel to the Company substantially similar to the opinion delivered to the Bank Agent.</w:t>
      </w:r>
    </w:p>
    <w:p>
      <w:pPr>
        <w:spacing w:after="0" w:line="165" w:lineRule="exact"/>
        <w:rPr>
          <w:sz w:val="20"/>
          <w:szCs w:val="20"/>
          <w:color w:val="auto"/>
        </w:rPr>
      </w:pPr>
    </w:p>
    <w:p>
      <w:pPr>
        <w:ind w:left="540" w:right="1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3.3.32 </w:t>
      </w:r>
      <w:r>
        <w:rPr>
          <w:rFonts w:ascii="Times New Roman" w:cs="Times New Roman" w:eastAsia="Times New Roman" w:hAnsi="Times New Roman"/>
          <w:sz w:val="18"/>
          <w:szCs w:val="18"/>
          <w:i w:val="1"/>
          <w:iCs w:val="1"/>
          <w:color w:val="auto"/>
        </w:rPr>
        <w:t>Amendments to Organizational Documents.</w:t>
      </w:r>
      <w:r>
        <w:rPr>
          <w:rFonts w:ascii="Times New Roman" w:cs="Times New Roman" w:eastAsia="Times New Roman" w:hAnsi="Times New Roman"/>
          <w:sz w:val="18"/>
          <w:szCs w:val="18"/>
          <w:color w:val="auto"/>
        </w:rPr>
        <w:t xml:space="preserve"> Prior to the initial Advance of funds from the Second Mortgage Notes Proceeds Account, the organizational documents for the Loan Parties shall each be amended to include Desert Inn Improvement and the Completion Guarantor as "Restricted Entities" for the purposes of separateness covenants and company restrictions set forth therein.</w:t>
      </w:r>
    </w:p>
    <w:p>
      <w:pPr>
        <w:spacing w:after="0" w:line="181" w:lineRule="exact"/>
        <w:rPr>
          <w:sz w:val="20"/>
          <w:szCs w:val="20"/>
          <w:color w:val="auto"/>
        </w:rPr>
      </w:pPr>
    </w:p>
    <w:p>
      <w:pPr>
        <w:ind w:left="540" w:right="3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3.3.33 </w:t>
      </w:r>
      <w:r>
        <w:rPr>
          <w:rFonts w:ascii="Times New Roman" w:cs="Times New Roman" w:eastAsia="Times New Roman" w:hAnsi="Times New Roman"/>
          <w:sz w:val="18"/>
          <w:szCs w:val="18"/>
          <w:i w:val="1"/>
          <w:iCs w:val="1"/>
          <w:color w:val="auto"/>
        </w:rPr>
        <w:t>Other Documents.</w:t>
      </w:r>
      <w:r>
        <w:rPr>
          <w:rFonts w:ascii="Times New Roman" w:cs="Times New Roman" w:eastAsia="Times New Roman" w:hAnsi="Times New Roman"/>
          <w:sz w:val="18"/>
          <w:szCs w:val="18"/>
          <w:color w:val="auto"/>
        </w:rPr>
        <w:t xml:space="preserve"> The Disbursement Agent and each of the Bank Agent, the Representatives of the Underwriters and the FF&amp;E Agent shall have received such other documents and evidence as are customary for transactions of this type as each such Person may reasonably request in connection with the transactions contemplated hereby.</w:t>
      </w:r>
    </w:p>
    <w:p>
      <w:pPr>
        <w:spacing w:after="0" w:line="179"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b w:val="1"/>
          <w:bCs w:val="1"/>
          <w:i w:val="1"/>
          <w:iCs w:val="1"/>
          <w:color w:val="auto"/>
        </w:rPr>
        <w:t>No Waiver or Estoppel.</w:t>
      </w:r>
    </w:p>
    <w:p>
      <w:pPr>
        <w:spacing w:after="0" w:line="229" w:lineRule="exact"/>
        <w:rPr>
          <w:sz w:val="20"/>
          <w:szCs w:val="20"/>
          <w:color w:val="auto"/>
        </w:rPr>
      </w:pPr>
    </w:p>
    <w:p>
      <w:pPr>
        <w:ind w:left="540" w:right="80" w:firstLine="351"/>
        <w:spacing w:after="0" w:line="254" w:lineRule="auto"/>
        <w:rPr>
          <w:sz w:val="20"/>
          <w:szCs w:val="20"/>
          <w:color w:val="auto"/>
        </w:rPr>
      </w:pPr>
      <w:r>
        <w:rPr>
          <w:rFonts w:ascii="Times New Roman" w:cs="Times New Roman" w:eastAsia="Times New Roman" w:hAnsi="Times New Roman"/>
          <w:sz w:val="18"/>
          <w:szCs w:val="18"/>
          <w:color w:val="auto"/>
        </w:rPr>
        <w:t>3.4.1 The occurrence of Closing Date and making of any Advance hereunder shall not preclude any Funding Agent from later asserting that (and enforcing any remedies it may have if) any representation, warranty or certification made or deemed made by the Company in connection with such Advance was not true and accurate when made. No course of dealing or waiver by any Funding Agent or Secured Party in connection with any condition precedent to any Advance under this Agreement or any Facility Agreement shall impair any right, power or remedy of any such Funding Agent or Secured Party with respect to any other condition precedent, or be construed to be a waiver thereof; nor shall the action of any Funding Agent or Secured Party in respect of any Advance affect or impair any right, power or remedy of any Funding Agent or Secured Party in respect of any other Advance.</w:t>
      </w:r>
    </w:p>
    <w:p>
      <w:pPr>
        <w:spacing w:after="0" w:line="193" w:lineRule="exact"/>
        <w:rPr>
          <w:sz w:val="20"/>
          <w:szCs w:val="20"/>
          <w:color w:val="auto"/>
        </w:rPr>
      </w:pPr>
    </w:p>
    <w:p>
      <w:pPr>
        <w:ind w:left="540" w:right="200" w:firstLine="263"/>
        <w:spacing w:after="0" w:line="312" w:lineRule="auto"/>
        <w:rPr>
          <w:sz w:val="20"/>
          <w:szCs w:val="20"/>
          <w:color w:val="auto"/>
        </w:rPr>
      </w:pPr>
      <w:r>
        <w:rPr>
          <w:rFonts w:ascii="Times New Roman" w:cs="Times New Roman" w:eastAsia="Times New Roman" w:hAnsi="Times New Roman"/>
          <w:sz w:val="16"/>
          <w:szCs w:val="16"/>
          <w:color w:val="auto"/>
        </w:rPr>
        <w:t xml:space="preserve">3.4.2 Unless otherwise notified to the Company by a Funding Agent or Secured Party and without prejudice to the generality of </w:t>
      </w:r>
      <w:r>
        <w:rPr>
          <w:rFonts w:ascii="Times New Roman" w:cs="Times New Roman" w:eastAsia="Times New Roman" w:hAnsi="Times New Roman"/>
          <w:sz w:val="16"/>
          <w:szCs w:val="16"/>
          <w:i w:val="1"/>
          <w:iCs w:val="1"/>
          <w:color w:val="auto"/>
        </w:rPr>
        <w:t>Section 3.4.1,</w:t>
      </w:r>
      <w:r>
        <w:rPr>
          <w:rFonts w:ascii="Times New Roman" w:cs="Times New Roman" w:eastAsia="Times New Roman" w:hAnsi="Times New Roman"/>
          <w:sz w:val="16"/>
          <w:szCs w:val="16"/>
          <w:color w:val="auto"/>
        </w:rPr>
        <w:t xml:space="preserve"> the right of any Funding Agent or Secured Party to require compliance with any condition under this Agreement or its respective Facility Agreement which may be waived by such Funding Agent or Secured Party in respect of any Advance is expressly preserved for the purpose of any subsequent Advance.</w:t>
      </w:r>
    </w:p>
    <w:p>
      <w:pPr>
        <w:spacing w:after="0" w:line="145"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6"/>
          <w:szCs w:val="16"/>
          <w:b w:val="1"/>
          <w:bCs w:val="1"/>
          <w:i w:val="1"/>
          <w:iCs w:val="1"/>
          <w:color w:val="auto"/>
        </w:rPr>
        <w:t>Waiver of Conditions.</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From the initial funding of the Second Mortgage Notes through and until the amount remaining in the Second Mortgage Notes Proceeds Account equals but does not exceed the Second Mortgage Notes Interest Reserve Amount, the Indenture Trustee (acting under the Second Mortgage Notes Indenture) shall be entitled to waive the conditions precedent under </w:t>
      </w:r>
      <w:r>
        <w:rPr>
          <w:rFonts w:ascii="Times New Roman" w:cs="Times New Roman" w:eastAsia="Times New Roman" w:hAnsi="Times New Roman"/>
          <w:sz w:val="18"/>
          <w:szCs w:val="18"/>
          <w:i w:val="1"/>
          <w:iCs w:val="1"/>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3.3</w:t>
      </w:r>
      <w:r>
        <w:rPr>
          <w:rFonts w:ascii="Times New Roman" w:cs="Times New Roman" w:eastAsia="Times New Roman" w:hAnsi="Times New Roman"/>
          <w:sz w:val="18"/>
          <w:szCs w:val="18"/>
          <w:color w:val="auto"/>
        </w:rPr>
        <w:t xml:space="preserve"> of this Agreement with respect to Advances from the Second Mortgage Notes Proceeds Account and the Company's Funds Account without Bank Agent's or the FF&amp;E Agent's consent. Thereafter, the Bank Agent (acting under the Bank Credit Agreement) shall be entitled to waive the conditions precedent under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with respect to Advances under the Bank Credit Facility and from the Company's Funds Account without the Indenture Trustee's or the FF&amp;E Agent's consent. The FF&amp;E Agent (acting under the FF&amp;E Facility Agreement) shall at all times be entitled to waive the conditions precedent under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3.3 </w:t>
      </w:r>
      <w:r>
        <w:rPr>
          <w:rFonts w:ascii="Times New Roman" w:cs="Times New Roman" w:eastAsia="Times New Roman" w:hAnsi="Times New Roman"/>
          <w:sz w:val="18"/>
          <w:szCs w:val="18"/>
          <w:color w:val="auto"/>
        </w:rPr>
        <w:t>with respect to Advances under the FF&amp;E Facility without the Bank Agent's or the Indenture Trustee's consent.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ind w:right="80" w:firstLine="348"/>
        <w:spacing w:after="0" w:line="301" w:lineRule="auto"/>
        <w:rPr>
          <w:sz w:val="20"/>
          <w:szCs w:val="20"/>
          <w:color w:val="auto"/>
        </w:rPr>
      </w:pPr>
      <w:r>
        <w:rPr>
          <w:rFonts w:ascii="Times New Roman" w:cs="Times New Roman" w:eastAsia="Times New Roman" w:hAnsi="Times New Roman"/>
          <w:sz w:val="16"/>
          <w:szCs w:val="16"/>
          <w:color w:val="auto"/>
        </w:rPr>
        <w:t>The Company makes all of the following representations and warranties to and in favor of the Funding Agents, the Lenders and the Disbursement Agent as of the Closing Date and the date of each Advance, except as such representations relate to an earlier date (in which case such representations and warranties shall be true and correct in all material respects as of such earlier date). All of these representations and warranties shall survive the Closing Date and the Advances until, with respect to each Funding Agent and the Lenders, the Obligations under such Funding Agent's and Lenders' respective Facilities have been repaid in full</w:t>
      </w:r>
    </w:p>
    <w:p>
      <w:pPr>
        <w:sectPr>
          <w:pgSz w:w="11900" w:h="16888" w:orient="portrait"/>
          <w:cols w:equalWidth="0" w:num="1">
            <w:col w:w="11420"/>
          </w:cols>
          <w:pgMar w:left="240" w:top="125" w:right="239" w:bottom="0" w:gutter="0" w:footer="0" w:header="0"/>
        </w:sectPr>
      </w:pPr>
    </w:p>
    <w:bookmarkStart w:id="33" w:name="page34"/>
    <w:bookmarkEnd w:id="33"/>
    <w:p>
      <w:pPr>
        <w:ind w:right="280"/>
        <w:spacing w:after="0" w:line="275" w:lineRule="auto"/>
        <w:rPr>
          <w:sz w:val="20"/>
          <w:szCs w:val="20"/>
          <w:color w:val="auto"/>
        </w:rPr>
      </w:pPr>
      <w:r>
        <w:rPr>
          <w:rFonts w:ascii="Times New Roman" w:cs="Times New Roman" w:eastAsia="Times New Roman" w:hAnsi="Times New Roman"/>
          <w:sz w:val="18"/>
          <w:szCs w:val="18"/>
          <w:color w:val="auto"/>
        </w:rPr>
        <w:t>in immediately available funds and their respective Facility Agreements and the other respective Financing Agreements and the commitments thereunder have terminated.</w:t>
      </w:r>
    </w:p>
    <w:p>
      <w:pPr>
        <w:spacing w:after="0" w:line="170"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i w:val="1"/>
          <w:iCs w:val="1"/>
          <w:color w:val="auto"/>
        </w:rPr>
        <w:t>Organization.</w:t>
      </w:r>
      <w:r>
        <w:rPr>
          <w:rFonts w:ascii="Times New Roman" w:cs="Times New Roman" w:eastAsia="Times New Roman" w:hAnsi="Times New Roman"/>
          <w:sz w:val="18"/>
          <w:szCs w:val="18"/>
          <w:color w:val="auto"/>
        </w:rPr>
        <w:t xml:space="preserve"> Each of the Loan Parties is duly organized, validly existing and in good standing under the laws of the jurisdiction of its organization, has all requisite corporate or limited liability company power and authority to carry on its business as now conducted and (i) to own or hold under lease and operate the properties it purports to own or hold under lease, (ii) to carry on its business as now being conducted and as now proposed to be conducted in respect of the Project, (iii) to incur Indebtedness and create a Lien on its property, and (iv) to execute, deliver and perform under each of the Operative Documents to which it is a party.</w:t>
      </w:r>
    </w:p>
    <w:p>
      <w:pPr>
        <w:spacing w:after="0" w:line="18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i w:val="1"/>
          <w:iCs w:val="1"/>
          <w:color w:val="auto"/>
        </w:rPr>
        <w:t>Authorization; No Conflict.</w:t>
      </w:r>
      <w:r>
        <w:rPr>
          <w:rFonts w:ascii="Times New Roman" w:cs="Times New Roman" w:eastAsia="Times New Roman" w:hAnsi="Times New Roman"/>
          <w:sz w:val="18"/>
          <w:szCs w:val="18"/>
          <w:color w:val="auto"/>
        </w:rPr>
        <w:t xml:space="preserve"> Each of the Loan Parties has taken all necessary corporate or limited liability company action, as the case may be, to authorize the execution, delivery and performance of the Financing Agreements and the other Operative Documents to which it is a party, and neither the execution, delivery or performance thereof nor the consummation of the transactions contemplated thereby by each such Loan Party, (a) does or will contravene the formation documents or any other Legal Requirement then applicable to or binding on each such Loan Party, (b) does or will contravene or result in any breach or constitute any default under, or result in or require the creation of any Lien upon any of such Loan Party's properties or under any security or agreement or instrument to which such Loan Party is a party or by which it or any of its respective properties may be bound, except for Permitted Liens or (c) does or will require the consent or approval of any Person other than as set forth on </w:t>
      </w:r>
      <w:r>
        <w:rPr>
          <w:rFonts w:ascii="Times New Roman" w:cs="Times New Roman" w:eastAsia="Times New Roman" w:hAnsi="Times New Roman"/>
          <w:sz w:val="18"/>
          <w:szCs w:val="18"/>
          <w:i w:val="1"/>
          <w:iCs w:val="1"/>
          <w:color w:val="auto"/>
        </w:rPr>
        <w:t>Exhibit 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Exhibit M.</w:t>
      </w:r>
    </w:p>
    <w:p>
      <w:pPr>
        <w:spacing w:after="0" w:line="189" w:lineRule="exact"/>
        <w:rPr>
          <w:sz w:val="20"/>
          <w:szCs w:val="20"/>
          <w:color w:val="auto"/>
        </w:rPr>
      </w:pPr>
    </w:p>
    <w:p>
      <w:pPr>
        <w:ind w:right="100" w:firstLine="351"/>
        <w:spacing w:after="0" w:line="260"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i w:val="1"/>
          <w:iCs w:val="1"/>
          <w:color w:val="auto"/>
        </w:rPr>
        <w:t>Legality, Validity and Enforceability.</w:t>
      </w:r>
      <w:r>
        <w:rPr>
          <w:rFonts w:ascii="Times New Roman" w:cs="Times New Roman" w:eastAsia="Times New Roman" w:hAnsi="Times New Roman"/>
          <w:sz w:val="18"/>
          <w:szCs w:val="18"/>
          <w:color w:val="auto"/>
        </w:rPr>
        <w:t xml:space="preserve"> Each of the Operative Documents to which the Loan Parties are a party is a legal, valid and binding obligation of each such Loan Party, as the case may be, enforceable against the Loan Parties, as the case may be, in accordance with its terms, subject only to bankruptcy and similar laws and principles of equity. None of the Operative Documents to which the Loan Parties are a party has been amended or modified except in accordance with this Agreement.</w:t>
      </w:r>
    </w:p>
    <w:p>
      <w:pPr>
        <w:spacing w:after="0" w:line="183" w:lineRule="exact"/>
        <w:rPr>
          <w:sz w:val="20"/>
          <w:szCs w:val="20"/>
          <w:color w:val="auto"/>
        </w:rPr>
      </w:pPr>
    </w:p>
    <w:p>
      <w:pPr>
        <w:ind w:right="240" w:firstLine="351"/>
        <w:spacing w:after="0" w:line="260"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i w:val="1"/>
          <w:iCs w:val="1"/>
          <w:color w:val="auto"/>
        </w:rPr>
        <w:t>Compliance with Law, Permits and Operative Documents.</w:t>
      </w:r>
      <w:r>
        <w:rPr>
          <w:rFonts w:ascii="Times New Roman" w:cs="Times New Roman" w:eastAsia="Times New Roman" w:hAnsi="Times New Roman"/>
          <w:sz w:val="18"/>
          <w:szCs w:val="18"/>
          <w:color w:val="auto"/>
        </w:rPr>
        <w:t xml:space="preserve"> Each Loan Party is in compliance with all Legal Requirements (including all Environmental Laws) and Permits and Operative Documents to which it is a party, and no notices of violation of any Permit or Operative Document relating to the Project have been issued, entered or received by any Loan Party, in each case, except for non-compliance or violations that could not, in the aggregate, reasonably be expected to have a Material Adverse Effect.</w:t>
      </w:r>
    </w:p>
    <w:p>
      <w:pPr>
        <w:spacing w:after="0" w:line="183" w:lineRule="exact"/>
        <w:rPr>
          <w:sz w:val="20"/>
          <w:szCs w:val="20"/>
          <w:color w:val="auto"/>
        </w:rPr>
      </w:pPr>
    </w:p>
    <w:p>
      <w:pPr>
        <w:ind w:right="200" w:firstLine="351"/>
        <w:spacing w:after="0" w:line="26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xml:space="preserve"> There are no Permits that are required or will become required under existing Legal Requirements for the ownership, development, construction, financing or operation of the Project, other than the Permits described in </w:t>
      </w:r>
      <w:r>
        <w:rPr>
          <w:rFonts w:ascii="Times New Roman" w:cs="Times New Roman" w:eastAsia="Times New Roman" w:hAnsi="Times New Roman"/>
          <w:sz w:val="18"/>
          <w:szCs w:val="18"/>
          <w:i w:val="1"/>
          <w:iCs w:val="1"/>
          <w:color w:val="auto"/>
        </w:rPr>
        <w:t>Exhibit M. Exhibit M</w:t>
      </w:r>
      <w:r>
        <w:rPr>
          <w:rFonts w:ascii="Times New Roman" w:cs="Times New Roman" w:eastAsia="Times New Roman" w:hAnsi="Times New Roman"/>
          <w:sz w:val="18"/>
          <w:szCs w:val="18"/>
          <w:color w:val="auto"/>
        </w:rPr>
        <w:t xml:space="preserve"> accurately states the stage in construction by which each such Permit is required to be obtained. Each Permit described in </w:t>
      </w:r>
      <w:r>
        <w:rPr>
          <w:rFonts w:ascii="Times New Roman" w:cs="Times New Roman" w:eastAsia="Times New Roman" w:hAnsi="Times New Roman"/>
          <w:sz w:val="18"/>
          <w:szCs w:val="18"/>
          <w:i w:val="1"/>
          <w:iCs w:val="1"/>
          <w:color w:val="auto"/>
        </w:rPr>
        <w:t>Exhibit 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as required to be obtained by the date that this representation is deemed to be made is in full force and effect and is not at such time subject to any appeals or further proceedings or to any unsatisfied condition (that is required to be satisfied by the date that this representation is deemed to be made) that could reasonably be expected to materially and adversely modify any Permit, to revoke any Permit, to restrain or prevent the construction or operation of the Project or otherwise impose adverse conditions on the Project or the financing contemplated under the Financing Agreements. Each Permit described in </w:t>
      </w:r>
      <w:r>
        <w:rPr>
          <w:rFonts w:ascii="Times New Roman" w:cs="Times New Roman" w:eastAsia="Times New Roman" w:hAnsi="Times New Roman"/>
          <w:sz w:val="18"/>
          <w:szCs w:val="18"/>
          <w:i w:val="1"/>
          <w:iCs w:val="1"/>
          <w:color w:val="auto"/>
        </w:rPr>
        <w:t>Exhibit M</w:t>
      </w:r>
      <w:r>
        <w:rPr>
          <w:rFonts w:ascii="Times New Roman" w:cs="Times New Roman" w:eastAsia="Times New Roman" w:hAnsi="Times New Roman"/>
          <w:sz w:val="18"/>
          <w:szCs w:val="18"/>
          <w:color w:val="auto"/>
        </w:rPr>
        <w:t xml:space="preserve"> as not required to have been obtained by the date that this representation is deemed to be made (other than the gaming license) is of a type that is routinely granted on application and compliance with the conditions for issuance. The Company has no reason to believe that any Permit so indicated will not be obtained before it becomes necessary for the ownership, development, construction, financing or operation of the Project or that obtaining such Permit will result in undue expense or delay. Neither the Company nor any of its Affiliates are in violation of any condition in any Permit the effect of which could reasonably be expected to have a Material Adverse Effect.</w:t>
      </w:r>
    </w:p>
    <w:p>
      <w:pPr>
        <w:spacing w:after="0" w:line="193" w:lineRule="exact"/>
        <w:rPr>
          <w:sz w:val="20"/>
          <w:szCs w:val="20"/>
          <w:color w:val="auto"/>
        </w:rPr>
      </w:pPr>
    </w:p>
    <w:p>
      <w:pPr>
        <w:ind w:right="20" w:firstLine="351"/>
        <w:spacing w:after="0" w:line="26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 xml:space="preserve"> There are no pending or, to the Company's knowledge, threatened actions, suits, proceedings or investigations of any kind, including actions or proceedings of or before any Governmental Authority, to which any Loan Party or Major Project Participant (other than any Loan Party) is a party or is subject, or by which any of them or any of their properties or the Project are bound that could reasonably be expected to have a Material Adverse Effect nor, is the Company aware of any reasonable basis for any such action, suit, proceeding or investigation.</w:t>
      </w:r>
    </w:p>
    <w:p>
      <w:pPr>
        <w:spacing w:after="0" w:line="183"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b w:val="1"/>
          <w:bCs w:val="1"/>
          <w:i w:val="1"/>
          <w:iCs w:val="1"/>
          <w:color w:val="auto"/>
        </w:rPr>
        <w:t>Financial Statements.</w:t>
      </w:r>
    </w:p>
    <w:p>
      <w:pPr>
        <w:spacing w:after="0" w:line="229" w:lineRule="exact"/>
        <w:rPr>
          <w:sz w:val="20"/>
          <w:szCs w:val="20"/>
          <w:color w:val="auto"/>
        </w:rPr>
      </w:pPr>
    </w:p>
    <w:p>
      <w:pPr>
        <w:ind w:left="540" w:firstLine="263"/>
        <w:spacing w:after="0" w:line="252" w:lineRule="auto"/>
        <w:rPr>
          <w:sz w:val="20"/>
          <w:szCs w:val="20"/>
          <w:color w:val="auto"/>
        </w:rPr>
      </w:pPr>
      <w:r>
        <w:rPr>
          <w:rFonts w:ascii="Times New Roman" w:cs="Times New Roman" w:eastAsia="Times New Roman" w:hAnsi="Times New Roman"/>
          <w:sz w:val="18"/>
          <w:szCs w:val="18"/>
          <w:color w:val="auto"/>
        </w:rPr>
        <w:t xml:space="preserve">4.7.1 The consolidated and consolidating financial statements of Valvino and its consolidated Subsidiaries (including Wynn Las Vegas and its consolidated Subsidiaries), delivered to the Lenders pursuant to </w:t>
      </w:r>
      <w:r>
        <w:rPr>
          <w:rFonts w:ascii="Times New Roman" w:cs="Times New Roman" w:eastAsia="Times New Roman" w:hAnsi="Times New Roman"/>
          <w:sz w:val="18"/>
          <w:szCs w:val="18"/>
          <w:i w:val="1"/>
          <w:iCs w:val="1"/>
          <w:color w:val="auto"/>
        </w:rPr>
        <w:t>Section 3.1.16</w:t>
      </w:r>
      <w:r>
        <w:rPr>
          <w:rFonts w:ascii="Times New Roman" w:cs="Times New Roman" w:eastAsia="Times New Roman" w:hAnsi="Times New Roman"/>
          <w:sz w:val="18"/>
          <w:szCs w:val="18"/>
          <w:color w:val="auto"/>
        </w:rPr>
        <w:t xml:space="preserve"> on the Closing Date, were, and, in the case of financial statements to be delivered after the Closing Date pursuant to </w:t>
      </w:r>
      <w:r>
        <w:rPr>
          <w:rFonts w:ascii="Times New Roman" w:cs="Times New Roman" w:eastAsia="Times New Roman" w:hAnsi="Times New Roman"/>
          <w:sz w:val="18"/>
          <w:szCs w:val="18"/>
          <w:i w:val="1"/>
          <w:iCs w:val="1"/>
          <w:color w:val="auto"/>
        </w:rPr>
        <w:t>Section 5.6.5,</w:t>
      </w:r>
      <w:r>
        <w:rPr>
          <w:rFonts w:ascii="Times New Roman" w:cs="Times New Roman" w:eastAsia="Times New Roman" w:hAnsi="Times New Roman"/>
          <w:sz w:val="18"/>
          <w:szCs w:val="18"/>
          <w:color w:val="auto"/>
        </w:rPr>
        <w:t xml:space="preserve"> will be, prepared in conformity with GAAP and fairly present in all material respects the financial position (on a consolidated and consolidating basis) of the entities described in such financial statements as of the respective dates thereof and the results of operations and cash flows (on a consolidated and consolidating basis) of the entities described therein for each of the periods then ended, subject, in the case of any such unaudited financial statements, to changes resulting from audit and normal year-end adjustments. All such financial statements, including the related schedules and notes thereto, have been prepared in accordance with GAAP applied consistently throughout the periods involved (except as approved by the firm of accountants mentioned in the Bank Credit Agreement and disclosed in such financial statements). Valvino and its Subsidiaries do not have any material "Guarantee Obligations" (as defined in the Bank Credit Agreement), contingent liabilities and liabilities for taxes, or any long-term 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 and that are required to be reflected in such financial statements. During the period from June 30, 2002 to and including the Closing Date there has been no "</w:t>
      </w:r>
      <w:r>
        <w:rPr>
          <w:rFonts w:ascii="Times New Roman" w:cs="Times New Roman" w:eastAsia="Times New Roman" w:hAnsi="Times New Roman"/>
          <w:sz w:val="18"/>
          <w:szCs w:val="18"/>
          <w:i w:val="1"/>
          <w:iCs w:val="1"/>
          <w:color w:val="auto"/>
        </w:rPr>
        <w:t>Disposition</w:t>
      </w:r>
      <w:r>
        <w:rPr>
          <w:rFonts w:ascii="Times New Roman" w:cs="Times New Roman" w:eastAsia="Times New Roman" w:hAnsi="Times New Roman"/>
          <w:sz w:val="18"/>
          <w:szCs w:val="18"/>
          <w:color w:val="auto"/>
        </w:rPr>
        <w:t>" (as defined in the Bank Credit Agreement), by Valvino or any of its Subsidiaries of any material part of its business or property except any Disposition in connection with the transactions contemplated by the initial public offering of the stock of Wynn Resorts, Limited or the Operative Documents.</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4.7.2 Since December 31, 2001, there has been no development or event that has or could reasonably be expected to have a Material Adverse Effect.</w:t>
      </w:r>
    </w:p>
    <w:p>
      <w:pPr>
        <w:spacing w:after="0" w:line="244"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6"/>
          <w:szCs w:val="16"/>
          <w:b w:val="1"/>
          <w:bCs w:val="1"/>
          <w:i w:val="1"/>
          <w:iCs w:val="1"/>
          <w:color w:val="auto"/>
        </w:rPr>
        <w:t>Security Interests.</w:t>
      </w:r>
    </w:p>
    <w:p>
      <w:pPr>
        <w:spacing w:after="0" w:line="229" w:lineRule="exact"/>
        <w:rPr>
          <w:sz w:val="20"/>
          <w:szCs w:val="20"/>
          <w:color w:val="auto"/>
        </w:rPr>
      </w:pPr>
    </w:p>
    <w:p>
      <w:pPr>
        <w:ind w:left="540" w:right="480" w:firstLine="359"/>
        <w:spacing w:after="0" w:line="339" w:lineRule="auto"/>
        <w:tabs>
          <w:tab w:leader="none" w:pos="117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interests granted to the Secured Parties pursuant to the Security Documents in the Project Security (i) constitute as to personal property included in the Project Security and, with respect to subsequently acquired personal property included in the Project Security, will</w:t>
      </w:r>
    </w:p>
    <w:p>
      <w:pPr>
        <w:sectPr>
          <w:pgSz w:w="11900" w:h="16838" w:orient="portrait"/>
          <w:cols w:equalWidth="0" w:num="1">
            <w:col w:w="11420"/>
          </w:cols>
          <w:pgMar w:left="240" w:top="125" w:right="239" w:bottom="0" w:gutter="0" w:footer="0" w:header="0"/>
        </w:sectPr>
      </w:pPr>
    </w:p>
    <w:bookmarkStart w:id="34" w:name="page35"/>
    <w:bookmarkEnd w:id="34"/>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84" w:lineRule="auto"/>
        <w:rPr>
          <w:sz w:val="20"/>
          <w:szCs w:val="20"/>
          <w:color w:val="auto"/>
        </w:rPr>
      </w:pPr>
      <w:r>
        <w:rPr>
          <w:rFonts w:ascii="Times New Roman" w:cs="Times New Roman" w:eastAsia="Times New Roman" w:hAnsi="Times New Roman"/>
          <w:sz w:val="16"/>
          <w:szCs w:val="16"/>
          <w:color w:val="auto"/>
        </w:rPr>
        <w:t>constitute, a perfected security interest under the UCC and/or other applicable law and (ii) have, and, with respect to such subsequently acquired property, will have been perfected under the UCC and/or other applicable law as aforesaid, and (A) as among the Secured Parties, with the priority contemplated by the Project Lenders Intercreditor Agreement and the FF&amp;E Intercreditor Agreement and (B) as between the Secured Parties and any third Persons, grant the Secured Parties superior priority and rights over the rights of any such third Persons now existing or hereafter arising whether by way of mortgage, lien, security interests, encumbrance, assignment or otherwise, subject to the rights and priorities of Permitted Liens. All such action as is necessary has been taken to establish and perfect the Secured Parties' rights in and to the Project Security, including any recording, filing, registration, giving of notice or other similar action (other than perfection of the Project Secured Parties' lien in any motor vehicles, which shall be accomplished within fifteen</w:t>
      </w:r>
    </w:p>
    <w:p>
      <w:pPr>
        <w:spacing w:after="0" w:line="1" w:lineRule="exact"/>
        <w:rPr>
          <w:sz w:val="20"/>
          <w:szCs w:val="20"/>
          <w:color w:val="auto"/>
        </w:rPr>
      </w:pPr>
    </w:p>
    <w:p>
      <w:pPr>
        <w:ind w:left="540" w:right="80" w:firstLine="8"/>
        <w:spacing w:after="0" w:line="251" w:lineRule="auto"/>
        <w:tabs>
          <w:tab w:leader="none" w:pos="8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Closing Date and perfection in foreign trademarks which shall be accomplished to the extent required under </w:t>
      </w:r>
      <w:r>
        <w:rPr>
          <w:rFonts w:ascii="Times New Roman" w:cs="Times New Roman" w:eastAsia="Times New Roman" w:hAnsi="Times New Roman"/>
          <w:sz w:val="18"/>
          <w:szCs w:val="18"/>
          <w:i w:val="1"/>
          <w:iCs w:val="1"/>
          <w:color w:val="auto"/>
        </w:rPr>
        <w:t>Section 3.3.31</w:t>
      </w:r>
      <w:r>
        <w:rPr>
          <w:rFonts w:ascii="Times New Roman" w:cs="Times New Roman" w:eastAsia="Times New Roman" w:hAnsi="Times New Roman"/>
          <w:sz w:val="18"/>
          <w:szCs w:val="18"/>
          <w:color w:val="auto"/>
        </w:rPr>
        <w:t xml:space="preserve"> prior to the initial Advance of funds from the Second Mortgage Notes Proceeds Account). As of the Closing Date, no filing, recordation, re-filing or re-recording other than as listed on </w:t>
      </w:r>
      <w:r>
        <w:rPr>
          <w:rFonts w:ascii="Times New Roman" w:cs="Times New Roman" w:eastAsia="Times New Roman" w:hAnsi="Times New Roman"/>
          <w:sz w:val="18"/>
          <w:szCs w:val="18"/>
          <w:i w:val="1"/>
          <w:iCs w:val="1"/>
          <w:color w:val="auto"/>
        </w:rPr>
        <w:t>Exhibit P</w:t>
      </w:r>
      <w:r>
        <w:rPr>
          <w:rFonts w:ascii="Times New Roman" w:cs="Times New Roman" w:eastAsia="Times New Roman" w:hAnsi="Times New Roman"/>
          <w:sz w:val="18"/>
          <w:szCs w:val="18"/>
          <w:color w:val="auto"/>
        </w:rPr>
        <w:t xml:space="preserve"> is necessary to perfect and maintain the perfection of the interest, title or Liens of the Security Documents, and on the Closing Date all such filings or recordings will have been made (other than perfection of the Project Secured Parties' lien in any motor vehicles, which shall be accomplished within fifteen (15) days after the Closing Date and perfection in foreign trademarks which shall be accomplished to the extent required under </w:t>
      </w:r>
      <w:r>
        <w:rPr>
          <w:rFonts w:ascii="Times New Roman" w:cs="Times New Roman" w:eastAsia="Times New Roman" w:hAnsi="Times New Roman"/>
          <w:sz w:val="18"/>
          <w:szCs w:val="18"/>
          <w:i w:val="1"/>
          <w:iCs w:val="1"/>
          <w:color w:val="auto"/>
        </w:rPr>
        <w:t>Section 3.3.31</w:t>
      </w:r>
      <w:r>
        <w:rPr>
          <w:rFonts w:ascii="Times New Roman" w:cs="Times New Roman" w:eastAsia="Times New Roman" w:hAnsi="Times New Roman"/>
          <w:sz w:val="18"/>
          <w:szCs w:val="18"/>
          <w:color w:val="auto"/>
        </w:rPr>
        <w:t xml:space="preserve"> prior to the initial Advance of funds from the Second Mortgage Notes Proceeds Account) except for any filings or recordings for Liens as to which the Title Insurer has issued or committed to issue a title policy acceptable to the Funding Agents. The Loan Parties have properly delivered or caused to be delivered to the Disbursement Agent all Project Security that requires perfection of the Lien and security interest described above by possession.</w:t>
      </w:r>
    </w:p>
    <w:p>
      <w:pPr>
        <w:spacing w:after="0" w:line="200" w:lineRule="exact"/>
        <w:rPr>
          <w:rFonts w:ascii="Times New Roman" w:cs="Times New Roman" w:eastAsia="Times New Roman" w:hAnsi="Times New Roman"/>
          <w:sz w:val="18"/>
          <w:szCs w:val="18"/>
          <w:color w:val="auto"/>
        </w:rPr>
      </w:pPr>
    </w:p>
    <w:p>
      <w:pPr>
        <w:ind w:left="540" w:firstLine="359"/>
        <w:spacing w:after="0" w:line="296" w:lineRule="auto"/>
        <w:tabs>
          <w:tab w:leader="none" w:pos="118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authorization, approval or other action by, and no notice to or filing with, any Governmental Authority is required for either (i) the pledge or grant by the Loan Parties of the Liens purported to be created in favor of the Secured Parties pursuant to any of the Security Documents, or (ii) the exercise by the Disbursement Agent, or the other Secured Parties of any rights or remedies in respect of any Project Security (whether specifically granted or created pursuant to any of the Security Documents or created or provided for by applicable law), except for filings or recordings contemplated by </w:t>
      </w:r>
      <w:r>
        <w:rPr>
          <w:rFonts w:ascii="Times New Roman" w:cs="Times New Roman" w:eastAsia="Times New Roman" w:hAnsi="Times New Roman"/>
          <w:sz w:val="16"/>
          <w:szCs w:val="16"/>
          <w:i w:val="1"/>
          <w:iCs w:val="1"/>
          <w:color w:val="auto"/>
        </w:rPr>
        <w:t xml:space="preserve">Section 4.8(a) </w:t>
      </w:r>
      <w:r>
        <w:rPr>
          <w:rFonts w:ascii="Times New Roman" w:cs="Times New Roman" w:eastAsia="Times New Roman" w:hAnsi="Times New Roman"/>
          <w:sz w:val="16"/>
          <w:szCs w:val="16"/>
          <w:color w:val="auto"/>
        </w:rPr>
        <w:t>above or as set forth on</w:t>
      </w:r>
      <w:r>
        <w:rPr>
          <w:rFonts w:ascii="Times New Roman" w:cs="Times New Roman" w:eastAsia="Times New Roman" w:hAnsi="Times New Roman"/>
          <w:sz w:val="16"/>
          <w:szCs w:val="16"/>
          <w:i w:val="1"/>
          <w:iCs w:val="1"/>
          <w:color w:val="auto"/>
        </w:rPr>
        <w:t xml:space="preserve"> Exhibit P </w:t>
      </w:r>
      <w:r>
        <w:rPr>
          <w:rFonts w:ascii="Times New Roman" w:cs="Times New Roman" w:eastAsia="Times New Roman" w:hAnsi="Times New Roman"/>
          <w:sz w:val="16"/>
          <w:szCs w:val="16"/>
          <w:color w:val="auto"/>
        </w:rPr>
        <w:t>(as the same may be updated from time to time by the Company and delivered to the Funding Agents).</w:t>
      </w:r>
    </w:p>
    <w:p>
      <w:pPr>
        <w:spacing w:after="0" w:line="159" w:lineRule="exact"/>
        <w:rPr>
          <w:rFonts w:ascii="Times New Roman" w:cs="Times New Roman" w:eastAsia="Times New Roman" w:hAnsi="Times New Roman"/>
          <w:sz w:val="16"/>
          <w:szCs w:val="16"/>
          <w:color w:val="auto"/>
        </w:rPr>
      </w:pPr>
    </w:p>
    <w:p>
      <w:pPr>
        <w:ind w:left="540" w:right="20" w:firstLine="359"/>
        <w:spacing w:after="0" w:line="264" w:lineRule="auto"/>
        <w:tabs>
          <w:tab w:leader="none" w:pos="11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such as may have been filed in favor of the Funding Agents as contemplated by </w:t>
      </w:r>
      <w:r>
        <w:rPr>
          <w:rFonts w:ascii="Times New Roman" w:cs="Times New Roman" w:eastAsia="Times New Roman" w:hAnsi="Times New Roman"/>
          <w:sz w:val="18"/>
          <w:szCs w:val="18"/>
          <w:i w:val="1"/>
          <w:iCs w:val="1"/>
          <w:color w:val="auto"/>
        </w:rPr>
        <w:t>Section 4.8(a)</w:t>
      </w:r>
      <w:r>
        <w:rPr>
          <w:rFonts w:ascii="Times New Roman" w:cs="Times New Roman" w:eastAsia="Times New Roman" w:hAnsi="Times New Roman"/>
          <w:sz w:val="18"/>
          <w:szCs w:val="18"/>
          <w:color w:val="auto"/>
        </w:rPr>
        <w:t xml:space="preserve"> above or as set forth on </w:t>
      </w:r>
      <w:r>
        <w:rPr>
          <w:rFonts w:ascii="Times New Roman" w:cs="Times New Roman" w:eastAsia="Times New Roman" w:hAnsi="Times New Roman"/>
          <w:sz w:val="18"/>
          <w:szCs w:val="18"/>
          <w:i w:val="1"/>
          <w:iCs w:val="1"/>
          <w:color w:val="auto"/>
        </w:rPr>
        <w:t>Exhibit P,</w:t>
      </w:r>
      <w:r>
        <w:rPr>
          <w:rFonts w:ascii="Times New Roman" w:cs="Times New Roman" w:eastAsia="Times New Roman" w:hAnsi="Times New Roman"/>
          <w:sz w:val="18"/>
          <w:szCs w:val="18"/>
          <w:color w:val="auto"/>
        </w:rPr>
        <w:t xml:space="preserve"> no effective UCC financing statement, fixture filing or other instrument similar in effect covering all or any part of the Project Security is on file in any filing or recording office.</w:t>
      </w:r>
    </w:p>
    <w:p>
      <w:pPr>
        <w:spacing w:after="0" w:line="183" w:lineRule="exact"/>
        <w:rPr>
          <w:rFonts w:ascii="Times New Roman" w:cs="Times New Roman" w:eastAsia="Times New Roman" w:hAnsi="Times New Roman"/>
          <w:sz w:val="18"/>
          <w:szCs w:val="18"/>
          <w:color w:val="auto"/>
        </w:rPr>
      </w:pPr>
    </w:p>
    <w:p>
      <w:pPr>
        <w:ind w:left="540" w:right="240" w:firstLine="359"/>
        <w:spacing w:after="0" w:line="275" w:lineRule="auto"/>
        <w:tabs>
          <w:tab w:leader="none" w:pos="11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supplied to the Disbursement Agent and the Funding Agents by or on behalf of the Loan Parties or any of their Affiliates with respect to any of the Project Security is accurate and complete in all material respects.</w:t>
      </w:r>
    </w:p>
    <w:p>
      <w:pPr>
        <w:spacing w:after="0" w:line="170" w:lineRule="exact"/>
        <w:rPr>
          <w:sz w:val="20"/>
          <w:szCs w:val="20"/>
          <w:color w:val="auto"/>
        </w:rPr>
      </w:pPr>
    </w:p>
    <w:p>
      <w:pPr>
        <w:ind w:right="28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i w:val="1"/>
          <w:iCs w:val="1"/>
          <w:color w:val="auto"/>
        </w:rPr>
        <w:t>Existing Defaults.</w:t>
      </w:r>
      <w:r>
        <w:rPr>
          <w:rFonts w:ascii="Times New Roman" w:cs="Times New Roman" w:eastAsia="Times New Roman" w:hAnsi="Times New Roman"/>
          <w:sz w:val="18"/>
          <w:szCs w:val="18"/>
          <w:color w:val="auto"/>
        </w:rPr>
        <w:t xml:space="preserve"> There is no default or event of default under any of the Financing Agreements or Material Project Documents and no Potential Event of Default or Event of Default hereunder.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6"/>
          <w:szCs w:val="16"/>
          <w:b w:val="1"/>
          <w:bCs w:val="1"/>
          <w:i w:val="1"/>
          <w:iCs w:val="1"/>
          <w:color w:val="auto"/>
        </w:rPr>
        <w:t>Taxes.</w:t>
      </w:r>
    </w:p>
    <w:p>
      <w:pPr>
        <w:spacing w:after="0" w:line="229" w:lineRule="exact"/>
        <w:rPr>
          <w:sz w:val="20"/>
          <w:szCs w:val="20"/>
          <w:color w:val="auto"/>
        </w:rPr>
      </w:pPr>
    </w:p>
    <w:p>
      <w:pPr>
        <w:ind w:left="540" w:firstLine="176"/>
        <w:spacing w:after="0" w:line="256" w:lineRule="auto"/>
        <w:rPr>
          <w:sz w:val="20"/>
          <w:szCs w:val="20"/>
          <w:color w:val="auto"/>
        </w:rPr>
      </w:pPr>
      <w:r>
        <w:rPr>
          <w:rFonts w:ascii="Times New Roman" w:cs="Times New Roman" w:eastAsia="Times New Roman" w:hAnsi="Times New Roman"/>
          <w:sz w:val="18"/>
          <w:szCs w:val="18"/>
          <w:color w:val="auto"/>
        </w:rPr>
        <w:t>4.10.1 The Company has filed, or caused to be filed, all tax and informational returns that are required to have been filed by it in any jurisdiction, and has paid all taxes shown to be due and payable on such returns and all other taxes and assessments payable by it, to the extent the same have become due and payable (other than (x) those taxes that it is contesting in good faith and by appropriate proceedings and (y) those taxes not yet due, provided that with respect to each of clause (x) and (y) the Company has established reserves therefor by allocating, in the Anticipated Cost Report amounts that are adequate for the payment thereof and are required by GAAP).</w:t>
      </w:r>
    </w:p>
    <w:p>
      <w:pPr>
        <w:spacing w:after="0" w:line="193" w:lineRule="exact"/>
        <w:rPr>
          <w:sz w:val="20"/>
          <w:szCs w:val="20"/>
          <w:color w:val="auto"/>
        </w:rPr>
      </w:pPr>
    </w:p>
    <w:p>
      <w:pPr>
        <w:ind w:left="540" w:right="120" w:firstLine="176"/>
        <w:spacing w:after="0" w:line="339" w:lineRule="auto"/>
        <w:rPr>
          <w:sz w:val="20"/>
          <w:szCs w:val="20"/>
          <w:color w:val="auto"/>
        </w:rPr>
      </w:pPr>
      <w:r>
        <w:rPr>
          <w:rFonts w:ascii="Times New Roman" w:cs="Times New Roman" w:eastAsia="Times New Roman" w:hAnsi="Times New Roman"/>
          <w:sz w:val="16"/>
          <w:szCs w:val="16"/>
          <w:color w:val="auto"/>
        </w:rPr>
        <w:t xml:space="preserve">4.10.2 The Company has not incurred any material tax liability in connection with the Project or the other transactions contemplated by the Operative Documents which has not been disclosed in writing to the Funding Agents, including the financial statements delivered under </w:t>
      </w:r>
      <w:r>
        <w:rPr>
          <w:rFonts w:ascii="Times New Roman" w:cs="Times New Roman" w:eastAsia="Times New Roman" w:hAnsi="Times New Roman"/>
          <w:sz w:val="16"/>
          <w:szCs w:val="16"/>
          <w:i w:val="1"/>
          <w:iCs w:val="1"/>
          <w:color w:val="auto"/>
        </w:rPr>
        <w:t>Section 5.6.5.</w:t>
      </w:r>
    </w:p>
    <w:p>
      <w:pPr>
        <w:spacing w:after="0" w:line="124" w:lineRule="exact"/>
        <w:rPr>
          <w:sz w:val="20"/>
          <w:szCs w:val="20"/>
          <w:color w:val="auto"/>
        </w:rPr>
      </w:pPr>
    </w:p>
    <w:p>
      <w:pPr>
        <w:ind w:right="200" w:firstLine="351"/>
        <w:spacing w:after="0" w:line="345"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b w:val="1"/>
          <w:bCs w:val="1"/>
          <w:i w:val="1"/>
          <w:iCs w:val="1"/>
          <w:color w:val="auto"/>
        </w:rPr>
        <w:t>Business, Debt, Etc.</w:t>
      </w:r>
      <w:r>
        <w:rPr>
          <w:rFonts w:ascii="Times New Roman" w:cs="Times New Roman" w:eastAsia="Times New Roman" w:hAnsi="Times New Roman"/>
          <w:sz w:val="16"/>
          <w:szCs w:val="16"/>
          <w:color w:val="auto"/>
        </w:rPr>
        <w:t xml:space="preserve"> None of Wynn Las Vegas, Capital Corp. and Wynn Design has conducted any business other than a Permitted Business. The Company has no outstanding Indebtedness other than Indebtedness incurred under the Financing Agreements or permitted under the Financing Agreements.</w:t>
      </w:r>
    </w:p>
    <w:p>
      <w:pPr>
        <w:spacing w:after="0" w:line="119"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i w:val="1"/>
          <w:iCs w:val="1"/>
          <w:color w:val="auto"/>
        </w:rPr>
        <w:t>Representations and Warranties.</w:t>
      </w:r>
      <w:r>
        <w:rPr>
          <w:rFonts w:ascii="Times New Roman" w:cs="Times New Roman" w:eastAsia="Times New Roman" w:hAnsi="Times New Roman"/>
          <w:sz w:val="18"/>
          <w:szCs w:val="18"/>
          <w:color w:val="auto"/>
        </w:rPr>
        <w:t xml:space="preserve"> As of the Closing Date (in each case except to the extent related to a different date in which case such representations and warranties shall be true and correct in all material respects as of such earlier date), all representations and warranties of each Loan Party and, to the Company's knowledge, each Major Project Participant (other than any Loan Party) contained in the Financing Agreements and/or Material Project Documents, as applicable, are true and correct in all material respects and the Company hereby confirms each such representation and warranty of the Company with the same effect as if set forth in full herein.</w:t>
      </w:r>
    </w:p>
    <w:p>
      <w:pPr>
        <w:spacing w:after="0" w:line="188" w:lineRule="exact"/>
        <w:rPr>
          <w:sz w:val="20"/>
          <w:szCs w:val="20"/>
          <w:color w:val="auto"/>
        </w:rPr>
      </w:pPr>
    </w:p>
    <w:p>
      <w:pPr>
        <w:ind w:right="60" w:firstLine="351"/>
        <w:spacing w:after="0" w:line="265"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xml:space="preserve"> The Loan Parties: (i) are, and within the period of all applicable statutes of limitation have been, in material compliance with all applicable Environmental Laws; and (ii) reasonably believe that material compliance with all applicable Environmental Law that is or is expected to become applicable to any of them will be timely attained and maintained.</w:t>
      </w:r>
    </w:p>
    <w:p>
      <w:pPr>
        <w:spacing w:after="0" w:line="183" w:lineRule="exact"/>
        <w:rPr>
          <w:sz w:val="20"/>
          <w:szCs w:val="20"/>
          <w:color w:val="auto"/>
        </w:rPr>
      </w:pPr>
    </w:p>
    <w:p>
      <w:pPr>
        <w:ind w:left="540" w:right="140" w:firstLine="359"/>
        <w:spacing w:after="0" w:line="255" w:lineRule="auto"/>
        <w:tabs>
          <w:tab w:leader="none" w:pos="11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reasonably be expected to (i) give rise to liability of any of the Loan Parties under any applicable Environmental Law or otherwise result in costs to any of the Loan Parties that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93" w:lineRule="exact"/>
        <w:rPr>
          <w:rFonts w:ascii="Times New Roman" w:cs="Times New Roman" w:eastAsia="Times New Roman" w:hAnsi="Times New Roman"/>
          <w:sz w:val="18"/>
          <w:szCs w:val="18"/>
          <w:color w:val="auto"/>
        </w:rPr>
      </w:pPr>
    </w:p>
    <w:p>
      <w:pPr>
        <w:ind w:left="540" w:right="100" w:firstLine="359"/>
        <w:spacing w:after="0" w:line="310" w:lineRule="auto"/>
        <w:tabs>
          <w:tab w:leader="none" w:pos="11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to which any of the Loan Parties is, or to the knowledge of the Company will be, named as a party that is pending or, to the knowledge of the Company, threatened.</w:t>
      </w:r>
    </w:p>
    <w:p>
      <w:pPr>
        <w:spacing w:after="0" w:line="151" w:lineRule="exact"/>
        <w:rPr>
          <w:rFonts w:ascii="Times New Roman" w:cs="Times New Roman" w:eastAsia="Times New Roman" w:hAnsi="Times New Roman"/>
          <w:sz w:val="16"/>
          <w:szCs w:val="16"/>
          <w:color w:val="auto"/>
        </w:rPr>
      </w:pPr>
    </w:p>
    <w:p>
      <w:pPr>
        <w:ind w:left="540" w:right="100" w:firstLine="359"/>
        <w:spacing w:after="0" w:line="275" w:lineRule="auto"/>
        <w:tabs>
          <w:tab w:leader="none" w:pos="11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has received any written request for information, or been notified that it is a potentially responsible party, under or relating to the federal Comprehensive Environmental Response, Compensation, and Liability Act or any similar Environmental Law.</w:t>
      </w:r>
    </w:p>
    <w:p>
      <w:pPr>
        <w:sectPr>
          <w:pgSz w:w="11900" w:h="16844" w:orient="portrait"/>
          <w:cols w:equalWidth="0" w:num="1">
            <w:col w:w="11400"/>
          </w:cols>
          <w:pgMar w:left="240" w:top="125" w:right="259" w:bottom="0" w:gutter="0" w:footer="0" w:header="0"/>
        </w:sectPr>
      </w:pPr>
    </w:p>
    <w:bookmarkStart w:id="35" w:name="page36"/>
    <w:bookmarkEnd w:id="35"/>
    <w:p>
      <w:pPr>
        <w:ind w:left="540" w:right="180" w:firstLine="359"/>
        <w:spacing w:after="0" w:line="275"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spacing w:after="0" w:line="275" w:lineRule="auto"/>
        <w:rPr>
          <w:sz w:val="20"/>
          <w:szCs w:val="20"/>
          <w:color w:val="auto"/>
        </w:rPr>
      </w:pPr>
      <w:r>
        <w:rPr>
          <w:rFonts w:ascii="Times New Roman" w:cs="Times New Roman" w:eastAsia="Times New Roman" w:hAnsi="Times New Roman"/>
          <w:sz w:val="18"/>
          <w:szCs w:val="18"/>
          <w:color w:val="auto"/>
        </w:rPr>
        <w:t>agreement, in any judicial, administrative, arbitral, or other forum for dispute resolution, relating to compliance with or liability under any Environmental Law or Environmental Claim.</w:t>
      </w:r>
    </w:p>
    <w:p>
      <w:pPr>
        <w:spacing w:after="0" w:line="174" w:lineRule="exact"/>
        <w:rPr>
          <w:sz w:val="20"/>
          <w:szCs w:val="20"/>
          <w:color w:val="auto"/>
        </w:rPr>
      </w:pPr>
    </w:p>
    <w:p>
      <w:pPr>
        <w:ind w:left="540" w:right="280" w:firstLine="359"/>
        <w:spacing w:after="0" w:line="262" w:lineRule="auto"/>
        <w:tabs>
          <w:tab w:leader="none" w:pos="11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186" w:lineRule="exact"/>
        <w:rPr>
          <w:rFonts w:ascii="Times New Roman" w:cs="Times New Roman" w:eastAsia="Times New Roman" w:hAnsi="Times New Roman"/>
          <w:sz w:val="18"/>
          <w:szCs w:val="18"/>
          <w:color w:val="auto"/>
        </w:rPr>
      </w:pPr>
    </w:p>
    <w:p>
      <w:pPr>
        <w:ind w:left="540" w:right="80" w:firstLine="359"/>
        <w:spacing w:after="0" w:line="258" w:lineRule="auto"/>
        <w:tabs>
          <w:tab w:leader="none" w:pos="12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individually or in the aggregate reasonably be expected to have a Material Adverse Effect, (i) Hazardous Materials Activities are not presently occurring, and, to the Company's knowledge,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186" w:lineRule="exact"/>
        <w:rPr>
          <w:sz w:val="20"/>
          <w:szCs w:val="20"/>
          <w:color w:val="auto"/>
        </w:rPr>
      </w:pPr>
    </w:p>
    <w:p>
      <w:pPr>
        <w:ind w:right="26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i w:val="1"/>
          <w:iCs w:val="1"/>
          <w:color w:val="auto"/>
        </w:rPr>
        <w:t>Utilities.</w:t>
      </w:r>
      <w:r>
        <w:rPr>
          <w:rFonts w:ascii="Times New Roman" w:cs="Times New Roman" w:eastAsia="Times New Roman" w:hAnsi="Times New Roman"/>
          <w:sz w:val="18"/>
          <w:szCs w:val="18"/>
          <w:color w:val="auto"/>
        </w:rPr>
        <w:t xml:space="preserve"> All utility services necessary for the construction and the operation of the Project for its intended purposes are or will be available at the Site as and when required on commercially reasonable terms.</w:t>
      </w:r>
    </w:p>
    <w:p>
      <w:pPr>
        <w:spacing w:after="0" w:line="165" w:lineRule="exact"/>
        <w:rPr>
          <w:sz w:val="20"/>
          <w:szCs w:val="20"/>
          <w:color w:val="auto"/>
        </w:rPr>
      </w:pPr>
    </w:p>
    <w:p>
      <w:pPr>
        <w:ind w:left="360"/>
        <w:spacing w:after="0"/>
        <w:tabs>
          <w:tab w:leader="none" w:pos="820" w:val="left"/>
          <w:tab w:leader="none" w:pos="282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i w:val="1"/>
          <w:iCs w:val="1"/>
          <w:color w:val="auto"/>
        </w:rPr>
        <w:t>In Balance Requirement.</w:t>
      </w:r>
      <w:r>
        <w:rPr>
          <w:sz w:val="20"/>
          <w:szCs w:val="20"/>
          <w:color w:val="auto"/>
        </w:rPr>
        <w:tab/>
      </w:r>
      <w:r>
        <w:rPr>
          <w:rFonts w:ascii="Times New Roman" w:cs="Times New Roman" w:eastAsia="Times New Roman" w:hAnsi="Times New Roman"/>
          <w:sz w:val="16"/>
          <w:szCs w:val="16"/>
          <w:color w:val="auto"/>
        </w:rPr>
        <w:t>As of each Advance Date the Project is In Balance.</w:t>
      </w:r>
    </w:p>
    <w:p>
      <w:pPr>
        <w:spacing w:after="0" w:line="225"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6"/>
          <w:szCs w:val="16"/>
          <w:b w:val="1"/>
          <w:bCs w:val="1"/>
          <w:i w:val="1"/>
          <w:iCs w:val="1"/>
          <w:color w:val="auto"/>
        </w:rPr>
        <w:t>Sufficiency of Interests and Project Documents.</w:t>
      </w:r>
    </w:p>
    <w:p>
      <w:pPr>
        <w:spacing w:after="0" w:line="229" w:lineRule="exact"/>
        <w:rPr>
          <w:sz w:val="20"/>
          <w:szCs w:val="20"/>
          <w:color w:val="auto"/>
        </w:rPr>
      </w:pPr>
    </w:p>
    <w:p>
      <w:pPr>
        <w:ind w:left="540" w:right="20" w:firstLine="176"/>
        <w:spacing w:after="0" w:line="254" w:lineRule="auto"/>
        <w:rPr>
          <w:sz w:val="20"/>
          <w:szCs w:val="20"/>
          <w:color w:val="auto"/>
        </w:rPr>
      </w:pPr>
      <w:r>
        <w:rPr>
          <w:rFonts w:ascii="Times New Roman" w:cs="Times New Roman" w:eastAsia="Times New Roman" w:hAnsi="Times New Roman"/>
          <w:sz w:val="18"/>
          <w:szCs w:val="18"/>
          <w:color w:val="auto"/>
        </w:rPr>
        <w:t>4.16.1 Wynn Las Vegas owns the Site and the Site Easements (other than the Mortgaged Property encumbered or to be encumbered by Valvino, Palo, Wynn Resorts Holdings and Desert Inn Improvement) in fee simple. Wynn Las Vegas has a valid leasehold estate or easement interest, as the case may be, in the portions of the Site described in the Affiliate Real Estate Agreements. Wynn Resorts Holdings owns the Golf Course Land, Palo owns the Palo Home Site Land, Desert Inn Improvement owns the Water Utility Land and Valvino owns the Phase II Land, in each case, in fee simple. Other than those services to be performed and materials to be supplied that can be reasonably expected to be commercially available when and as required, the Company owns or holds under lease all of the property interests and has entered into all documents and agreements necessary to develop, construct, complete, own and operate the Project (including access to sufficient water rights) on the Mortgaged Property and in accordance with all Legal Requirements and the Project Schedule and as contemplated in the Operative Documents.</w:t>
      </w:r>
    </w:p>
    <w:p>
      <w:pPr>
        <w:spacing w:after="0" w:line="192" w:lineRule="exact"/>
        <w:rPr>
          <w:sz w:val="20"/>
          <w:szCs w:val="20"/>
          <w:color w:val="auto"/>
        </w:rPr>
      </w:pPr>
    </w:p>
    <w:p>
      <w:pPr>
        <w:ind w:left="540" w:firstLine="176"/>
        <w:spacing w:after="0" w:line="254" w:lineRule="auto"/>
        <w:rPr>
          <w:sz w:val="20"/>
          <w:szCs w:val="20"/>
          <w:color w:val="auto"/>
        </w:rPr>
      </w:pPr>
      <w:r>
        <w:rPr>
          <w:rFonts w:ascii="Times New Roman" w:cs="Times New Roman" w:eastAsia="Times New Roman" w:hAnsi="Times New Roman"/>
          <w:sz w:val="18"/>
          <w:szCs w:val="18"/>
          <w:color w:val="auto"/>
        </w:rPr>
        <w:t xml:space="preserve">4.16.2 Each of the Funding Agents has received a true, complete and correct copy of each of the Material Project Documents in effect or required to be in effect as of the date this representation is made or deemed made (including all exhibits, schedules, side letters and disclosure letters referred to therein or delivered pursuant thereto, if any). A list of (a) all Project Documents that are Contracts and (b) all other Material Project Documents, in each case, that have been entered into as of the Closing Date and are necessary to the construction or operation of the Project (excluding Contracts entered into in the ordinary course of business for services or materials that are easily obtained from replacement contractors or vendors on similar terms) is attached hereto as </w:t>
      </w:r>
      <w:r>
        <w:rPr>
          <w:rFonts w:ascii="Times New Roman" w:cs="Times New Roman" w:eastAsia="Times New Roman" w:hAnsi="Times New Roman"/>
          <w:sz w:val="18"/>
          <w:szCs w:val="18"/>
          <w:i w:val="1"/>
          <w:iCs w:val="1"/>
          <w:color w:val="auto"/>
        </w:rPr>
        <w:t>Exhibit U.</w:t>
      </w:r>
      <w:r>
        <w:rPr>
          <w:rFonts w:ascii="Times New Roman" w:cs="Times New Roman" w:eastAsia="Times New Roman" w:hAnsi="Times New Roman"/>
          <w:sz w:val="18"/>
          <w:szCs w:val="18"/>
          <w:color w:val="auto"/>
        </w:rPr>
        <w:t xml:space="preserve"> Each Material Project Document is in full force and effect, enforceable against the Persons party thereto in accordance with its terms, subject only to bankruptcy and similar laws and principles of equity.</w:t>
      </w:r>
    </w:p>
    <w:p>
      <w:pPr>
        <w:spacing w:after="0" w:line="195" w:lineRule="exact"/>
        <w:rPr>
          <w:sz w:val="20"/>
          <w:szCs w:val="20"/>
          <w:color w:val="auto"/>
        </w:rPr>
      </w:pPr>
    </w:p>
    <w:p>
      <w:pPr>
        <w:ind w:left="540" w:right="20" w:firstLine="176"/>
        <w:spacing w:after="0" w:line="258" w:lineRule="auto"/>
        <w:rPr>
          <w:sz w:val="20"/>
          <w:szCs w:val="20"/>
          <w:color w:val="auto"/>
        </w:rPr>
      </w:pPr>
      <w:r>
        <w:rPr>
          <w:rFonts w:ascii="Times New Roman" w:cs="Times New Roman" w:eastAsia="Times New Roman" w:hAnsi="Times New Roman"/>
          <w:sz w:val="18"/>
          <w:szCs w:val="18"/>
          <w:color w:val="auto"/>
        </w:rPr>
        <w:t>4.16.3 All conditions precedent to the obligations of the respective parties (other than the Company) under the Material Project Documents have been satisfied, except for such conditions precedent which by their terms cannot be met until a later stage in the construction or operation of the Project, and the Company has no reason to believe that any such condition precedent which could reasonably be expected to have a Material Adverse Effect cannot be satisfied on or prior to the appropriate stage in the development, construction or operation of the Project.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xml:space="preserve"> The Company owns or has the right to use all patents, trademarks, permits, service marks, trade names, copyrights, franchises, formulas, licenses and other rights with respect thereto, that are necessary for the operation of its business as contemplated in the Operative Documents, except where failure to obtain such rights could not reasonably be expected to result in a Material Adverse Effect. Nothing has come to the attention of the Company to the effect that any product, process, method, substance, part or other material presently contemplated to be sold by or employed by the Company in connection with its business will infringe any license or other right owned by any other Person.</w:t>
      </w:r>
    </w:p>
    <w:p>
      <w:pPr>
        <w:spacing w:after="0" w:line="188"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6"/>
          <w:szCs w:val="16"/>
          <w:b w:val="1"/>
          <w:bCs w:val="1"/>
          <w:i w:val="1"/>
          <w:iCs w:val="1"/>
          <w:color w:val="auto"/>
        </w:rPr>
        <w:t>Project Budget; Summary Anticipated Cost Report.</w:t>
      </w:r>
    </w:p>
    <w:p>
      <w:pPr>
        <w:spacing w:after="0" w:line="229" w:lineRule="exact"/>
        <w:rPr>
          <w:sz w:val="20"/>
          <w:szCs w:val="20"/>
          <w:color w:val="auto"/>
        </w:rPr>
      </w:pPr>
    </w:p>
    <w:p>
      <w:pPr>
        <w:ind w:left="540" w:right="100" w:firstLine="176"/>
        <w:spacing w:after="0" w:line="285" w:lineRule="auto"/>
        <w:rPr>
          <w:sz w:val="20"/>
          <w:szCs w:val="20"/>
          <w:color w:val="auto"/>
        </w:rPr>
      </w:pPr>
      <w:r>
        <w:rPr>
          <w:rFonts w:ascii="Times New Roman" w:cs="Times New Roman" w:eastAsia="Times New Roman" w:hAnsi="Times New Roman"/>
          <w:sz w:val="16"/>
          <w:szCs w:val="16"/>
          <w:color w:val="auto"/>
        </w:rPr>
        <w:t>4.18.1 The Project Budget (a) is, to the Company's knowledge as of the Closing Date, based on reasonable assumptions as to all legal and factual matters material to the estimates set forth therein, (b) as of the Closing Date is consistent with the provisions of the Operative Documents in all material respects, (c) has been and will be prepared in good faith and with due care, (d) as of the Closing Date sets forth, for each Line Item Category, the total costs anticipated to be incurred to achieve Completion on or before the Scheduled Completion Date and to achieve Final Completion promptly thereafter,</w:t>
      </w:r>
    </w:p>
    <w:p>
      <w:pPr>
        <w:spacing w:after="0" w:line="3" w:lineRule="exact"/>
        <w:rPr>
          <w:sz w:val="20"/>
          <w:szCs w:val="20"/>
          <w:color w:val="auto"/>
        </w:rPr>
      </w:pPr>
    </w:p>
    <w:p>
      <w:pPr>
        <w:ind w:left="540" w:right="180" w:firstLine="8"/>
        <w:spacing w:after="0" w:line="261" w:lineRule="auto"/>
        <w:tabs>
          <w:tab w:leader="none" w:pos="7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represents the Company's expectation as to the matters covered thereby as of its date, and (f) as of the Closing Date sets forth a total amount of Project Costs, including contingencies, which is equal to the Available Funds.</w:t>
      </w:r>
    </w:p>
    <w:p>
      <w:pPr>
        <w:spacing w:after="0" w:line="186" w:lineRule="exact"/>
        <w:rPr>
          <w:sz w:val="20"/>
          <w:szCs w:val="20"/>
          <w:color w:val="auto"/>
        </w:rPr>
      </w:pPr>
    </w:p>
    <w:p>
      <w:pPr>
        <w:ind w:left="540" w:right="20" w:firstLine="176"/>
        <w:spacing w:after="0" w:line="258" w:lineRule="auto"/>
        <w:rPr>
          <w:sz w:val="20"/>
          <w:szCs w:val="20"/>
          <w:color w:val="auto"/>
        </w:rPr>
      </w:pPr>
      <w:r>
        <w:rPr>
          <w:rFonts w:ascii="Times New Roman" w:cs="Times New Roman" w:eastAsia="Times New Roman" w:hAnsi="Times New Roman"/>
          <w:sz w:val="18"/>
          <w:szCs w:val="18"/>
          <w:color w:val="auto"/>
        </w:rPr>
        <w:t xml:space="preserve">4.18.2 The aggregate anticipated costs to complete the "Work" (as defined in the Prime Construction Contract) as set forth in the anticipated cost report to be provided (from time to time) by the Prime Contractor to the Company under </w:t>
      </w:r>
      <w:r>
        <w:rPr>
          <w:rFonts w:ascii="Times New Roman" w:cs="Times New Roman" w:eastAsia="Times New Roman" w:hAnsi="Times New Roman"/>
          <w:sz w:val="18"/>
          <w:szCs w:val="18"/>
          <w:i w:val="1"/>
          <w:iCs w:val="1"/>
          <w:color w:val="auto"/>
        </w:rPr>
        <w:t>Section 7.5.4</w:t>
      </w:r>
      <w:r>
        <w:rPr>
          <w:rFonts w:ascii="Times New Roman" w:cs="Times New Roman" w:eastAsia="Times New Roman" w:hAnsi="Times New Roman"/>
          <w:sz w:val="18"/>
          <w:szCs w:val="18"/>
          <w:color w:val="auto"/>
        </w:rPr>
        <w:t xml:space="preserve"> of the Prime Construction Contract and as reasonably approved by the Construction Consultant, is not less than the amount set forth in the amount set forth in column I ("Anticipated Cost") of the "Marnell Corrao GMP Contract" Line Item Category in the Summary Anticipated Cost Report.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4.18.3 The Summary Anticipated Cost Report (as in effect from time to time) sets forth in column I ("Anticipated Cost") thereof:</w:t>
      </w:r>
    </w:p>
    <w:p>
      <w:pPr>
        <w:sectPr>
          <w:pgSz w:w="11900" w:h="16838" w:orient="portrait"/>
          <w:cols w:equalWidth="0" w:num="1">
            <w:col w:w="11420"/>
          </w:cols>
          <w:pgMar w:left="240" w:top="125" w:right="239" w:bottom="0" w:gutter="0" w:footer="0" w:header="0"/>
        </w:sectPr>
      </w:pPr>
    </w:p>
    <w:bookmarkStart w:id="36" w:name="page37"/>
    <w:bookmarkEnd w:id="36"/>
    <w:p>
      <w:pPr>
        <w:ind w:left="1080" w:right="100" w:firstLine="360"/>
        <w:spacing w:after="0" w:line="275" w:lineRule="auto"/>
        <w:tabs>
          <w:tab w:leader="none" w:pos="17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"Capitalized Interest and Commitment Fees" Line Item Category, the total amount of interest and commitment fees anticipated to be accrued on the Facilities through the Scheduled Completion Date;</w:t>
      </w:r>
    </w:p>
    <w:p>
      <w:pPr>
        <w:spacing w:after="0" w:line="173" w:lineRule="exact"/>
        <w:rPr>
          <w:rFonts w:ascii="Times New Roman" w:cs="Times New Roman" w:eastAsia="Times New Roman" w:hAnsi="Times New Roman"/>
          <w:sz w:val="18"/>
          <w:szCs w:val="18"/>
          <w:color w:val="auto"/>
        </w:rPr>
      </w:pPr>
    </w:p>
    <w:p>
      <w:pPr>
        <w:ind w:left="1080" w:right="360" w:firstLine="360"/>
        <w:spacing w:after="0" w:line="275" w:lineRule="auto"/>
        <w:tabs>
          <w:tab w:leader="none" w:pos="17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Line Item Category, an aggregate amount equal to the aggregate amount set forth for such Line Item Category in the Project Budget then in effect;</w:t>
      </w:r>
    </w:p>
    <w:p>
      <w:pPr>
        <w:spacing w:after="0" w:line="173" w:lineRule="exact"/>
        <w:rPr>
          <w:rFonts w:ascii="Times New Roman" w:cs="Times New Roman" w:eastAsia="Times New Roman" w:hAnsi="Times New Roman"/>
          <w:sz w:val="18"/>
          <w:szCs w:val="18"/>
          <w:color w:val="auto"/>
        </w:rPr>
      </w:pPr>
    </w:p>
    <w:p>
      <w:pPr>
        <w:ind w:left="1080" w:right="140" w:firstLine="360"/>
        <w:spacing w:after="0" w:line="255" w:lineRule="auto"/>
        <w:tabs>
          <w:tab w:leader="none" w:pos="17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Line Item Category other than the "Construction Contingency" Line Item Category, an amount no less than the total anticipated costs to be incurred by the Company from the commencement through the completion of the work contemplated by such Line Item Category, as determined by the Company and (i) with respect to Hard Costs, approved by the Construction Consultant in the Construction Consultant's certificate dated the date on which this representation is made or deemed made and (ii) with respect to Soft Costs, approved by the Disbursement Agent. The Disbursement Agent shall be entitled to rely on certifications to such effect from the Company or the Construction Consultant in approving any determination made by the Company; and</w:t>
      </w:r>
    </w:p>
    <w:p>
      <w:pPr>
        <w:spacing w:after="0" w:line="193"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true and correct in all material respects.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4.18.4 The Anticipated Cost Report (as in effect from time to time):</w:t>
      </w:r>
    </w:p>
    <w:p>
      <w:pPr>
        <w:spacing w:after="0" w:line="225" w:lineRule="exact"/>
        <w:rPr>
          <w:sz w:val="20"/>
          <w:szCs w:val="20"/>
          <w:color w:val="auto"/>
        </w:rPr>
      </w:pPr>
    </w:p>
    <w:p>
      <w:pPr>
        <w:ind w:left="1080" w:firstLine="360"/>
        <w:spacing w:after="0" w:line="262" w:lineRule="auto"/>
        <w:tabs>
          <w:tab w:leader="none" w:pos="17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in column I ("Anticipated Cost") thereof, for each Line Item other than the "Hard Cost Construction Contingency" and the "Soft Cost Construction Contingency" Line Items, an amount no less than the total anticipated costs to be incurred by the Company from the commencement through the completion of the work contemplated by such Line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58" w:lineRule="auto"/>
        <w:rPr>
          <w:sz w:val="20"/>
          <w:szCs w:val="20"/>
          <w:color w:val="auto"/>
        </w:rPr>
      </w:pPr>
      <w:r>
        <w:rPr>
          <w:rFonts w:ascii="Times New Roman" w:cs="Times New Roman" w:eastAsia="Times New Roman" w:hAnsi="Times New Roman"/>
          <w:sz w:val="18"/>
          <w:szCs w:val="18"/>
          <w:color w:val="auto"/>
        </w:rPr>
        <w:t>Item, as determined by the Company and (i) with respect to Hard Costs, approved by the Construction Consultant in the Construction Consultant's certificate dated the date on which this representation is made or deemed made and (ii) with respect to Soft Costs, approved by the Disbursement Agent. The Disbursement Agent shall be entitled to rely on certifications to such effect from the Company or the Construction Consultant in approving any determination made by the Company; and</w:t>
      </w:r>
    </w:p>
    <w:p>
      <w:pPr>
        <w:spacing w:after="0" w:line="1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 is true and correct in all material respects.</w:t>
      </w:r>
    </w:p>
    <w:p>
      <w:pPr>
        <w:spacing w:after="0" w:line="225" w:lineRule="exact"/>
        <w:rPr>
          <w:sz w:val="20"/>
          <w:szCs w:val="20"/>
          <w:color w:val="auto"/>
        </w:rPr>
      </w:pPr>
    </w:p>
    <w:p>
      <w:pPr>
        <w:ind w:left="540" w:right="240" w:firstLine="176"/>
        <w:spacing w:after="0" w:line="262" w:lineRule="auto"/>
        <w:rPr>
          <w:sz w:val="20"/>
          <w:szCs w:val="20"/>
          <w:color w:val="auto"/>
        </w:rPr>
      </w:pPr>
      <w:r>
        <w:rPr>
          <w:rFonts w:ascii="Times New Roman" w:cs="Times New Roman" w:eastAsia="Times New Roman" w:hAnsi="Times New Roman"/>
          <w:sz w:val="18"/>
          <w:szCs w:val="18"/>
          <w:color w:val="auto"/>
        </w:rPr>
        <w:t>4.18.5 Each Line Item Category Detailed Anticipated Cost Report (as in effect from time to time) for each Line Item Category of the Project Budget accurately reflects the detail underlying the Summary Anticipated Cost Report with respect to each Line Item of such Line Item Category described therein.</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4.18.6 The Monthly Requisition Report (as in effect from time to time):</w:t>
      </w:r>
    </w:p>
    <w:p>
      <w:pPr>
        <w:spacing w:after="0" w:line="225" w:lineRule="exact"/>
        <w:rPr>
          <w:sz w:val="20"/>
          <w:szCs w:val="20"/>
          <w:color w:val="auto"/>
        </w:rPr>
      </w:pPr>
    </w:p>
    <w:p>
      <w:pPr>
        <w:ind w:left="1080" w:right="520" w:firstLine="360"/>
        <w:spacing w:after="0" w:line="275" w:lineRule="auto"/>
        <w:tabs>
          <w:tab w:leader="none" w:pos="17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in column D ("Revised Project Budget") thereof the amount allocated to each Line Item Category pursuant to the Project Budget then in effect;</w:t>
      </w:r>
    </w:p>
    <w:p>
      <w:pPr>
        <w:spacing w:after="0" w:line="173"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true and correct in all material respects.</w:t>
      </w:r>
    </w:p>
    <w:p>
      <w:pPr>
        <w:spacing w:after="0" w:line="221" w:lineRule="exact"/>
        <w:rPr>
          <w:sz w:val="20"/>
          <w:szCs w:val="20"/>
          <w:color w:val="auto"/>
        </w:rPr>
      </w:pPr>
    </w:p>
    <w:p>
      <w:pPr>
        <w:ind w:firstLine="351"/>
        <w:spacing w:after="0" w:line="265"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i w:val="1"/>
          <w:iCs w:val="1"/>
          <w:color w:val="auto"/>
        </w:rPr>
        <w:t>Fees and Enforcement.</w:t>
      </w:r>
      <w:r>
        <w:rPr>
          <w:rFonts w:ascii="Times New Roman" w:cs="Times New Roman" w:eastAsia="Times New Roman" w:hAnsi="Times New Roman"/>
          <w:sz w:val="18"/>
          <w:szCs w:val="18"/>
          <w:color w:val="auto"/>
        </w:rPr>
        <w:t xml:space="preserve"> Other than amounts that have been paid in full or will have been paid in full by the Closing Date, no fees or taxes, including without limitation stamp, transaction, registration or similar taxes, are required to be paid by the Loan Parties for the legality, validity, or enforceability of this Agreement or any of the other Operative Documents.</w:t>
      </w:r>
    </w:p>
    <w:p>
      <w:pPr>
        <w:spacing w:after="0" w:line="17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Either (a) there are no ERISA Plans or Multiemployer Plans for the Company or any member of the Controlled Group or (b) (i) the Company and each member of the Controlled Group have fulfilled their obligations (if any) under the minimum funding standards of ERISA and the Code for each ERISA Plan and for contributions to any Multiemployer Plan; (ii) each Plan is an compliance in all material respects with the currently applicable provisions of ERISA and the Code; (iii) neither the Company nor any member of the Controlled Group has incurred any liability to the PBGC or an ERISA Plan under Title IV of ERISA (other than liability or contributions for premiums due in the ordinary course). Assuming that the credit extended hereunder does not involve the assets of any Plans for the Company or any member of the Controlled Group, neither the execution of this Agreement nor the consummation of the transactions contemplated hereby will involve a "prohibited transaction" with respect to any Plans within the meaning of 406 of ERISA or </w:t>
      </w:r>
      <w:r>
        <w:rPr>
          <w:rFonts w:ascii="Times New Roman" w:cs="Times New Roman" w:eastAsia="Times New Roman" w:hAnsi="Times New Roman"/>
          <w:sz w:val="18"/>
          <w:szCs w:val="18"/>
          <w:i w:val="1"/>
          <w:iCs w:val="1"/>
          <w:color w:val="auto"/>
        </w:rPr>
        <w:t>Section 4975</w:t>
      </w:r>
      <w:r>
        <w:rPr>
          <w:rFonts w:ascii="Times New Roman" w:cs="Times New Roman" w:eastAsia="Times New Roman" w:hAnsi="Times New Roman"/>
          <w:sz w:val="18"/>
          <w:szCs w:val="18"/>
          <w:color w:val="auto"/>
        </w:rPr>
        <w:t xml:space="preserve"> of the Code which is not exempt under </w:t>
      </w:r>
      <w:r>
        <w:rPr>
          <w:rFonts w:ascii="Times New Roman" w:cs="Times New Roman" w:eastAsia="Times New Roman" w:hAnsi="Times New Roman"/>
          <w:sz w:val="18"/>
          <w:szCs w:val="18"/>
          <w:i w:val="1"/>
          <w:iCs w:val="1"/>
          <w:color w:val="auto"/>
        </w:rPr>
        <w:t>Section 408</w:t>
      </w:r>
      <w:r>
        <w:rPr>
          <w:rFonts w:ascii="Times New Roman" w:cs="Times New Roman" w:eastAsia="Times New Roman" w:hAnsi="Times New Roman"/>
          <w:sz w:val="18"/>
          <w:szCs w:val="18"/>
          <w:color w:val="auto"/>
        </w:rPr>
        <w:t xml:space="preserve"> of ERISA or under </w:t>
      </w:r>
      <w:r>
        <w:rPr>
          <w:rFonts w:ascii="Times New Roman" w:cs="Times New Roman" w:eastAsia="Times New Roman" w:hAnsi="Times New Roman"/>
          <w:sz w:val="18"/>
          <w:szCs w:val="18"/>
          <w:i w:val="1"/>
          <w:iCs w:val="1"/>
          <w:color w:val="auto"/>
        </w:rPr>
        <w:t>Section 4975(d)</w:t>
      </w:r>
      <w:r>
        <w:rPr>
          <w:rFonts w:ascii="Times New Roman" w:cs="Times New Roman" w:eastAsia="Times New Roman" w:hAnsi="Times New Roman"/>
          <w:sz w:val="18"/>
          <w:szCs w:val="18"/>
          <w:color w:val="auto"/>
        </w:rPr>
        <w:t xml:space="preserve"> of the Code.</w:t>
      </w:r>
    </w:p>
    <w:p>
      <w:pPr>
        <w:spacing w:after="0" w:line="192"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i w:val="1"/>
          <w:iCs w:val="1"/>
          <w:color w:val="auto"/>
        </w:rPr>
        <w:t>Subsidiaries and Beneficial Interest.</w:t>
      </w:r>
      <w:r>
        <w:rPr>
          <w:rFonts w:ascii="Times New Roman" w:cs="Times New Roman" w:eastAsia="Times New Roman" w:hAnsi="Times New Roman"/>
          <w:sz w:val="18"/>
          <w:szCs w:val="18"/>
          <w:color w:val="auto"/>
        </w:rPr>
        <w:t xml:space="preserve"> As of the Closing Date, Wynn Resorts, Limited is the sole member of Valvino. As of the Closing Date, the direct Subsidiaries of Valvino and each other Loan Party are shown on </w:t>
      </w:r>
      <w:r>
        <w:rPr>
          <w:rFonts w:ascii="Times New Roman" w:cs="Times New Roman" w:eastAsia="Times New Roman" w:hAnsi="Times New Roman"/>
          <w:sz w:val="18"/>
          <w:szCs w:val="18"/>
          <w:i w:val="1"/>
          <w:iCs w:val="1"/>
          <w:color w:val="auto"/>
        </w:rPr>
        <w:t>Exhibit AA</w:t>
      </w:r>
      <w:r>
        <w:rPr>
          <w:rFonts w:ascii="Times New Roman" w:cs="Times New Roman" w:eastAsia="Times New Roman" w:hAnsi="Times New Roman"/>
          <w:sz w:val="18"/>
          <w:szCs w:val="18"/>
          <w:color w:val="auto"/>
        </w:rPr>
        <w:t xml:space="preserve"> and neither Valvino nor any other Loan Party has any direct Subsidiaries or owns the whole or any part of the issued share capital or other direct ownership interest of any company or corporation or other Person except as shown on </w:t>
      </w:r>
      <w:r>
        <w:rPr>
          <w:rFonts w:ascii="Times New Roman" w:cs="Times New Roman" w:eastAsia="Times New Roman" w:hAnsi="Times New Roman"/>
          <w:sz w:val="18"/>
          <w:szCs w:val="18"/>
          <w:i w:val="1"/>
          <w:iCs w:val="1"/>
          <w:color w:val="auto"/>
        </w:rPr>
        <w:t xml:space="preserve">Exhibit AA. </w:t>
      </w:r>
      <w:r>
        <w:rPr>
          <w:rFonts w:ascii="Times New Roman" w:cs="Times New Roman" w:eastAsia="Times New Roman" w:hAnsi="Times New Roman"/>
          <w:sz w:val="18"/>
          <w:szCs w:val="18"/>
          <w:color w:val="auto"/>
        </w:rPr>
        <w:t>As of the Closing Date (i) Valvino is the sole member of Wynn Resorts Holdings, and as such, Valvino has the power and authority to execute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on behalf of Wynn Resorts Holdings; and (ii) Wynn Resorts, Limited, a Nevada corporation, is the managing member of Valvino, and as such, Wynn Resorts, Limited has the power and authority to execute documents on behalf of both Valvino and Wynn Resorts Holdings.</w:t>
      </w:r>
    </w:p>
    <w:p>
      <w:pPr>
        <w:spacing w:after="0" w:line="188" w:lineRule="exact"/>
        <w:rPr>
          <w:sz w:val="20"/>
          <w:szCs w:val="20"/>
          <w:color w:val="auto"/>
        </w:rPr>
      </w:pPr>
    </w:p>
    <w:p>
      <w:pPr>
        <w:ind w:right="180" w:firstLine="351"/>
        <w:spacing w:after="0" w:line="260"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i w:val="1"/>
          <w:iCs w:val="1"/>
          <w:color w:val="auto"/>
        </w:rPr>
        <w:t>Labor Disputes and Acts of God.</w:t>
      </w:r>
      <w:r>
        <w:rPr>
          <w:rFonts w:ascii="Times New Roman" w:cs="Times New Roman" w:eastAsia="Times New Roman" w:hAnsi="Times New Roman"/>
          <w:sz w:val="18"/>
          <w:szCs w:val="18"/>
          <w:color w:val="auto"/>
        </w:rPr>
        <w:t xml:space="preserve"> Neither the business nor the properties of any Loan Party, nor, to the knowledge of the Company, any Major Project Participant is affected by any fire, explosion, accident, strike, lockout or other labor dispute (except as set forth in </w:t>
      </w:r>
      <w:r>
        <w:rPr>
          <w:rFonts w:ascii="Times New Roman" w:cs="Times New Roman" w:eastAsia="Times New Roman" w:hAnsi="Times New Roman"/>
          <w:sz w:val="18"/>
          <w:szCs w:val="18"/>
          <w:i w:val="1"/>
          <w:iCs w:val="1"/>
          <w:color w:val="auto"/>
        </w:rPr>
        <w:t>Exhibit R-2</w:t>
      </w:r>
      <w:r>
        <w:rPr>
          <w:rFonts w:ascii="Times New Roman" w:cs="Times New Roman" w:eastAsia="Times New Roman" w:hAnsi="Times New Roman"/>
          <w:sz w:val="18"/>
          <w:szCs w:val="18"/>
          <w:color w:val="auto"/>
        </w:rPr>
        <w:t xml:space="preserve"> as in effect on the Closing Date), drought, storm, hail, earthquake, embargo, act of God or of the public enemy, or other casualty or event of force majeure, that could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00" w:firstLine="351"/>
        <w:spacing w:after="0" w:line="265"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xml:space="preserve"> Except for Permitted Liens, the Loan Parties have not secured or agreed to secure any Indebtedness by any Lien upon any of their present or future revenues or assets or Capital Stock. The Loan Parties do not have outstanding any Lien or obligation to create Liens on or with respect to any of their properties or revenues, other than Permitted Liens and as provided in the Security Documents.</w:t>
      </w:r>
    </w:p>
    <w:p>
      <w:pPr>
        <w:sectPr>
          <w:pgSz w:w="11900" w:h="16838" w:orient="portrait"/>
          <w:cols w:equalWidth="0" w:num="1">
            <w:col w:w="11420"/>
          </w:cols>
          <w:pgMar w:left="240" w:top="125" w:right="239" w:bottom="0" w:gutter="0" w:footer="0" w:header="0"/>
        </w:sectPr>
      </w:pPr>
    </w:p>
    <w:bookmarkStart w:id="37" w:name="page38"/>
    <w:bookmarkEnd w:id="37"/>
    <w:p>
      <w:pPr>
        <w:ind w:right="18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i w:val="1"/>
          <w:iCs w:val="1"/>
          <w:color w:val="auto"/>
        </w:rPr>
        <w:t>Title.</w:t>
      </w:r>
      <w:r>
        <w:rPr>
          <w:rFonts w:ascii="Times New Roman" w:cs="Times New Roman" w:eastAsia="Times New Roman" w:hAnsi="Times New Roman"/>
          <w:sz w:val="18"/>
          <w:szCs w:val="18"/>
          <w:color w:val="auto"/>
        </w:rPr>
        <w:t xml:space="preserve"> Each of the Loan Parties owns and has good, legal and beneficial title to the property, assets and revenues of the Project which it purports to grant Liens pursuant to the Security Documents free and clear of all Liens, except Permitted Liens.</w:t>
      </w:r>
    </w:p>
    <w:p>
      <w:pPr>
        <w:spacing w:after="0" w:line="165" w:lineRule="exact"/>
        <w:rPr>
          <w:sz w:val="20"/>
          <w:szCs w:val="20"/>
          <w:color w:val="auto"/>
        </w:rPr>
      </w:pPr>
    </w:p>
    <w:p>
      <w:pPr>
        <w:ind w:right="2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xml:space="preserve"> None of Wynn Las Vegas, Capital Corp., Wynn Design and any of their respective Affiliates is an "investment company" or a company "controlled" by an "investment company," within the meaning of the Investment Company Act of 1940.</w:t>
      </w:r>
    </w:p>
    <w:p>
      <w:pPr>
        <w:spacing w:after="0" w:line="165" w:lineRule="exact"/>
        <w:rPr>
          <w:sz w:val="20"/>
          <w:szCs w:val="20"/>
          <w:color w:val="auto"/>
        </w:rPr>
      </w:pPr>
    </w:p>
    <w:p>
      <w:pPr>
        <w:ind w:right="2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i w:val="1"/>
          <w:iCs w:val="1"/>
          <w:color w:val="auto"/>
        </w:rPr>
        <w:t>Project Schedule.</w:t>
      </w:r>
      <w:r>
        <w:rPr>
          <w:rFonts w:ascii="Times New Roman" w:cs="Times New Roman" w:eastAsia="Times New Roman" w:hAnsi="Times New Roman"/>
          <w:sz w:val="18"/>
          <w:szCs w:val="18"/>
          <w:color w:val="auto"/>
        </w:rPr>
        <w:t xml:space="preserve"> To the Company's knowledge, the Project Schedule accurately specifies in summary form the work that the Company proposes to complete in each calendar quarter from the Closing Date through the Final Completion of the Project, all of which is expected to be achieved.</w:t>
      </w:r>
    </w:p>
    <w:p>
      <w:pPr>
        <w:spacing w:after="0" w:line="165" w:lineRule="exact"/>
        <w:rPr>
          <w:sz w:val="20"/>
          <w:szCs w:val="20"/>
          <w:color w:val="auto"/>
        </w:rPr>
      </w:pPr>
    </w:p>
    <w:p>
      <w:pPr>
        <w:ind w:right="6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i w:val="1"/>
          <w:iCs w:val="1"/>
          <w:color w:val="auto"/>
        </w:rPr>
        <w:t>Proper Subdivision.</w:t>
      </w:r>
      <w:r>
        <w:rPr>
          <w:rFonts w:ascii="Times New Roman" w:cs="Times New Roman" w:eastAsia="Times New Roman" w:hAnsi="Times New Roman"/>
          <w:sz w:val="18"/>
          <w:szCs w:val="18"/>
          <w:color w:val="auto"/>
        </w:rPr>
        <w:t xml:space="preserve"> Each of the Phase II Land, the Golf Course Land, the Water Utility Land and the Casino Land has been properly subdivided or entitled to exception therefrom, and constitutes a separate legal lot or parcel.</w:t>
      </w:r>
    </w:p>
    <w:p>
      <w:pPr>
        <w:spacing w:after="0" w:line="165" w:lineRule="exact"/>
        <w:rPr>
          <w:sz w:val="20"/>
          <w:szCs w:val="20"/>
          <w:color w:val="auto"/>
        </w:rPr>
      </w:pPr>
    </w:p>
    <w:p>
      <w:pPr>
        <w:ind w:right="220" w:firstLine="351"/>
        <w:spacing w:after="0" w:line="265"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i w:val="1"/>
          <w:iCs w:val="1"/>
          <w:color w:val="auto"/>
        </w:rPr>
        <w:t>Location of Accounts and Records.</w:t>
      </w:r>
      <w:r>
        <w:rPr>
          <w:rFonts w:ascii="Times New Roman" w:cs="Times New Roman" w:eastAsia="Times New Roman" w:hAnsi="Times New Roman"/>
          <w:sz w:val="18"/>
          <w:szCs w:val="18"/>
          <w:color w:val="auto"/>
        </w:rPr>
        <w:t xml:space="preserve"> The Company's books of accounts and records are located at 3145 Las Vegas Boulevard South, Las Vegas, Nevada. Wynn Las Vegas' federal employer identification number is 88-0494875. Capital Corp.'s federal employer identification number is 46-0484992. Wynn Design's federal employer identification number is 88-0462235.</w:t>
      </w:r>
    </w:p>
    <w:p>
      <w:pPr>
        <w:spacing w:after="0" w:line="179" w:lineRule="exact"/>
        <w:rPr>
          <w:sz w:val="20"/>
          <w:szCs w:val="20"/>
          <w:color w:val="auto"/>
        </w:rPr>
      </w:pPr>
    </w:p>
    <w:p>
      <w:pPr>
        <w:jc w:val="both"/>
        <w:ind w:right="40" w:firstLine="351"/>
        <w:spacing w:after="0" w:line="260"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i w:val="1"/>
          <w:iCs w:val="1"/>
          <w:color w:val="auto"/>
        </w:rPr>
        <w:t>Regulation U, Etc.</w:t>
      </w:r>
      <w:r>
        <w:rPr>
          <w:rFonts w:ascii="Times New Roman" w:cs="Times New Roman" w:eastAsia="Times New Roman" w:hAnsi="Times New Roman"/>
          <w:sz w:val="18"/>
          <w:szCs w:val="18"/>
          <w:color w:val="auto"/>
        </w:rPr>
        <w:t xml:space="preserve"> None of the Loan Parties are engaged principally, or as one of its principal activities, in the business of extending credit for the purpose of purchasing or carrying margin stock (as defined in Regulations T, U or X of the Federal Reserve Board), and no part of the proceeds of the Advances or the revenues from the Project will be used by the Company or any other Loan Party to purchase or carry any such margin stock or to extend credit to others for the purpose of purchasing or carrying any such margin stock or otherwise in violation of Regulations T, U or X.</w:t>
      </w:r>
    </w:p>
    <w:p>
      <w:pPr>
        <w:spacing w:after="0" w:line="18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i w:val="1"/>
          <w:iCs w:val="1"/>
          <w:color w:val="auto"/>
        </w:rPr>
        <w:t>Governmental Regulation.</w:t>
      </w:r>
      <w:r>
        <w:rPr>
          <w:rFonts w:ascii="Times New Roman" w:cs="Times New Roman" w:eastAsia="Times New Roman" w:hAnsi="Times New Roman"/>
          <w:sz w:val="18"/>
          <w:szCs w:val="18"/>
          <w:color w:val="auto"/>
        </w:rPr>
        <w:t xml:space="preserve"> No Loan Party other than Desert Inn Improvement is subject to regulation under the Public Utility Holding Company Act of 1935, the Federal Power Act, or the Interstate Commerce Act or registration under the Investment Company Act of 1940 or under any other federal or state statute or regulation which may limit or condition its ability to incur Indebtedness other than the Nevada Gaming Laws which may otherwise render all or any portion of the Obligations unenforceable. Desert Inn Improvement is a public utility subject to regulation by the Public Utilities Commission of Nevada. Incurrence of the Obligations under the Financing Agreements complies with all applicable provisions of the Nevada Gaming Laws subject to any informational filings or reports required by Nevada Gaming Commission Regulation Section 8.130, which filings and reports shall be made within the time period required under Nevada Gaming Commission Regulation Section 8.130 and subject to the receipt of requisite approvals from the Nevada Gaming Authorities relating to the pledges of Capital Stock of the Loan Parties that are licensed or registered, which approvals shall be sought by the Company prior to the Opening Date, when the gaming license is applied for.</w:t>
      </w:r>
    </w:p>
    <w:p>
      <w:pPr>
        <w:spacing w:after="0" w:line="189" w:lineRule="exact"/>
        <w:rPr>
          <w:sz w:val="20"/>
          <w:szCs w:val="20"/>
          <w:color w:val="auto"/>
        </w:rPr>
      </w:pPr>
    </w:p>
    <w:p>
      <w:pPr>
        <w:ind w:right="340" w:firstLine="351"/>
        <w:spacing w:after="0" w:line="280"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b w:val="1"/>
          <w:bCs w:val="1"/>
          <w:i w:val="1"/>
          <w:iCs w:val="1"/>
          <w:color w:val="auto"/>
        </w:rPr>
        <w:t>Solvency.</w:t>
      </w:r>
      <w:r>
        <w:rPr>
          <w:rFonts w:ascii="Times New Roman" w:cs="Times New Roman" w:eastAsia="Times New Roman" w:hAnsi="Times New Roman"/>
          <w:sz w:val="18"/>
          <w:szCs w:val="18"/>
          <w:color w:val="auto"/>
        </w:rPr>
        <w:t xml:space="preserve"> Each Loan Party is, and after giving effect to the incurrence of all Indebtedness and obligations being incurred in connection with the Operative Documents will be and will continue to be, Solvent.</w:t>
      </w:r>
    </w:p>
    <w:p>
      <w:pPr>
        <w:spacing w:after="0" w:line="165" w:lineRule="exact"/>
        <w:rPr>
          <w:sz w:val="20"/>
          <w:szCs w:val="20"/>
          <w:color w:val="auto"/>
        </w:rPr>
      </w:pPr>
    </w:p>
    <w:p>
      <w:pPr>
        <w:ind w:right="660" w:firstLine="351"/>
        <w:spacing w:after="0" w:line="345" w:lineRule="auto"/>
        <w:rPr>
          <w:sz w:val="20"/>
          <w:szCs w:val="20"/>
          <w:color w:val="auto"/>
        </w:rPr>
      </w:pPr>
      <w:r>
        <w:rPr>
          <w:rFonts w:ascii="Times New Roman" w:cs="Times New Roman" w:eastAsia="Times New Roman" w:hAnsi="Times New Roman"/>
          <w:sz w:val="16"/>
          <w:szCs w:val="16"/>
          <w:color w:val="auto"/>
        </w:rPr>
        <w:t xml:space="preserve">4.32 </w:t>
      </w:r>
      <w:r>
        <w:rPr>
          <w:rFonts w:ascii="Times New Roman" w:cs="Times New Roman" w:eastAsia="Times New Roman" w:hAnsi="Times New Roman"/>
          <w:sz w:val="16"/>
          <w:szCs w:val="16"/>
          <w:b w:val="1"/>
          <w:bCs w:val="1"/>
          <w:i w:val="1"/>
          <w:iCs w:val="1"/>
          <w:color w:val="auto"/>
        </w:rPr>
        <w:t>Plans and Specifications.</w:t>
      </w:r>
      <w:r>
        <w:rPr>
          <w:rFonts w:ascii="Times New Roman" w:cs="Times New Roman" w:eastAsia="Times New Roman" w:hAnsi="Times New Roman"/>
          <w:sz w:val="16"/>
          <w:szCs w:val="16"/>
          <w:color w:val="auto"/>
        </w:rPr>
        <w:t xml:space="preserve"> The Plans and Specifications (a) are, to the Company's knowledge as of the Closing Date, based on reasonable assumptions as to all legal and factual matters material thereto, (b) are, and except to the extent permitted under </w:t>
      </w:r>
      <w:r>
        <w:rPr>
          <w:rFonts w:ascii="Times New Roman" w:cs="Times New Roman" w:eastAsia="Times New Roman" w:hAnsi="Times New Roman"/>
          <w:sz w:val="16"/>
          <w:szCs w:val="16"/>
          <w:i w:val="1"/>
          <w:iCs w:val="1"/>
          <w:color w:val="auto"/>
        </w:rPr>
        <w:t>Sections 6.1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6.2</w:t>
      </w:r>
      <w:r>
        <w:rPr>
          <w:rFonts w:ascii="Times New Roman" w:cs="Times New Roman" w:eastAsia="Times New Roman" w:hAnsi="Times New Roman"/>
          <w:sz w:val="16"/>
          <w:szCs w:val="16"/>
          <w:color w:val="auto"/>
        </w:rPr>
        <w:t xml:space="preserve"> will be from time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time, consistent with the provisions of the Operative Documents in all material respects and with the "</w:t>
      </w:r>
      <w:r>
        <w:rPr>
          <w:rFonts w:ascii="Times New Roman" w:cs="Times New Roman" w:eastAsia="Times New Roman" w:hAnsi="Times New Roman"/>
          <w:sz w:val="18"/>
          <w:szCs w:val="18"/>
          <w:i w:val="1"/>
          <w:iCs w:val="1"/>
          <w:color w:val="auto"/>
        </w:rPr>
        <w:t>Premises and Assumptions</w:t>
      </w:r>
      <w:r>
        <w:rPr>
          <w:rFonts w:ascii="Times New Roman" w:cs="Times New Roman" w:eastAsia="Times New Roman" w:hAnsi="Times New Roman"/>
          <w:sz w:val="18"/>
          <w:szCs w:val="18"/>
          <w:color w:val="auto"/>
        </w:rPr>
        <w:t>" (as defined in the Prime Construction Contract), (c) have been prepared in good faith with due care, and (d) fairly represent the Company's expectation as to the matters covered thereby. The Final Plans and Specifications (i) have been prepared in good faith with due care, and (ii) are accurate in all material respects and fairly represent the Company's expectation as to the matters covered thereby.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—AFFIRMATIVE COVENANTS</w:t>
      </w:r>
    </w:p>
    <w:p>
      <w:pPr>
        <w:spacing w:after="0" w:line="229"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 xml:space="preserve">The Company covenants and agrees, with and for the benefit of the Funding Agents, the Lenders and the Disbursement Agent that until this Agreement is terminated pursuant to </w:t>
      </w:r>
      <w:r>
        <w:rPr>
          <w:rFonts w:ascii="Times New Roman" w:cs="Times New Roman" w:eastAsia="Times New Roman" w:hAnsi="Times New Roman"/>
          <w:sz w:val="18"/>
          <w:szCs w:val="18"/>
          <w:i w:val="1"/>
          <w:iCs w:val="1"/>
          <w:color w:val="auto"/>
        </w:rPr>
        <w:t>Section 11.20</w:t>
      </w:r>
      <w:r>
        <w:rPr>
          <w:rFonts w:ascii="Times New Roman" w:cs="Times New Roman" w:eastAsia="Times New Roman" w:hAnsi="Times New Roman"/>
          <w:sz w:val="18"/>
          <w:szCs w:val="18"/>
          <w:color w:val="auto"/>
        </w:rPr>
        <w:t xml:space="preserve"> hereof, it will:</w:t>
      </w:r>
    </w:p>
    <w:p>
      <w:pPr>
        <w:spacing w:after="0" w:line="170"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Use of Proceeds; Repayment of Indebtedness.</w:t>
      </w:r>
    </w:p>
    <w:p>
      <w:pPr>
        <w:spacing w:after="0" w:line="227" w:lineRule="exact"/>
        <w:rPr>
          <w:sz w:val="20"/>
          <w:szCs w:val="20"/>
          <w:color w:val="auto"/>
        </w:rPr>
      </w:pPr>
    </w:p>
    <w:p>
      <w:pPr>
        <w:ind w:left="540"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Deposit or cause to be deposited all funds received by or on behalf of the Company prior to the Final Completion Date into the applicable Company Account specified in </w:t>
      </w:r>
      <w:r>
        <w:rPr>
          <w:rFonts w:ascii="Times New Roman" w:cs="Times New Roman" w:eastAsia="Times New Roman" w:hAnsi="Times New Roman"/>
          <w:sz w:val="18"/>
          <w:szCs w:val="18"/>
          <w:i w:val="1"/>
          <w:iCs w:val="1"/>
          <w:color w:val="auto"/>
        </w:rPr>
        <w:t>Article 2</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as contemplated by </w:t>
      </w:r>
      <w:r>
        <w:rPr>
          <w:rFonts w:ascii="Times New Roman" w:cs="Times New Roman" w:eastAsia="Times New Roman" w:hAnsi="Times New Roman"/>
          <w:sz w:val="18"/>
          <w:szCs w:val="18"/>
          <w:i w:val="1"/>
          <w:iCs w:val="1"/>
          <w:color w:val="auto"/>
        </w:rPr>
        <w:t>Section 2.3.8,</w:t>
      </w:r>
      <w:r>
        <w:rPr>
          <w:rFonts w:ascii="Times New Roman" w:cs="Times New Roman" w:eastAsia="Times New Roman" w:hAnsi="Times New Roman"/>
          <w:sz w:val="18"/>
          <w:szCs w:val="18"/>
          <w:color w:val="auto"/>
        </w:rPr>
        <w:t xml:space="preserve"> all revenues received by the Company after the Completion Date shall be deposited by the Company in the applicable "Funding Account" as provided in </w:t>
      </w:r>
      <w:r>
        <w:rPr>
          <w:rFonts w:ascii="Times New Roman" w:cs="Times New Roman" w:eastAsia="Times New Roman" w:hAnsi="Times New Roman"/>
          <w:sz w:val="18"/>
          <w:szCs w:val="18"/>
          <w:i w:val="1"/>
          <w:iCs w:val="1"/>
          <w:color w:val="auto"/>
        </w:rPr>
        <w:t>Section 6.11(b)</w:t>
      </w:r>
      <w:r>
        <w:rPr>
          <w:rFonts w:ascii="Times New Roman" w:cs="Times New Roman" w:eastAsia="Times New Roman" w:hAnsi="Times New Roman"/>
          <w:sz w:val="18"/>
          <w:szCs w:val="18"/>
          <w:color w:val="auto"/>
        </w:rPr>
        <w:t xml:space="preserve"> of the Bank Credit Agreement. The Company shall not, until the Final Completion Date, open or establish any bank, deposit or any other accounts at any financial institution other than the accounts provided for herein or in </w:t>
      </w:r>
      <w:r>
        <w:rPr>
          <w:rFonts w:ascii="Times New Roman" w:cs="Times New Roman" w:eastAsia="Times New Roman" w:hAnsi="Times New Roman"/>
          <w:sz w:val="18"/>
          <w:szCs w:val="18"/>
          <w:i w:val="1"/>
          <w:iCs w:val="1"/>
          <w:color w:val="auto"/>
        </w:rPr>
        <w:t>Section 6.11(b)</w:t>
      </w:r>
      <w:r>
        <w:rPr>
          <w:rFonts w:ascii="Times New Roman" w:cs="Times New Roman" w:eastAsia="Times New Roman" w:hAnsi="Times New Roman"/>
          <w:sz w:val="18"/>
          <w:szCs w:val="18"/>
          <w:color w:val="auto"/>
        </w:rPr>
        <w:t xml:space="preserve"> of the Bank Credit Agreement.</w:t>
      </w:r>
    </w:p>
    <w:p>
      <w:pPr>
        <w:spacing w:after="0" w:line="188" w:lineRule="exact"/>
        <w:rPr>
          <w:sz w:val="20"/>
          <w:szCs w:val="20"/>
          <w:color w:val="auto"/>
        </w:rPr>
      </w:pPr>
    </w:p>
    <w:p>
      <w:pPr>
        <w:ind w:left="540" w:right="1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i w:val="1"/>
          <w:iCs w:val="1"/>
          <w:color w:val="auto"/>
        </w:rPr>
        <w:t>Project Costs.</w:t>
      </w:r>
      <w:r>
        <w:rPr>
          <w:rFonts w:ascii="Times New Roman" w:cs="Times New Roman" w:eastAsia="Times New Roman" w:hAnsi="Times New Roman"/>
          <w:sz w:val="18"/>
          <w:szCs w:val="18"/>
          <w:color w:val="auto"/>
        </w:rPr>
        <w:t xml:space="preserve"> Apply all proceeds described in </w:t>
      </w:r>
      <w:r>
        <w:rPr>
          <w:rFonts w:ascii="Times New Roman" w:cs="Times New Roman" w:eastAsia="Times New Roman" w:hAnsi="Times New Roman"/>
          <w:sz w:val="18"/>
          <w:szCs w:val="18"/>
          <w:i w:val="1"/>
          <w:iCs w:val="1"/>
          <w:color w:val="auto"/>
        </w:rPr>
        <w:t>Section 5.1.1</w:t>
      </w:r>
      <w:r>
        <w:rPr>
          <w:rFonts w:ascii="Times New Roman" w:cs="Times New Roman" w:eastAsia="Times New Roman" w:hAnsi="Times New Roman"/>
          <w:sz w:val="18"/>
          <w:szCs w:val="18"/>
          <w:color w:val="auto"/>
        </w:rPr>
        <w:t xml:space="preserve"> above and all other amounts received by the Company and/or deposited in the Company Accounts only to pay Project Costs in accordance with the terms of this Agreement. Without limiting the generality of the foregoing, the Company shall:</w:t>
      </w:r>
    </w:p>
    <w:p>
      <w:pPr>
        <w:spacing w:after="0" w:line="183" w:lineRule="exact"/>
        <w:rPr>
          <w:sz w:val="20"/>
          <w:szCs w:val="20"/>
          <w:color w:val="auto"/>
        </w:rPr>
      </w:pPr>
    </w:p>
    <w:p>
      <w:pPr>
        <w:ind w:left="1080" w:right="540" w:firstLine="360"/>
        <w:spacing w:after="0" w:line="275" w:lineRule="auto"/>
        <w:tabs>
          <w:tab w:leader="none" w:pos="17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apply any funds or proceeds to the payment of Project Costs in respect of the FF&amp;E Component other than in accordance with </w:t>
      </w:r>
      <w:r>
        <w:rPr>
          <w:rFonts w:ascii="Times New Roman" w:cs="Times New Roman" w:eastAsia="Times New Roman" w:hAnsi="Times New Roman"/>
          <w:sz w:val="18"/>
          <w:szCs w:val="18"/>
          <w:i w:val="1"/>
          <w:iCs w:val="1"/>
          <w:color w:val="auto"/>
        </w:rPr>
        <w:t xml:space="preserve">Section 2.5 </w:t>
      </w:r>
      <w:r>
        <w:rPr>
          <w:rFonts w:ascii="Times New Roman" w:cs="Times New Roman" w:eastAsia="Times New Roman" w:hAnsi="Times New Roman"/>
          <w:sz w:val="18"/>
          <w:szCs w:val="18"/>
          <w:color w:val="auto"/>
        </w:rPr>
        <w:t>and the other terms and conditions hereof;</w:t>
      </w:r>
    </w:p>
    <w:p>
      <w:pPr>
        <w:spacing w:after="0" w:line="173"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amounts in the Soft Costs Cash Management Account only to pay Soft Costs as set forth in the Project Budget;</w:t>
      </w:r>
    </w:p>
    <w:p>
      <w:pPr>
        <w:spacing w:after="0" w:line="225" w:lineRule="exact"/>
        <w:rPr>
          <w:rFonts w:ascii="Times New Roman" w:cs="Times New Roman" w:eastAsia="Times New Roman" w:hAnsi="Times New Roman"/>
          <w:sz w:val="18"/>
          <w:szCs w:val="18"/>
          <w:color w:val="auto"/>
        </w:rPr>
      </w:pPr>
    </w:p>
    <w:p>
      <w:pPr>
        <w:ind w:left="1720" w:hanging="280"/>
        <w:spacing w:after="0"/>
        <w:tabs>
          <w:tab w:leader="none" w:pos="1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amounts in the Hard Costs Cash Management Account only to pay Hard Costs as set forth in the Project Budget;</w:t>
      </w:r>
    </w:p>
    <w:p>
      <w:pPr>
        <w:spacing w:after="0" w:line="225" w:lineRule="exact"/>
        <w:rPr>
          <w:rFonts w:ascii="Times New Roman" w:cs="Times New Roman" w:eastAsia="Times New Roman" w:hAnsi="Times New Roman"/>
          <w:sz w:val="18"/>
          <w:szCs w:val="18"/>
          <w:color w:val="auto"/>
        </w:rPr>
      </w:pPr>
    </w:p>
    <w:p>
      <w:pPr>
        <w:ind w:left="1080" w:right="520" w:firstLine="360"/>
        <w:spacing w:after="0" w:line="275" w:lineRule="auto"/>
        <w:tabs>
          <w:tab w:leader="none" w:pos="17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amounts in the Company's Payment Account only to pay Project Costs as set forth in the Project Budget and in the Advance Request pursuant to which such amounts were deposited in the Company's Payment Account; and</w:t>
      </w:r>
    </w:p>
    <w:p>
      <w:pPr>
        <w:sectPr>
          <w:pgSz w:w="11900" w:h="16838" w:orient="portrait"/>
          <w:cols w:equalWidth="0" w:num="1">
            <w:col w:w="11400"/>
          </w:cols>
          <w:pgMar w:left="240" w:top="121" w:right="259" w:bottom="0" w:gutter="0" w:footer="0" w:header="0"/>
        </w:sectPr>
      </w:pPr>
    </w:p>
    <w:bookmarkStart w:id="38" w:name="page39"/>
    <w:bookmarkEnd w:id="38"/>
    <w:p>
      <w:pPr>
        <w:ind w:left="1080" w:right="80" w:firstLine="360"/>
        <w:spacing w:after="0" w:line="275" w:lineRule="auto"/>
        <w:tabs>
          <w:tab w:leader="none" w:pos="17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amounts in the Company's FF&amp;E Payment Account only to pay Project Costs allocated to the FF&amp;E Component as set forth in the Project Budget and in the Advance Request pursuant to which such amounts were deposited in the Company's FF&amp;E Payment Account.</w:t>
      </w:r>
    </w:p>
    <w:p>
      <w:pPr>
        <w:spacing w:after="0" w:line="172" w:lineRule="exact"/>
        <w:rPr>
          <w:sz w:val="20"/>
          <w:szCs w:val="20"/>
          <w:color w:val="auto"/>
        </w:rPr>
      </w:pPr>
    </w:p>
    <w:p>
      <w:pPr>
        <w:ind w:left="540" w:right="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i w:val="1"/>
          <w:iCs w:val="1"/>
          <w:color w:val="auto"/>
        </w:rPr>
        <w:t>Repayment of Indebtedness.</w:t>
      </w:r>
      <w:r>
        <w:rPr>
          <w:rFonts w:ascii="Times New Roman" w:cs="Times New Roman" w:eastAsia="Times New Roman" w:hAnsi="Times New Roman"/>
          <w:sz w:val="18"/>
          <w:szCs w:val="18"/>
          <w:color w:val="auto"/>
        </w:rPr>
        <w:t xml:space="preserve"> Repay in accordance with its terms, all Indebtedness, including without limitation, all sums due under this Agreement and the other Financing Agreements but, in the case of any such Indebtedness the repayment of which is limited by any term of any Financing Agreement, repay subject to such limitation.</w:t>
      </w:r>
    </w:p>
    <w:p>
      <w:pPr>
        <w:spacing w:after="0" w:line="179" w:lineRule="exact"/>
        <w:rPr>
          <w:sz w:val="20"/>
          <w:szCs w:val="20"/>
          <w:color w:val="auto"/>
        </w:rPr>
      </w:pPr>
    </w:p>
    <w:p>
      <w:pPr>
        <w:ind w:right="20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Existence, Conduct of Business, Properties, Etc.</w:t>
      </w:r>
      <w:r>
        <w:rPr>
          <w:rFonts w:ascii="Times New Roman" w:cs="Times New Roman" w:eastAsia="Times New Roman" w:hAnsi="Times New Roman"/>
          <w:sz w:val="18"/>
          <w:szCs w:val="18"/>
          <w:color w:val="auto"/>
        </w:rPr>
        <w:t xml:space="preserve"> Except as otherwise expressly permitted (a) under this Agreement or (b) under </w:t>
      </w:r>
      <w:r>
        <w:rPr>
          <w:rFonts w:ascii="Times New Roman" w:cs="Times New Roman" w:eastAsia="Times New Roman" w:hAnsi="Times New Roman"/>
          <w:sz w:val="18"/>
          <w:szCs w:val="18"/>
          <w:i w:val="1"/>
          <w:iCs w:val="1"/>
          <w:color w:val="auto"/>
        </w:rPr>
        <w:t>Section 6.4</w:t>
      </w:r>
      <w:r>
        <w:rPr>
          <w:rFonts w:ascii="Times New Roman" w:cs="Times New Roman" w:eastAsia="Times New Roman" w:hAnsi="Times New Roman"/>
          <w:sz w:val="18"/>
          <w:szCs w:val="18"/>
          <w:color w:val="auto"/>
        </w:rPr>
        <w:t xml:space="preserve"> of the Bank Credit Agreement, (i) maintain and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preserve, and cause each other Loan Party to maintain and preserve, their existence and all rights, privileges and franchises necessary in the normal conduct of their business, and (ii) engage only in the businesses contemplated or permitted by the Financing Agreements and the Operative Documents.</w:t>
      </w:r>
    </w:p>
    <w:p>
      <w:pPr>
        <w:spacing w:after="0" w:line="170" w:lineRule="exact"/>
        <w:rPr>
          <w:sz w:val="20"/>
          <w:szCs w:val="20"/>
          <w:color w:val="auto"/>
        </w:rPr>
      </w:pPr>
    </w:p>
    <w:p>
      <w:pPr>
        <w:ind w:firstLine="351"/>
        <w:spacing w:after="0" w:line="26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Diligent Construction of the Project.</w:t>
      </w:r>
      <w:r>
        <w:rPr>
          <w:rFonts w:ascii="Times New Roman" w:cs="Times New Roman" w:eastAsia="Times New Roman" w:hAnsi="Times New Roman"/>
          <w:sz w:val="18"/>
          <w:szCs w:val="18"/>
          <w:color w:val="auto"/>
        </w:rPr>
        <w:t xml:space="preserve"> Take or cause to be taken all action, make or cause to be made all contracts and do or cause to be done all things necessary to construct the Project diligently in accordance with the Prime Construction Contract, the Final Plans and Specifications and the other Operative Documents.</w:t>
      </w:r>
    </w:p>
    <w:p>
      <w:pPr>
        <w:spacing w:after="0" w:line="179"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i w:val="1"/>
          <w:iCs w:val="1"/>
          <w:color w:val="auto"/>
        </w:rPr>
        <w:t>Compliance with Legal Requirements.</w:t>
      </w:r>
      <w:r>
        <w:rPr>
          <w:rFonts w:ascii="Times New Roman" w:cs="Times New Roman" w:eastAsia="Times New Roman" w:hAnsi="Times New Roman"/>
          <w:sz w:val="18"/>
          <w:szCs w:val="18"/>
          <w:color w:val="auto"/>
        </w:rPr>
        <w:t xml:space="preserve"> Promptly and diligently (a) own (or, to the extent contemplated hereunder or under the other Financing Agreements, lease), construct, maintain and operate the Project in compliance in all material respects with all applicable Legal Requirements, including, but not limited to Environmental Laws and (b) procure, maintain and comply, or cause to be procured, maintained and complied with, in all material respects, all Permits required for any ownership, development, construction, financing, maintenance or operation of the Project or any part thereof at or before the time each such Permit becomes necessary for the ownership, development, construction, financing, maintenance or operation of the Project, as the case may be, as contemplated by the Operative Documents, except that the Company may, at its expense, contest by appropriate proceedings conducted in good faith the validity or application of any such Legal Requirements, provided that, (i) none of the Funding Agents, the Disbursement Agent, any of the Lenders or the Company would be subject to any criminal liability for failure to comply therewith and (ii) all proceedings to enforce such Legal Requirements against the Funding Agents, the Disbursement Agent, any of the Lenders, the Company, or the Project or any part of any of them, shall have been duly and effectively stayed during the entire pendency of such contest, except, unless any such proceedings are brought against any of the Lenders or the Disbursement Agent, where failure to procure such stay could not reasonably be expected to result in a Material Adverse Effect.</w:t>
      </w:r>
    </w:p>
    <w:p>
      <w:pPr>
        <w:spacing w:after="0" w:line="193" w:lineRule="exact"/>
        <w:rPr>
          <w:sz w:val="20"/>
          <w:szCs w:val="20"/>
          <w:color w:val="auto"/>
        </w:rPr>
      </w:pPr>
    </w:p>
    <w:p>
      <w:pPr>
        <w:ind w:right="180" w:firstLine="351"/>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i w:val="1"/>
          <w:iCs w:val="1"/>
          <w:color w:val="auto"/>
        </w:rPr>
        <w:t>Books, Records, Access.</w:t>
      </w:r>
      <w:r>
        <w:rPr>
          <w:rFonts w:ascii="Times New Roman" w:cs="Times New Roman" w:eastAsia="Times New Roman" w:hAnsi="Times New Roman"/>
          <w:sz w:val="18"/>
          <w:szCs w:val="18"/>
          <w:color w:val="auto"/>
        </w:rPr>
        <w:t xml:space="preserve"> Maintain adequate books, accounts and records with respect to the Company and each other Loan Party and the Project in compliance with the regulations of any Governmental Authority having jurisdiction thereof and, with respect to financial statements, in accordance with GAAP consistently applied. Subject to reasonable safety requirements and the rights of other Persons, the Company shall, at its cost and expense, permit employees or agents of the Funding Agents, the Lenders and the Construction Consultant at any reasonable times and upon reasonable prior notice to inspect the Project, to examine or audit all of the Company's books, accounts and records pertaining or related to the Project, to make copies and memoranda thereof. For all expenditures with respect to which Advances are made, the Company shall retain, until at least three (3) years after each Funding Agent has received the report specified in </w:t>
      </w:r>
      <w:r>
        <w:rPr>
          <w:rFonts w:ascii="Times New Roman" w:cs="Times New Roman" w:eastAsia="Times New Roman" w:hAnsi="Times New Roman"/>
          <w:sz w:val="18"/>
          <w:szCs w:val="18"/>
          <w:i w:val="1"/>
          <w:iCs w:val="1"/>
          <w:color w:val="auto"/>
        </w:rPr>
        <w:t>Section 5.6.1</w:t>
      </w:r>
      <w:r>
        <w:rPr>
          <w:rFonts w:ascii="Times New Roman" w:cs="Times New Roman" w:eastAsia="Times New Roman" w:hAnsi="Times New Roman"/>
          <w:sz w:val="18"/>
          <w:szCs w:val="18"/>
          <w:color w:val="auto"/>
        </w:rPr>
        <w:t xml:space="preserve"> with respect to the last Advance made by such Funding Agent, all records (contracts, orders, invoices, bills, receipts and other documents) evidencing such expenditures.</w:t>
      </w:r>
    </w:p>
    <w:p>
      <w:pPr>
        <w:spacing w:after="0" w:line="192"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6"/>
          <w:szCs w:val="16"/>
          <w:b w:val="1"/>
          <w:bCs w:val="1"/>
          <w:i w:val="1"/>
          <w:iCs w:val="1"/>
          <w:color w:val="auto"/>
        </w:rPr>
        <w:t>Reports; Cooperation; Financial Statements.</w:t>
      </w:r>
    </w:p>
    <w:p>
      <w:pPr>
        <w:spacing w:after="0" w:line="229" w:lineRule="exact"/>
        <w:rPr>
          <w:sz w:val="20"/>
          <w:szCs w:val="20"/>
          <w:color w:val="auto"/>
        </w:rPr>
      </w:pPr>
    </w:p>
    <w:p>
      <w:pPr>
        <w:ind w:left="540" w:right="40" w:firstLine="263"/>
        <w:spacing w:after="0" w:line="255" w:lineRule="auto"/>
        <w:rPr>
          <w:sz w:val="20"/>
          <w:szCs w:val="20"/>
          <w:color w:val="auto"/>
        </w:rPr>
      </w:pPr>
      <w:r>
        <w:rPr>
          <w:rFonts w:ascii="Times New Roman" w:cs="Times New Roman" w:eastAsia="Times New Roman" w:hAnsi="Times New Roman"/>
          <w:sz w:val="18"/>
          <w:szCs w:val="18"/>
          <w:color w:val="auto"/>
        </w:rPr>
        <w:t>5.6.1 Prior to the Final Completion Date, deliver to the Funding Agents, the Construction Consultant and the Disbursement Agent together with each month's preliminary Advance Request (or if no Advance Request is submitted during any calendar month, within twenty (20) days following the end of such calendar month), a monthly status report describing in reasonable detail the progress of the construction of the Project since the immediately preceding report hereunder, including without limitation, the cost incurred to the end of such month, an estimate of the time and cost required to complete the Project and such other information which any Funding Agent or the Disbursement Agent may reasonably request including information and reports reasonably requested by the Construction Consultant.</w:t>
      </w:r>
    </w:p>
    <w:p>
      <w:pPr>
        <w:spacing w:after="0" w:line="193" w:lineRule="exact"/>
        <w:rPr>
          <w:sz w:val="20"/>
          <w:szCs w:val="20"/>
          <w:color w:val="auto"/>
        </w:rPr>
      </w:pPr>
    </w:p>
    <w:p>
      <w:pPr>
        <w:ind w:left="540" w:right="340" w:firstLine="263"/>
        <w:spacing w:after="0" w:line="275" w:lineRule="auto"/>
        <w:rPr>
          <w:sz w:val="20"/>
          <w:szCs w:val="20"/>
          <w:color w:val="auto"/>
        </w:rPr>
      </w:pPr>
      <w:r>
        <w:rPr>
          <w:rFonts w:ascii="Times New Roman" w:cs="Times New Roman" w:eastAsia="Times New Roman" w:hAnsi="Times New Roman"/>
          <w:sz w:val="18"/>
          <w:szCs w:val="18"/>
          <w:color w:val="auto"/>
        </w:rPr>
        <w:t>5.6.2 Deliver to the Funding Agents and the Disbursement Agent together with each month's final Advance Request (or if no Advance Request is submitted during any calendar month, within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0"/>
        <w:spacing w:after="0" w:line="275" w:lineRule="auto"/>
        <w:rPr>
          <w:sz w:val="20"/>
          <w:szCs w:val="20"/>
          <w:color w:val="auto"/>
        </w:rPr>
      </w:pPr>
      <w:r>
        <w:rPr>
          <w:rFonts w:ascii="Times New Roman" w:cs="Times New Roman" w:eastAsia="Times New Roman" w:hAnsi="Times New Roman"/>
          <w:sz w:val="18"/>
          <w:szCs w:val="18"/>
          <w:color w:val="auto"/>
        </w:rPr>
        <w:t>twenty (20) days after the end of such calendar month), a monthly status report describing in reasonable detail the progress of the leasing activities with respect to the Project, if any, and all leases, if any, that have been entered into since the immediately preceding report hereunder.</w:t>
      </w:r>
    </w:p>
    <w:p>
      <w:pPr>
        <w:spacing w:after="0" w:line="174" w:lineRule="exact"/>
        <w:rPr>
          <w:sz w:val="20"/>
          <w:szCs w:val="20"/>
          <w:color w:val="auto"/>
        </w:rPr>
      </w:pPr>
    </w:p>
    <w:p>
      <w:pPr>
        <w:ind w:left="540" w:right="240" w:firstLine="263"/>
        <w:spacing w:after="0" w:line="258" w:lineRule="auto"/>
        <w:rPr>
          <w:sz w:val="20"/>
          <w:szCs w:val="20"/>
          <w:color w:val="auto"/>
        </w:rPr>
      </w:pPr>
      <w:r>
        <w:rPr>
          <w:rFonts w:ascii="Times New Roman" w:cs="Times New Roman" w:eastAsia="Times New Roman" w:hAnsi="Times New Roman"/>
          <w:sz w:val="18"/>
          <w:szCs w:val="18"/>
          <w:color w:val="auto"/>
        </w:rPr>
        <w:t>5.6.3 Deliver to the Funding Agents, the Construction Consultant and the Disbursement Agent together with each month's preliminary Advance Request (or if no Advance Request is submitted during any calendar month, within twenty (20) days after the end of such calendar month), all progress reports provided by each Contractor pursuant to the Material Project Documents and such additional information as the Funding Agents or the Disbursement Agent may reasonably request.</w:t>
      </w:r>
    </w:p>
    <w:p>
      <w:pPr>
        <w:spacing w:after="0" w:line="190" w:lineRule="exact"/>
        <w:rPr>
          <w:sz w:val="20"/>
          <w:szCs w:val="20"/>
          <w:color w:val="auto"/>
        </w:rPr>
      </w:pPr>
    </w:p>
    <w:p>
      <w:pPr>
        <w:ind w:left="540" w:right="100" w:firstLine="263"/>
        <w:spacing w:after="0" w:line="262" w:lineRule="auto"/>
        <w:rPr>
          <w:sz w:val="20"/>
          <w:szCs w:val="20"/>
          <w:color w:val="auto"/>
        </w:rPr>
      </w:pPr>
      <w:r>
        <w:rPr>
          <w:rFonts w:ascii="Times New Roman" w:cs="Times New Roman" w:eastAsia="Times New Roman" w:hAnsi="Times New Roman"/>
          <w:sz w:val="18"/>
          <w:szCs w:val="18"/>
          <w:color w:val="auto"/>
        </w:rPr>
        <w:t xml:space="preserve">5.6.4 Deliver to the Funding Agent, the Construction Consultant and the Disbursement Agent together with each month's preliminary Advance Request (or if no Advance Request is submitted during any calendar month, within twenty (20) days after the end of such calendar month), copies of any applicable bailee or Lien waivers delivered pursuant to </w:t>
      </w:r>
      <w:r>
        <w:rPr>
          <w:rFonts w:ascii="Times New Roman" w:cs="Times New Roman" w:eastAsia="Times New Roman" w:hAnsi="Times New Roman"/>
          <w:sz w:val="18"/>
          <w:szCs w:val="18"/>
          <w:i w:val="1"/>
          <w:iCs w:val="1"/>
          <w:color w:val="auto"/>
        </w:rPr>
        <w:t>Section 5.13.1.3</w:t>
      </w:r>
      <w:r>
        <w:rPr>
          <w:rFonts w:ascii="Times New Roman" w:cs="Times New Roman" w:eastAsia="Times New Roman" w:hAnsi="Times New Roman"/>
          <w:sz w:val="18"/>
          <w:szCs w:val="18"/>
          <w:color w:val="auto"/>
        </w:rPr>
        <w:t xml:space="preserve"> of the Prime Construction Contract.</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5.6.5 Deliver to the Funding Agents copies of all financial statements and certifications delivered under </w:t>
      </w:r>
      <w:r>
        <w:rPr>
          <w:rFonts w:ascii="Times New Roman" w:cs="Times New Roman" w:eastAsia="Times New Roman" w:hAnsi="Times New Roman"/>
          <w:sz w:val="18"/>
          <w:szCs w:val="18"/>
          <w:i w:val="1"/>
          <w:iCs w:val="1"/>
          <w:color w:val="auto"/>
        </w:rPr>
        <w:t>Section 6.1</w:t>
      </w:r>
      <w:r>
        <w:rPr>
          <w:rFonts w:ascii="Times New Roman" w:cs="Times New Roman" w:eastAsia="Times New Roman" w:hAnsi="Times New Roman"/>
          <w:sz w:val="18"/>
          <w:szCs w:val="18"/>
          <w:color w:val="auto"/>
        </w:rPr>
        <w:t xml:space="preserve"> of the Bank Credit Agreement.</w:t>
      </w:r>
    </w:p>
    <w:p>
      <w:pPr>
        <w:spacing w:after="0" w:line="223" w:lineRule="exact"/>
        <w:rPr>
          <w:sz w:val="20"/>
          <w:szCs w:val="20"/>
          <w:color w:val="auto"/>
        </w:rPr>
      </w:pPr>
    </w:p>
    <w:p>
      <w:pPr>
        <w:ind w:right="18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xml:space="preserve"> Promptly, upon acquiring notice or giving notice, or obtaining knowledge thereof, as the case may be, provide to the Disbursement Agent, and the Construction Consultant and the Funding Agents written notice of:</w:t>
      </w:r>
    </w:p>
    <w:p>
      <w:pPr>
        <w:sectPr>
          <w:pgSz w:w="11900" w:h="16838" w:orient="portrait"/>
          <w:cols w:equalWidth="0" w:num="1">
            <w:col w:w="11400"/>
          </w:cols>
          <w:pgMar w:left="240" w:top="125" w:right="259" w:bottom="30" w:gutter="0" w:footer="0" w:header="0"/>
        </w:sectPr>
      </w:pPr>
    </w:p>
    <w:bookmarkStart w:id="39" w:name="page40"/>
    <w:bookmarkEnd w:id="39"/>
    <w:p>
      <w:pPr>
        <w:ind w:left="180" w:right="20" w:firstLine="263"/>
        <w:spacing w:after="0" w:line="262" w:lineRule="auto"/>
        <w:rPr>
          <w:sz w:val="20"/>
          <w:szCs w:val="20"/>
          <w:color w:val="auto"/>
        </w:rPr>
      </w:pPr>
      <w:r>
        <w:rPr>
          <w:rFonts w:ascii="Times New Roman" w:cs="Times New Roman" w:eastAsia="Times New Roman" w:hAnsi="Times New Roman"/>
          <w:sz w:val="18"/>
          <w:szCs w:val="18"/>
          <w:color w:val="auto"/>
        </w:rPr>
        <w:t>5.7.1 Any Event of Default or Potential Event of Default of which it has knowledge, specifically stating that an Event of Default or Potential Event of Default has occurred and describing such Event of Default or Potential Event of Default and any action being taken or proposed to be taken with respect to such Event of Default or Potential Event of Default.</w:t>
      </w:r>
    </w:p>
    <w:p>
      <w:pPr>
        <w:spacing w:after="0" w:line="186" w:lineRule="exact"/>
        <w:rPr>
          <w:sz w:val="20"/>
          <w:szCs w:val="20"/>
          <w:color w:val="auto"/>
        </w:rPr>
      </w:pPr>
    </w:p>
    <w:p>
      <w:pPr>
        <w:ind w:left="180" w:right="180" w:firstLine="263"/>
        <w:spacing w:after="0" w:line="310" w:lineRule="auto"/>
        <w:rPr>
          <w:sz w:val="20"/>
          <w:szCs w:val="20"/>
          <w:color w:val="auto"/>
        </w:rPr>
      </w:pPr>
      <w:r>
        <w:rPr>
          <w:rFonts w:ascii="Times New Roman" w:cs="Times New Roman" w:eastAsia="Times New Roman" w:hAnsi="Times New Roman"/>
          <w:sz w:val="16"/>
          <w:szCs w:val="16"/>
          <w:color w:val="auto"/>
        </w:rPr>
        <w:t>5.7.2 Any event, occurrence or circumstance which reasonably could be expected to cause Project to not be In Balance or render the Company incapable of, or prevent the Company from (a) achieving the Completion Date on or before the Scheduled Completion Date or (b) meeting any material obligation of the Company under the Prime Construction Contract or the other Material Project Documents as and when required thereunder.</w:t>
      </w:r>
    </w:p>
    <w:p>
      <w:pPr>
        <w:spacing w:after="0" w:line="151" w:lineRule="exact"/>
        <w:rPr>
          <w:sz w:val="20"/>
          <w:szCs w:val="20"/>
          <w:color w:val="auto"/>
        </w:rPr>
      </w:pPr>
    </w:p>
    <w:p>
      <w:pPr>
        <w:ind w:left="180" w:right="560" w:firstLine="263"/>
        <w:spacing w:after="0" w:line="275" w:lineRule="auto"/>
        <w:rPr>
          <w:sz w:val="20"/>
          <w:szCs w:val="20"/>
          <w:color w:val="auto"/>
        </w:rPr>
      </w:pPr>
      <w:r>
        <w:rPr>
          <w:rFonts w:ascii="Times New Roman" w:cs="Times New Roman" w:eastAsia="Times New Roman" w:hAnsi="Times New Roman"/>
          <w:sz w:val="18"/>
          <w:szCs w:val="18"/>
          <w:color w:val="auto"/>
        </w:rPr>
        <w:t xml:space="preserve">5.7.3 Any termination or event of default or notice thereof under any Material Project Document or any notice under Nevada Revised Statutes </w:t>
      </w:r>
      <w:r>
        <w:rPr>
          <w:rFonts w:ascii="Times New Roman" w:cs="Times New Roman" w:eastAsia="Times New Roman" w:hAnsi="Times New Roman"/>
          <w:sz w:val="18"/>
          <w:szCs w:val="18"/>
          <w:i w:val="1"/>
          <w:iCs w:val="1"/>
          <w:color w:val="auto"/>
        </w:rPr>
        <w:t xml:space="preserve">Section 624.610 </w:t>
      </w:r>
      <w:r>
        <w:rPr>
          <w:rFonts w:ascii="Times New Roman" w:cs="Times New Roman" w:eastAsia="Times New Roman" w:hAnsi="Times New Roman"/>
          <w:sz w:val="18"/>
          <w:szCs w:val="18"/>
          <w:color w:val="auto"/>
        </w:rPr>
        <w:t>issued by any Contractor.</w:t>
      </w:r>
    </w:p>
    <w:p>
      <w:pPr>
        <w:spacing w:after="0" w:line="174" w:lineRule="exact"/>
        <w:rPr>
          <w:sz w:val="20"/>
          <w:szCs w:val="20"/>
          <w:color w:val="auto"/>
        </w:rPr>
      </w:pPr>
    </w:p>
    <w:p>
      <w:pPr>
        <w:ind w:left="180" w:right="420" w:firstLine="263"/>
        <w:spacing w:after="0" w:line="301" w:lineRule="auto"/>
        <w:rPr>
          <w:sz w:val="20"/>
          <w:szCs w:val="20"/>
          <w:color w:val="auto"/>
        </w:rPr>
      </w:pPr>
      <w:r>
        <w:rPr>
          <w:rFonts w:ascii="Times New Roman" w:cs="Times New Roman" w:eastAsia="Times New Roman" w:hAnsi="Times New Roman"/>
          <w:sz w:val="16"/>
          <w:szCs w:val="16"/>
          <w:color w:val="auto"/>
        </w:rPr>
        <w:t>5.7.4 Any (a) fact, circumstance, condition or occurrence at, on, or arising from, the Mortgaged Property that results in noncompliance with any Environmental Law that has resulted or could reasonably be expected to result in a Material Adverse Effect, and (b) pending or, to the Company's knowledge, threatened, Environmental Claim against the Company, any Contractor or any Subcontractor arising in connection with its occupying or conducting operations on or at the Project, or the Mortgaged Property, which could reasonably be expected to have a Material Adverse Effect.</w:t>
      </w:r>
    </w:p>
    <w:p>
      <w:pPr>
        <w:spacing w:after="0" w:line="157" w:lineRule="exact"/>
        <w:rPr>
          <w:sz w:val="20"/>
          <w:szCs w:val="20"/>
          <w:color w:val="auto"/>
        </w:rPr>
      </w:pPr>
    </w:p>
    <w:p>
      <w:pPr>
        <w:ind w:left="180" w:right="300" w:firstLine="263"/>
        <w:spacing w:after="0" w:line="339" w:lineRule="auto"/>
        <w:rPr>
          <w:sz w:val="20"/>
          <w:szCs w:val="20"/>
          <w:color w:val="auto"/>
        </w:rPr>
      </w:pPr>
      <w:r>
        <w:rPr>
          <w:rFonts w:ascii="Times New Roman" w:cs="Times New Roman" w:eastAsia="Times New Roman" w:hAnsi="Times New Roman"/>
          <w:sz w:val="16"/>
          <w:szCs w:val="16"/>
          <w:color w:val="auto"/>
        </w:rPr>
        <w:t>5.7.5 Any change in the Responsible Officers of the Company, and such notice shall include a certified specimen signature of any new officer so appointed and, if requested by any Funding Agent or the Disbursement Agent, satisfactory evidence of the authority of such new Responsible Officer.</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5.7.6 Any proposed material change in the nature or scope of the Project or the business or operations of the Company.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5.7.7 Any notice of any schedule delay delivered under the Prime Construction Contract and all remedial plans and updates thereof.</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5.7.8 Any other event or development which could reasonably be expected to have a Material Adverse Effect.</w:t>
      </w:r>
    </w:p>
    <w:p>
      <w:pPr>
        <w:spacing w:after="0" w:line="225" w:lineRule="exact"/>
        <w:rPr>
          <w:sz w:val="20"/>
          <w:szCs w:val="20"/>
          <w:color w:val="auto"/>
        </w:rPr>
      </w:pPr>
    </w:p>
    <w:p>
      <w:pPr>
        <w:ind w:left="180" w:right="160" w:firstLine="263"/>
        <w:spacing w:after="0" w:line="275" w:lineRule="auto"/>
        <w:rPr>
          <w:sz w:val="20"/>
          <w:szCs w:val="20"/>
          <w:color w:val="auto"/>
        </w:rPr>
      </w:pPr>
      <w:r>
        <w:rPr>
          <w:rFonts w:ascii="Times New Roman" w:cs="Times New Roman" w:eastAsia="Times New Roman" w:hAnsi="Times New Roman"/>
          <w:sz w:val="18"/>
          <w:szCs w:val="18"/>
          <w:color w:val="auto"/>
        </w:rPr>
        <w:t>5.7.9 Promptly upon any Person becoming a Subsidiary of any of the entities comprising the Company, a written notice setting forth with respect to such Person the date on which such Person became a Subsidiary of any of the entities comprising the Company.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5.7.10 "</w:t>
      </w:r>
      <w:r>
        <w:rPr>
          <w:rFonts w:ascii="Times New Roman" w:cs="Times New Roman" w:eastAsia="Times New Roman" w:hAnsi="Times New Roman"/>
          <w:sz w:val="18"/>
          <w:szCs w:val="18"/>
          <w:i w:val="1"/>
          <w:iCs w:val="1"/>
          <w:color w:val="auto"/>
        </w:rPr>
        <w:t>Substantial Completion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Final Completion</w:t>
      </w:r>
      <w:r>
        <w:rPr>
          <w:rFonts w:ascii="Times New Roman" w:cs="Times New Roman" w:eastAsia="Times New Roman" w:hAnsi="Times New Roman"/>
          <w:sz w:val="18"/>
          <w:szCs w:val="18"/>
          <w:color w:val="auto"/>
        </w:rPr>
        <w:t>" certificates or notices thereof delivered under any Material Project Document.</w:t>
      </w: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6"/>
          <w:szCs w:val="16"/>
          <w:b w:val="1"/>
          <w:bCs w:val="1"/>
          <w:i w:val="1"/>
          <w:iCs w:val="1"/>
          <w:color w:val="auto"/>
        </w:rPr>
        <w:t>Company Equity.</w:t>
      </w:r>
    </w:p>
    <w:p>
      <w:pPr>
        <w:spacing w:after="0" w:line="227" w:lineRule="exact"/>
        <w:rPr>
          <w:sz w:val="20"/>
          <w:szCs w:val="20"/>
          <w:color w:val="auto"/>
        </w:rPr>
      </w:pPr>
    </w:p>
    <w:p>
      <w:pPr>
        <w:ind w:left="180" w:firstLine="351"/>
        <w:spacing w:after="0" w:line="254" w:lineRule="auto"/>
        <w:rPr>
          <w:sz w:val="20"/>
          <w:szCs w:val="20"/>
          <w:color w:val="auto"/>
        </w:rPr>
      </w:pPr>
      <w:r>
        <w:rPr>
          <w:rFonts w:ascii="Times New Roman" w:cs="Times New Roman" w:eastAsia="Times New Roman" w:hAnsi="Times New Roman"/>
          <w:sz w:val="18"/>
          <w:szCs w:val="18"/>
          <w:color w:val="auto"/>
        </w:rPr>
        <w:t xml:space="preserve">5.8.1 </w:t>
      </w:r>
      <w:r>
        <w:rPr>
          <w:rFonts w:ascii="Times New Roman" w:cs="Times New Roman" w:eastAsia="Times New Roman" w:hAnsi="Times New Roman"/>
          <w:sz w:val="18"/>
          <w:szCs w:val="18"/>
          <w:i w:val="1"/>
          <w:iCs w:val="1"/>
          <w:color w:val="auto"/>
        </w:rPr>
        <w:t>Event of Default; Bankruptcy.</w:t>
      </w:r>
      <w:r>
        <w:rPr>
          <w:rFonts w:ascii="Times New Roman" w:cs="Times New Roman" w:eastAsia="Times New Roman" w:hAnsi="Times New Roman"/>
          <w:sz w:val="18"/>
          <w:szCs w:val="18"/>
          <w:color w:val="auto"/>
        </w:rPr>
        <w:t xml:space="preserve"> Upon (a) the occurrence of an Event of Default, (b) the dissolution, liquidation or Bankruptcy of the Completion Guarantor or (c) the breach by the Completion Guarantor of any of its covenants and agreements under the Completion Guaranty, deposit or cause to be deposited in the Company's Funds Account, in cash, an amount equal to the amount of funds then on deposit in the Completion Guaranty Deposit Account. In the event that the Company fails to so deposit or cause to be deposited such funds, the Disbursement Agent shall be entitled to draw such funds from the Completion Guaranty Deposit Account and deposit such funds in the Company's Funds Account. In the event that after the transfer of such funds such Event of Default or breach by the Completion Guarantor is cured, and the Company obtains additional Advances hereunder, such funds shall be returned to the Completion Guaranty Deposit Account (minus any portion of such funds that has been expended prior to the date such Event of Default or breach is cured).</w:t>
      </w:r>
    </w:p>
    <w:p>
      <w:pPr>
        <w:spacing w:after="0" w:line="192" w:lineRule="exact"/>
        <w:rPr>
          <w:sz w:val="20"/>
          <w:szCs w:val="20"/>
          <w:color w:val="auto"/>
        </w:rPr>
      </w:pPr>
    </w:p>
    <w:p>
      <w:pPr>
        <w:ind w:left="180"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5.8.2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At such times, if ever, as the Project is not In Balance, the Company shall deposit or cause to be deposited in the Company's Funds Account in cash, funds (other than from the Completion Guaranty Deposit Account or the Project Liquidity Reserve Account) in an amount that would cause the Project to be In Balance.</w:t>
      </w:r>
    </w:p>
    <w:p>
      <w:pPr>
        <w:spacing w:after="0" w:line="181"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5.8.3</w:t>
      </w:r>
      <w:r>
        <w:rPr>
          <w:sz w:val="20"/>
          <w:szCs w:val="20"/>
          <w:color w:val="auto"/>
        </w:rPr>
        <w:tab/>
      </w:r>
      <w:r>
        <w:rPr>
          <w:rFonts w:ascii="Times New Roman" w:cs="Times New Roman" w:eastAsia="Times New Roman" w:hAnsi="Times New Roman"/>
          <w:sz w:val="16"/>
          <w:szCs w:val="16"/>
          <w:i w:val="1"/>
          <w:iCs w:val="1"/>
          <w:color w:val="auto"/>
        </w:rPr>
        <w:t>Completion Guaranty Deposit Account; Liquidity Reserve Account.</w:t>
      </w:r>
    </w:p>
    <w:p>
      <w:pPr>
        <w:spacing w:after="0" w:line="227" w:lineRule="exact"/>
        <w:rPr>
          <w:sz w:val="20"/>
          <w:szCs w:val="20"/>
          <w:color w:val="auto"/>
        </w:rPr>
      </w:pPr>
    </w:p>
    <w:p>
      <w:pPr>
        <w:ind w:left="720" w:right="40" w:firstLine="360"/>
        <w:spacing w:after="0" w:line="301" w:lineRule="auto"/>
        <w:tabs>
          <w:tab w:leader="none" w:pos="134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such times, if ever, as no other source of funds is available to the Company for the timely payment of Project Costs, the Company shall, to the extent permitted to do so pursuant to </w:t>
      </w:r>
      <w:r>
        <w:rPr>
          <w:rFonts w:ascii="Times New Roman" w:cs="Times New Roman" w:eastAsia="Times New Roman" w:hAnsi="Times New Roman"/>
          <w:sz w:val="16"/>
          <w:szCs w:val="16"/>
          <w:i w:val="1"/>
          <w:iCs w:val="1"/>
          <w:color w:val="auto"/>
        </w:rPr>
        <w:t>Section 5.8.3(b)</w:t>
      </w:r>
      <w:r>
        <w:rPr>
          <w:rFonts w:ascii="Times New Roman" w:cs="Times New Roman" w:eastAsia="Times New Roman" w:hAnsi="Times New Roman"/>
          <w:sz w:val="16"/>
          <w:szCs w:val="16"/>
          <w:color w:val="auto"/>
        </w:rPr>
        <w:t xml:space="preserve"> below (or, if after Completion, </w:t>
      </w:r>
      <w:r>
        <w:rPr>
          <w:rFonts w:ascii="Times New Roman" w:cs="Times New Roman" w:eastAsia="Times New Roman" w:hAnsi="Times New Roman"/>
          <w:sz w:val="16"/>
          <w:szCs w:val="16"/>
          <w:i w:val="1"/>
          <w:iCs w:val="1"/>
          <w:color w:val="auto"/>
        </w:rPr>
        <w:t>Section 5.8.3(c)</w:t>
      </w:r>
      <w:r>
        <w:rPr>
          <w:rFonts w:ascii="Times New Roman" w:cs="Times New Roman" w:eastAsia="Times New Roman" w:hAnsi="Times New Roman"/>
          <w:sz w:val="16"/>
          <w:szCs w:val="16"/>
          <w:color w:val="auto"/>
        </w:rPr>
        <w:t xml:space="preserve"> below) transfer or cause to be transferred from the Completion Guaranty Deposit Account and/or the Project Liquidity Reserve Account to the Company's Funds Account (or, if after Completion, to the Disbursement Account), funds in the amount required to timely pay all Project Costs then due and payable.</w:t>
      </w:r>
    </w:p>
    <w:p>
      <w:pPr>
        <w:spacing w:after="0" w:line="157" w:lineRule="exact"/>
        <w:rPr>
          <w:rFonts w:ascii="Times New Roman" w:cs="Times New Roman" w:eastAsia="Times New Roman" w:hAnsi="Times New Roman"/>
          <w:sz w:val="16"/>
          <w:szCs w:val="16"/>
          <w:color w:val="auto"/>
        </w:rPr>
      </w:pPr>
    </w:p>
    <w:p>
      <w:pPr>
        <w:ind w:left="720" w:right="120" w:firstLine="360"/>
        <w:spacing w:after="0" w:line="256" w:lineRule="auto"/>
        <w:tabs>
          <w:tab w:leader="none" w:pos="13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apply any funds on deposit in the Completion Guaranty Deposit Account or the Project Liquidity Reserve Account except as permitted in this </w:t>
      </w:r>
      <w:r>
        <w:rPr>
          <w:rFonts w:ascii="Times New Roman" w:cs="Times New Roman" w:eastAsia="Times New Roman" w:hAnsi="Times New Roman"/>
          <w:sz w:val="18"/>
          <w:szCs w:val="18"/>
          <w:i w:val="1"/>
          <w:iCs w:val="1"/>
          <w:color w:val="auto"/>
        </w:rPr>
        <w:t>Section 5.8.3(b)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5.8.3(c)</w:t>
      </w:r>
      <w:r>
        <w:rPr>
          <w:rFonts w:ascii="Times New Roman" w:cs="Times New Roman" w:eastAsia="Times New Roman" w:hAnsi="Times New Roman"/>
          <w:sz w:val="18"/>
          <w:szCs w:val="18"/>
          <w:color w:val="auto"/>
        </w:rPr>
        <w:t xml:space="preserve"> below. From and after the Fifty Percent Completion Date, the Company may withdraw any such funds for the sole purpose of transferring such funds to the Company's Funds Account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from the Completion Guaranty Deposit Account, and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when no funds remain in the Completion Guaranty Deposit Account, from the Project Liquidity Reserve Account, but only if the following conditions shall have been satisfied:</w:t>
      </w:r>
    </w:p>
    <w:p>
      <w:pPr>
        <w:spacing w:after="0" w:line="192" w:lineRule="exact"/>
        <w:rPr>
          <w:rFonts w:ascii="Times New Roman" w:cs="Times New Roman" w:eastAsia="Times New Roman" w:hAnsi="Times New Roman"/>
          <w:sz w:val="18"/>
          <w:szCs w:val="18"/>
          <w:color w:val="auto"/>
        </w:rPr>
      </w:pPr>
    </w:p>
    <w:p>
      <w:pPr>
        <w:ind w:left="1260" w:right="120" w:firstLine="448"/>
        <w:spacing w:after="0" w:line="256" w:lineRule="auto"/>
        <w:tabs>
          <w:tab w:leader="none" w:pos="195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funds withdrawn shall not exceed $80,000,000 amortized from and after the Fifty Percent Completion Date at a rate such that, from time to time, (A) the ratio of (x) the amortized portion of the $80,000,000 to (y) $80,000,000 shall equal (B) the ratio of (x) Hard Costs incurred from and after the Fifty Percent Completion Date in accordance with the Project Budget and allocated to the following Line Item Categories: "Marnell Corrao GMP Contract," "Interior Furnishings/Signage/Electronic Systems," "Miscellaneous Capital Projects," "Golf Course" and "Parking Garage" to</w:t>
      </w:r>
    </w:p>
    <w:p>
      <w:pPr>
        <w:spacing w:after="0" w:line="1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60" w:right="80" w:firstLine="9"/>
        <w:spacing w:after="0" w:line="262" w:lineRule="auto"/>
        <w:tabs>
          <w:tab w:leader="none" w:pos="15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total amount of Hard Costs set forth in the Project Budget (as then in effect) under the following Line Item Categories: "Marnell Corrao GMP Contract," "Interior Furnishings/Signage/Electronic Systems," "Miscellaneous Capital Projects," "Golf Course" and "Parking Garage"; and</w:t>
      </w:r>
    </w:p>
    <w:p>
      <w:pPr>
        <w:sectPr>
          <w:pgSz w:w="11900" w:h="16838" w:orient="portrait"/>
          <w:cols w:equalWidth="0" w:num="1">
            <w:col w:w="11020"/>
          </w:cols>
          <w:pgMar w:left="600" w:top="125" w:right="279" w:bottom="0" w:gutter="0" w:footer="0" w:header="0"/>
        </w:sectPr>
      </w:pPr>
    </w:p>
    <w:bookmarkStart w:id="40" w:name="page41"/>
    <w:bookmarkEnd w:id="40"/>
    <w:p>
      <w:pPr>
        <w:ind w:left="1620" w:right="340" w:firstLine="360"/>
        <w:spacing w:after="0" w:line="262" w:lineRule="auto"/>
        <w:tabs>
          <w:tab w:leader="none" w:pos="22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certified, and the Construction Consultant shall have confirmed, that such funds are necessary to pay cost-overruns (other than in respect of a Scope Change) and are not as a result of any Scope Change (or cost overrun with respect to a Scope Change).</w:t>
      </w:r>
    </w:p>
    <w:p>
      <w:pPr>
        <w:spacing w:after="0" w:line="186" w:lineRule="exact"/>
        <w:rPr>
          <w:rFonts w:ascii="Times New Roman" w:cs="Times New Roman" w:eastAsia="Times New Roman" w:hAnsi="Times New Roman"/>
          <w:sz w:val="18"/>
          <w:szCs w:val="18"/>
          <w:color w:val="auto"/>
        </w:rPr>
      </w:pPr>
    </w:p>
    <w:p>
      <w:pPr>
        <w:ind w:left="1080" w:right="260" w:firstLine="360"/>
        <w:spacing w:after="0" w:line="275" w:lineRule="auto"/>
        <w:tabs>
          <w:tab w:leader="none" w:pos="17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Completion Date, the Company may apply any funds then on deposit in the Completion Guaranty Deposit Account towards the payment of Project Costs as provided in </w:t>
      </w:r>
      <w:r>
        <w:rPr>
          <w:rFonts w:ascii="Times New Roman" w:cs="Times New Roman" w:eastAsia="Times New Roman" w:hAnsi="Times New Roman"/>
          <w:sz w:val="18"/>
          <w:szCs w:val="18"/>
          <w:i w:val="1"/>
          <w:iCs w:val="1"/>
          <w:color w:val="auto"/>
        </w:rPr>
        <w:t>Section 2.5.4.</w:t>
      </w:r>
    </w:p>
    <w:p>
      <w:pPr>
        <w:spacing w:after="0" w:line="170" w:lineRule="exact"/>
        <w:rPr>
          <w:sz w:val="20"/>
          <w:szCs w:val="20"/>
          <w:color w:val="auto"/>
        </w:rPr>
      </w:pPr>
    </w:p>
    <w:p>
      <w:pPr>
        <w:ind w:left="360"/>
        <w:spacing w:after="0"/>
        <w:tabs>
          <w:tab w:leader="none" w:pos="740" w:val="left"/>
          <w:tab w:leader="none" w:pos="366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b w:val="1"/>
          <w:bCs w:val="1"/>
          <w:i w:val="1"/>
          <w:iCs w:val="1"/>
          <w:color w:val="auto"/>
        </w:rPr>
        <w:t>Indemnification; Costs and Expenses.</w:t>
      </w:r>
      <w:r>
        <w:rPr>
          <w:sz w:val="20"/>
          <w:szCs w:val="20"/>
          <w:color w:val="auto"/>
        </w:rPr>
        <w:tab/>
      </w:r>
      <w:r>
        <w:rPr>
          <w:rFonts w:ascii="Times New Roman" w:cs="Times New Roman" w:eastAsia="Times New Roman" w:hAnsi="Times New Roman"/>
          <w:sz w:val="16"/>
          <w:szCs w:val="16"/>
          <w:color w:val="auto"/>
        </w:rPr>
        <w:t xml:space="preserve">Pay all amounts required to be paid by the Company pursuant to </w:t>
      </w:r>
      <w:r>
        <w:rPr>
          <w:rFonts w:ascii="Times New Roman" w:cs="Times New Roman" w:eastAsia="Times New Roman" w:hAnsi="Times New Roman"/>
          <w:sz w:val="16"/>
          <w:szCs w:val="16"/>
          <w:i w:val="1"/>
          <w:iCs w:val="1"/>
          <w:color w:val="auto"/>
        </w:rPr>
        <w:t>Section 11.15.</w:t>
      </w:r>
    </w:p>
    <w:p>
      <w:pPr>
        <w:spacing w:after="0" w:line="225" w:lineRule="exact"/>
        <w:rPr>
          <w:sz w:val="20"/>
          <w:szCs w:val="20"/>
          <w:color w:val="auto"/>
        </w:rPr>
      </w:pPr>
    </w:p>
    <w:p>
      <w:pPr>
        <w:ind w:right="60" w:firstLine="351"/>
        <w:spacing w:after="0" w:line="260"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i w:val="1"/>
          <w:iCs w:val="1"/>
          <w:color w:val="auto"/>
        </w:rPr>
        <w:t>Material Project Documents and Permits.</w:t>
      </w:r>
      <w:r>
        <w:rPr>
          <w:rFonts w:ascii="Times New Roman" w:cs="Times New Roman" w:eastAsia="Times New Roman" w:hAnsi="Times New Roman"/>
          <w:sz w:val="18"/>
          <w:szCs w:val="18"/>
          <w:color w:val="auto"/>
        </w:rPr>
        <w:t xml:space="preserve"> Deliver to the Disbursement Agent, the Funding Agents and the Construction Consultant promptly, but in no event later than twenty (20) days after the receipt thereof by the Company, copies of (a) all Material Project Documents and Permits described on </w:t>
      </w:r>
      <w:r>
        <w:rPr>
          <w:rFonts w:ascii="Times New Roman" w:cs="Times New Roman" w:eastAsia="Times New Roman" w:hAnsi="Times New Roman"/>
          <w:sz w:val="18"/>
          <w:szCs w:val="18"/>
          <w:i w:val="1"/>
          <w:iCs w:val="1"/>
          <w:color w:val="auto"/>
        </w:rPr>
        <w:t>Exhibit M</w:t>
      </w:r>
      <w:r>
        <w:rPr>
          <w:rFonts w:ascii="Times New Roman" w:cs="Times New Roman" w:eastAsia="Times New Roman" w:hAnsi="Times New Roman"/>
          <w:sz w:val="18"/>
          <w:szCs w:val="18"/>
          <w:color w:val="auto"/>
        </w:rPr>
        <w:t xml:space="preserve"> that are obtained or entered into by the Company or any other Loan Party after the Closing Date, (b) any amendment, supplement or other modification to any Permit received by the Company or any other Loan Party after the Closing Date.</w:t>
      </w:r>
    </w:p>
    <w:p>
      <w:pPr>
        <w:spacing w:after="0" w:line="183" w:lineRule="exact"/>
        <w:rPr>
          <w:sz w:val="20"/>
          <w:szCs w:val="20"/>
          <w:color w:val="auto"/>
        </w:rPr>
      </w:pPr>
    </w:p>
    <w:p>
      <w:pPr>
        <w:ind w:right="16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i w:val="1"/>
          <w:iCs w:val="1"/>
          <w:color w:val="auto"/>
        </w:rPr>
        <w:t>Storage Requirements for Off-Site Materials and Deposits.</w:t>
      </w:r>
      <w:r>
        <w:rPr>
          <w:rFonts w:ascii="Times New Roman" w:cs="Times New Roman" w:eastAsia="Times New Roman" w:hAnsi="Times New Roman"/>
          <w:sz w:val="18"/>
          <w:szCs w:val="18"/>
          <w:color w:val="auto"/>
        </w:rPr>
        <w:t xml:space="preserve"> Cause all Unincorporated Materials to be stored and identified in accordance with the requirements of </w:t>
      </w:r>
      <w:r>
        <w:rPr>
          <w:rFonts w:ascii="Times New Roman" w:cs="Times New Roman" w:eastAsia="Times New Roman" w:hAnsi="Times New Roman"/>
          <w:sz w:val="18"/>
          <w:szCs w:val="18"/>
          <w:i w:val="1"/>
          <w:iCs w:val="1"/>
          <w:color w:val="auto"/>
        </w:rPr>
        <w:t>Section 3.3.26.</w:t>
      </w:r>
    </w:p>
    <w:p>
      <w:pPr>
        <w:spacing w:after="0" w:line="165"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i w:val="1"/>
          <w:iCs w:val="1"/>
          <w:color w:val="auto"/>
        </w:rPr>
        <w:t>Security Interest in Newly Acquired Property.</w:t>
      </w:r>
      <w:r>
        <w:rPr>
          <w:rFonts w:ascii="Times New Roman" w:cs="Times New Roman" w:eastAsia="Times New Roman" w:hAnsi="Times New Roman"/>
          <w:sz w:val="18"/>
          <w:szCs w:val="18"/>
          <w:color w:val="auto"/>
        </w:rPr>
        <w:t xml:space="preserve"> If the Company or any Loan Party shall at any time acquire any interest in property not covered by the Security Documents (other than property in which, pursuant to the Financing Agreements, the Company or such Loan Party is not required to grant a security interest in favor of any Secured Party) or enter into a Material Project Document, and if the same is not automatically perfected by virtue of the after-acquired property clause of the Security Document, promptly upon such acquisition or execution, execute, deliver and record or cause such Loan Party to execute, deliver and record a supplement to the Security Documents reasonably satisfactory in form and substance to each Funding Agent, if any, who, pursuant to the Financing Agreements, is entitled to have a security interest in such property, subjecting such interests to the Lien and security interests created by the applicable Security Documents (with the priority contemplated thereby in favor of each Secured Party).</w:t>
      </w:r>
    </w:p>
    <w:p>
      <w:pPr>
        <w:spacing w:after="0" w:line="189" w:lineRule="exact"/>
        <w:rPr>
          <w:sz w:val="20"/>
          <w:szCs w:val="20"/>
          <w:color w:val="auto"/>
        </w:rPr>
      </w:pPr>
    </w:p>
    <w:p>
      <w:pPr>
        <w:ind w:right="8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i w:val="1"/>
          <w:iCs w:val="1"/>
          <w:color w:val="auto"/>
        </w:rPr>
        <w:t>Plans and Specifications.</w:t>
      </w:r>
      <w:r>
        <w:rPr>
          <w:rFonts w:ascii="Times New Roman" w:cs="Times New Roman" w:eastAsia="Times New Roman" w:hAnsi="Times New Roman"/>
          <w:sz w:val="18"/>
          <w:szCs w:val="18"/>
          <w:color w:val="auto"/>
        </w:rPr>
        <w:t xml:space="preserve"> Provide to the Disbursement Agent and the Construction Consultant copies of, and maintain at the Site, a complete set of Final Plans and Specifications, as in effect from time to time.</w:t>
      </w:r>
    </w:p>
    <w:p>
      <w:pPr>
        <w:spacing w:after="0" w:line="16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i w:val="1"/>
          <w:iCs w:val="1"/>
          <w:color w:val="auto"/>
        </w:rPr>
        <w:t>Payment and Performance Bonds.</w:t>
      </w:r>
      <w:r>
        <w:rPr>
          <w:rFonts w:ascii="Times New Roman" w:cs="Times New Roman" w:eastAsia="Times New Roman" w:hAnsi="Times New Roman"/>
          <w:sz w:val="18"/>
          <w:szCs w:val="18"/>
          <w:color w:val="auto"/>
        </w:rPr>
        <w:t xml:space="preserve"> Cause the Prime Contractor to cause each Subcontractor (working under a Subcontract with a value or contract price of more than $25,000,000), within fifteen (15) calendar days after execution of its Subcontract, to provide a Payment and Performance Bond to secure its obligations under its respective Subcontract. Cause the Prime Contractor to within five (5) days after the Closing Date, provide the Prime Contractor Payment and Performance Bond to secure its obligations under the Prime Construction Contract. Each such Payment and Performance Bond shall name the Bank Agent and the Indenture Trustee as additional obligees and shall otherwise be in substantially the form of </w:t>
      </w:r>
      <w:r>
        <w:rPr>
          <w:rFonts w:ascii="Times New Roman" w:cs="Times New Roman" w:eastAsia="Times New Roman" w:hAnsi="Times New Roman"/>
          <w:sz w:val="18"/>
          <w:szCs w:val="18"/>
          <w:i w:val="1"/>
          <w:iCs w:val="1"/>
          <w:color w:val="auto"/>
        </w:rPr>
        <w:t>Exhibit R</w:t>
      </w:r>
      <w:r>
        <w:rPr>
          <w:rFonts w:ascii="Times New Roman" w:cs="Times New Roman" w:eastAsia="Times New Roman" w:hAnsi="Times New Roman"/>
          <w:sz w:val="18"/>
          <w:szCs w:val="18"/>
          <w:color w:val="auto"/>
        </w:rPr>
        <w:t xml:space="preserve"> hereto. Promptly after receipt thereof, deliver the originals of such Payment and Performance Bonds to the Disbursement Agent with a copy to the Construction Consultant.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 w:firstLine="351"/>
        <w:spacing w:after="0" w:line="292" w:lineRule="auto"/>
        <w:rPr>
          <w:sz w:val="20"/>
          <w:szCs w:val="20"/>
          <w:color w:val="auto"/>
        </w:rPr>
      </w:pPr>
      <w:r>
        <w:rPr>
          <w:rFonts w:ascii="Times New Roman" w:cs="Times New Roman" w:eastAsia="Times New Roman" w:hAnsi="Times New Roman"/>
          <w:sz w:val="16"/>
          <w:szCs w:val="16"/>
          <w:color w:val="auto"/>
        </w:rPr>
        <w:t xml:space="preserve">5.15 </w:t>
      </w:r>
      <w:r>
        <w:rPr>
          <w:rFonts w:ascii="Times New Roman" w:cs="Times New Roman" w:eastAsia="Times New Roman" w:hAnsi="Times New Roman"/>
          <w:sz w:val="16"/>
          <w:szCs w:val="16"/>
          <w:b w:val="1"/>
          <w:bCs w:val="1"/>
          <w:i w:val="1"/>
          <w:iCs w:val="1"/>
          <w:color w:val="auto"/>
        </w:rPr>
        <w:t>Retainage Amounts.</w:t>
      </w:r>
      <w:r>
        <w:rPr>
          <w:rFonts w:ascii="Times New Roman" w:cs="Times New Roman" w:eastAsia="Times New Roman" w:hAnsi="Times New Roman"/>
          <w:sz w:val="16"/>
          <w:szCs w:val="16"/>
          <w:color w:val="auto"/>
        </w:rPr>
        <w:t xml:space="preserve"> Withhold from each Contractor providing labor at the Site (excluding the Parking Structure Contractor), and cause each such Contractor to withhold from its first tier Subcontractors performing labor at the Site, a retainage equal to ten (10%) of each payment made to such Contractor or Subcontractor pursuant to its respective Contract or Subcontract;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such time as (i) the applicable Contractor or Subcontractor shall have completed fifty percent (50%) of the work under its respective Contract or Subcontract and (ii) if a Payment and Performance Bond is required under </w:t>
      </w:r>
      <w:r>
        <w:rPr>
          <w:rFonts w:ascii="Times New Roman" w:cs="Times New Roman" w:eastAsia="Times New Roman" w:hAnsi="Times New Roman"/>
          <w:sz w:val="16"/>
          <w:szCs w:val="16"/>
          <w:i w:val="1"/>
          <w:iCs w:val="1"/>
          <w:color w:val="auto"/>
        </w:rPr>
        <w:t>Section 5.14</w:t>
      </w:r>
      <w:r>
        <w:rPr>
          <w:rFonts w:ascii="Times New Roman" w:cs="Times New Roman" w:eastAsia="Times New Roman" w:hAnsi="Times New Roman"/>
          <w:sz w:val="16"/>
          <w:szCs w:val="16"/>
          <w:color w:val="auto"/>
        </w:rPr>
        <w:t xml:space="preserve"> with respect to such Contract or Subcontract, the Company shall have obtained a "Consent of Surety to Reduction in or Partial Release of Retainage" (AIA form G707A) from the surety that issued such Payment and Performance Bond and delivered such consent to the Disbursement Agent with a copy to the Construction Consultant, then the retainage withheld may be reduced from ten (10%) percent to five (5%) percent of the contract value as adjusted by change orders, if any.</w:t>
      </w:r>
    </w:p>
    <w:p>
      <w:pPr>
        <w:spacing w:after="0" w:line="162"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6"/>
          <w:szCs w:val="16"/>
          <w:b w:val="1"/>
          <w:bCs w:val="1"/>
          <w:i w:val="1"/>
          <w:iCs w:val="1"/>
          <w:color w:val="auto"/>
        </w:rPr>
        <w:t>Construction Consultant.</w:t>
      </w:r>
    </w:p>
    <w:p>
      <w:pPr>
        <w:spacing w:after="0" w:line="229" w:lineRule="exact"/>
        <w:rPr>
          <w:sz w:val="20"/>
          <w:szCs w:val="20"/>
          <w:color w:val="auto"/>
        </w:rPr>
      </w:pPr>
    </w:p>
    <w:p>
      <w:pPr>
        <w:ind w:left="540" w:firstLine="359"/>
        <w:spacing w:after="0" w:line="283" w:lineRule="auto"/>
        <w:tabs>
          <w:tab w:leader="none" w:pos="1174"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and cause the Project Architect, the Prime Contractor, the Golf Course Designer, the Aqua Theater Designer and the Golf Course Contractor to cooperate with the Construction Consultant in the performance of the Construction Consultant's duties hereunder and under the Construction Consultant Engagement Agreement. Without limiting the generality of the foregoing, the Company shall and shall cause the Project Architect, the Prime Contractor, the Golf Course Designer, the Aqua Theater Designer and the Golf Course Contractor to: (i) communicate with and promptly provide all invoices, documents, plans and other information reasonably requested by the Construction Consultant relating to the work, (ii) authorize any subcontractors or subconsultants of any tier to communicate directly with the Construction Consultant regarding the progress of the work, (iii) provide the Construction Consultant with access to the Site and, subject to required safety precautions, the construction areas, (iv) solely in the case of the Prime Contractor, provide the Construction Consultant with reasonable working space and access to telephone, copying and telecopying equipment and</w:t>
      </w:r>
    </w:p>
    <w:p>
      <w:pPr>
        <w:spacing w:after="0" w:line="5" w:lineRule="exact"/>
        <w:rPr>
          <w:rFonts w:ascii="Times New Roman" w:cs="Times New Roman" w:eastAsia="Times New Roman" w:hAnsi="Times New Roman"/>
          <w:sz w:val="16"/>
          <w:szCs w:val="16"/>
          <w:color w:val="auto"/>
        </w:rPr>
      </w:pPr>
    </w:p>
    <w:p>
      <w:pPr>
        <w:ind w:left="800" w:hanging="252"/>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facilitate the Construction Consultant's review of the construction of the Project and preparation of the certificates required hereby.</w:t>
      </w:r>
    </w:p>
    <w:p>
      <w:pPr>
        <w:spacing w:after="0" w:line="212" w:lineRule="exact"/>
        <w:rPr>
          <w:rFonts w:ascii="Times New Roman" w:cs="Times New Roman" w:eastAsia="Times New Roman" w:hAnsi="Times New Roman"/>
          <w:sz w:val="18"/>
          <w:szCs w:val="18"/>
          <w:color w:val="auto"/>
        </w:rPr>
      </w:pPr>
    </w:p>
    <w:p>
      <w:pPr>
        <w:ind w:left="540" w:right="560" w:firstLine="359"/>
        <w:spacing w:after="0" w:line="275" w:lineRule="auto"/>
        <w:tabs>
          <w:tab w:leader="none" w:pos="11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to the Construction Consultant out of the Advances made hereunder all amounts required hereunder and under the Construction Consultant Engagement Agreement.</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1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consultation required hereunder, following the end of each quarter, upon the request of any Funding Agent, consult with any such Person regarding any adverse event or condition identified in any report prepared by the Construction Consultant.</w:t>
      </w:r>
    </w:p>
    <w:p>
      <w:pPr>
        <w:spacing w:after="0" w:line="173" w:lineRule="exact"/>
        <w:rPr>
          <w:rFonts w:ascii="Times New Roman" w:cs="Times New Roman" w:eastAsia="Times New Roman" w:hAnsi="Times New Roman"/>
          <w:sz w:val="18"/>
          <w:szCs w:val="18"/>
          <w:color w:val="auto"/>
        </w:rPr>
      </w:pPr>
    </w:p>
    <w:p>
      <w:pPr>
        <w:ind w:left="360" w:right="120" w:firstLine="539"/>
        <w:spacing w:after="0" w:line="501" w:lineRule="auto"/>
        <w:tabs>
          <w:tab w:leader="none" w:pos="119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Construction Consultant, no less frequently than every thirty (30) days, an Anticipated Cost Report as in effect from time to time. 5.17 </w:t>
      </w:r>
      <w:r>
        <w:rPr>
          <w:rFonts w:ascii="Times New Roman" w:cs="Times New Roman" w:eastAsia="Times New Roman" w:hAnsi="Times New Roman"/>
          <w:sz w:val="18"/>
          <w:szCs w:val="18"/>
          <w:b w:val="1"/>
          <w:bCs w:val="1"/>
          <w:i w:val="1"/>
          <w:iCs w:val="1"/>
          <w:color w:val="auto"/>
        </w:rPr>
        <w:t>Preserving the Project Security.</w:t>
      </w:r>
    </w:p>
    <w:p>
      <w:pPr>
        <w:ind w:left="360"/>
        <w:spacing w:after="0"/>
        <w:rPr>
          <w:sz w:val="20"/>
          <w:szCs w:val="20"/>
          <w:color w:val="auto"/>
        </w:rPr>
      </w:pPr>
      <w:r>
        <w:rPr>
          <w:rFonts w:ascii="Times New Roman" w:cs="Times New Roman" w:eastAsia="Times New Roman" w:hAnsi="Times New Roman"/>
          <w:sz w:val="16"/>
          <w:szCs w:val="16"/>
          <w:color w:val="auto"/>
        </w:rPr>
        <w:t>Undertake and cause the other Loan Parties to undertake, all actions which are necessary or appropriate in the reasonable judgment of the Funding Agents to</w:t>
      </w:r>
    </w:p>
    <w:p>
      <w:pPr>
        <w:spacing w:after="0" w:line="44" w:lineRule="exact"/>
        <w:rPr>
          <w:sz w:val="20"/>
          <w:szCs w:val="20"/>
          <w:color w:val="auto"/>
        </w:rPr>
      </w:pPr>
    </w:p>
    <w:p>
      <w:pPr>
        <w:ind w:right="40" w:firstLine="8"/>
        <w:spacing w:after="0" w:line="253" w:lineRule="auto"/>
        <w:tabs>
          <w:tab w:leader="none" w:pos="2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Secured Parties' respective security interests under the Security Documents in the Project Security in full force and effect at all times (including the priority thereof), and (ii) preserve and protect the Project Security and protect and enforce the Company's rights and title and the respective rights of the Secured Parties to the Project Security, including, without limitation, the making or delivery of all filings and recordations, the payments of fees and other charges, the issuance of supplemental documentation, the discharge of all claims or other liens other than Permitted Liens adversely affecting the respective rights of the Secured Parties to and under the Project Security and the publication or other delivery of notice to third parties.</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5" w:right="239" w:bottom="0" w:gutter="0" w:footer="0" w:header="0"/>
          <w:type w:val="continuous"/>
        </w:sectPr>
      </w:pPr>
    </w:p>
    <w:bookmarkStart w:id="41" w:name="page42"/>
    <w:bookmarkEnd w:id="41"/>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160" w:firstLine="351"/>
        <w:spacing w:after="0" w:line="265"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i w:val="1"/>
          <w:iCs w:val="1"/>
          <w:color w:val="auto"/>
        </w:rPr>
        <w:t>Management Letters.</w:t>
      </w:r>
      <w:r>
        <w:rPr>
          <w:rFonts w:ascii="Times New Roman" w:cs="Times New Roman" w:eastAsia="Times New Roman" w:hAnsi="Times New Roman"/>
          <w:sz w:val="18"/>
          <w:szCs w:val="18"/>
          <w:color w:val="auto"/>
        </w:rPr>
        <w:t xml:space="preserve"> Deliver to the Funding Agents and the Disbursement Agent a copy of any "management letter" or other similar communication received by the Company from the Reviewing Accountant in relation to the Company's financial, accounting and other systems, management or accounts.</w:t>
      </w:r>
    </w:p>
    <w:p>
      <w:pPr>
        <w:spacing w:after="0" w:line="179" w:lineRule="exact"/>
        <w:rPr>
          <w:sz w:val="20"/>
          <w:szCs w:val="20"/>
          <w:color w:val="auto"/>
        </w:rPr>
      </w:pPr>
    </w:p>
    <w:p>
      <w:pPr>
        <w:ind w:right="12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b w:val="1"/>
          <w:bCs w:val="1"/>
          <w:i w:val="1"/>
          <w:iCs w:val="1"/>
          <w:color w:val="auto"/>
        </w:rPr>
        <w:t>Governmental and Environmental Reports.</w:t>
      </w:r>
      <w:r>
        <w:rPr>
          <w:rFonts w:ascii="Times New Roman" w:cs="Times New Roman" w:eastAsia="Times New Roman" w:hAnsi="Times New Roman"/>
          <w:sz w:val="18"/>
          <w:szCs w:val="18"/>
          <w:color w:val="auto"/>
        </w:rPr>
        <w:t xml:space="preserve"> Deliver to the Funding Agents, the Disbursement Agent and the Construction Consultant copies of all material reports required to be filed by the Company with any Governmental Authority and any reports with respect to Environmental Matters.</w:t>
      </w:r>
    </w:p>
    <w:p>
      <w:pPr>
        <w:spacing w:after="0" w:line="165" w:lineRule="exact"/>
        <w:rPr>
          <w:sz w:val="20"/>
          <w:szCs w:val="20"/>
          <w:color w:val="auto"/>
        </w:rPr>
      </w:pPr>
    </w:p>
    <w:p>
      <w:pPr>
        <w:ind w:right="4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color w:val="auto"/>
        </w:rPr>
        <w:t xml:space="preserve"> The Company shall, and shall cause each Loan Party, to at all times maintain in full force and effect the insurance policies and programs listed on </w:t>
      </w:r>
      <w:r>
        <w:rPr>
          <w:rFonts w:ascii="Times New Roman" w:cs="Times New Roman" w:eastAsia="Times New Roman" w:hAnsi="Times New Roman"/>
          <w:sz w:val="18"/>
          <w:szCs w:val="18"/>
          <w:i w:val="1"/>
          <w:iCs w:val="1"/>
          <w:color w:val="auto"/>
        </w:rPr>
        <w:t>Exhibit O</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i w:val="1"/>
          <w:iCs w:val="1"/>
          <w:color w:val="auto"/>
        </w:rPr>
        <w:t>Application of Insurance and Condemnation Proceeds.</w:t>
      </w:r>
      <w:r>
        <w:rPr>
          <w:rFonts w:ascii="Times New Roman" w:cs="Times New Roman" w:eastAsia="Times New Roman" w:hAnsi="Times New Roman"/>
          <w:sz w:val="18"/>
          <w:szCs w:val="18"/>
          <w:color w:val="auto"/>
        </w:rPr>
        <w:t xml:space="preserve"> If any Event of Loss shall occur with respect to the Project or any other asset of any Loan Party, the Company shall and shall cause each other Loan Party (a) promptly upon discovery or receipt of notice thereof to provide written notice thereof to the Disbursement Agent, and (b) diligently to pursue all its rights to compensation against all relevant insurers, reinsurers and/or Governmental Authorities, as applicable, in respect of such event to the extent that the Company or such Loan Party has a reasonable basis for a claim for compensation or reimbursement, including, without limitation, under any insurance policy required to be maintained hereunder. All amounts and proceeds (including instruments) in respect of any Event of Loss, including the proceeds of any insurance policy required to be maintained by the Company hereunder (collectively, "</w:t>
      </w:r>
      <w:r>
        <w:rPr>
          <w:rFonts w:ascii="Times New Roman" w:cs="Times New Roman" w:eastAsia="Times New Roman" w:hAnsi="Times New Roman"/>
          <w:sz w:val="18"/>
          <w:szCs w:val="18"/>
          <w:i w:val="1"/>
          <w:iCs w:val="1"/>
          <w:color w:val="auto"/>
        </w:rPr>
        <w:t>Loss Proceeds</w:t>
      </w:r>
      <w:r>
        <w:rPr>
          <w:rFonts w:ascii="Times New Roman" w:cs="Times New Roman" w:eastAsia="Times New Roman" w:hAnsi="Times New Roman"/>
          <w:sz w:val="18"/>
          <w:szCs w:val="18"/>
          <w:color w:val="auto"/>
        </w:rPr>
        <w:t>") shall be applied as provided in this Section. All Loss Proceeds (other than those in respect of the Aircraft Collateral which shall be governed by the FF&amp;E Facility Agreement) shall be paid by the insurers, reinsurers, Governmental Authorities or other payors directly to the Disbursement Agent for deposit in the Company's Funds Account. If any Loss Proceeds are paid directly to the Company, any affiliate of the Company or any Funding Agent or Lender by any insurer, reinsurer, Governmental Authority, any landlord or grantor under the Affiliate Real Estate Agreements or such other payor, (i) such Loss Proceeds shall be received in trust for the Disbursement Agent, (ii) such Loss Proceeds shall be segregated from other funds of the Company or such other Person, and (iii) the Company or such other Person shall pay (or, if applicable, the Company shall cause such of its affiliates to pay) such Loss Proceeds over to the Disbursement Agent in the same form as received (with any necessary endorsement) for deposit in the Company's Funds Account. In the event that for a period of ninety (90) days after any Loss Proceeds are deposited in the Company's Funds Account, the Company is not permitted pursuant to the terms hereof to obtain Advances of such Loss Proceeds, then the Company shall use all other such proceeds and funds on deposit in the Completion Guaranty Deposit Account and the Project Liquidity Reserve Account to prepay the Bank Loans, the Second Mortgage Notes and the FF&amp;E Facility in accordance with the Bank Credit Agreement, the Second Mortgage Notes Indenture and the FF&amp;E Facility Agreement, respectively, in each case, subject to the Project Lenders Intercreditor Agreement and the FF&amp;E Intercreditor Agreement.</w:t>
      </w:r>
    </w:p>
    <w:p>
      <w:pPr>
        <w:spacing w:after="0" w:line="194" w:lineRule="exact"/>
        <w:rPr>
          <w:sz w:val="20"/>
          <w:szCs w:val="20"/>
          <w:color w:val="auto"/>
        </w:rPr>
      </w:pPr>
    </w:p>
    <w:p>
      <w:pPr>
        <w:ind w:right="140" w:firstLine="351"/>
        <w:spacing w:after="0" w:line="265"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i w:val="1"/>
          <w:iCs w:val="1"/>
          <w:color w:val="auto"/>
        </w:rPr>
        <w:t>Compliance with Material Project Documents.</w:t>
      </w:r>
      <w:r>
        <w:rPr>
          <w:rFonts w:ascii="Times New Roman" w:cs="Times New Roman" w:eastAsia="Times New Roman" w:hAnsi="Times New Roman"/>
          <w:sz w:val="18"/>
          <w:szCs w:val="18"/>
          <w:color w:val="auto"/>
        </w:rPr>
        <w:t xml:space="preserve"> The Company shall comply duly and promptly, in all material respects, with its obligations, and enforce all of its respective rights under all Material Project Documents, except where the failure to comply or enforce such rights, as the case may be, could not reasonably be expected to have a Material Adverse Effect.</w:t>
      </w:r>
    </w:p>
    <w:p>
      <w:pPr>
        <w:spacing w:after="0" w:line="17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b w:val="1"/>
          <w:bCs w:val="1"/>
          <w:i w:val="1"/>
          <w:iCs w:val="1"/>
          <w:color w:val="auto"/>
        </w:rPr>
        <w:t>Utility Easement Modifications.</w:t>
      </w:r>
      <w:r>
        <w:rPr>
          <w:rFonts w:ascii="Times New Roman" w:cs="Times New Roman" w:eastAsia="Times New Roman" w:hAnsi="Times New Roman"/>
          <w:sz w:val="18"/>
          <w:szCs w:val="18"/>
          <w:color w:val="auto"/>
        </w:rPr>
        <w:t xml:space="preserve"> The Company shall diligently cause all utility or other easements that would interfere with the construction or maintenance of the improvements within the Project to be removed as expeditiously as possible. In any event, the Company shall remove such easements before they interfere in any material respect with the prosecution in accordance with the Project Schedule of the work involved with the Project, and in any event, prior to the Opening Date. In the event such easements are not removed prior to such time as is reasonably determined by the Construction Consultant and the Company fails to provide title insurance to the Project Secured Parties in a form reasonably satisfactory to them insuring over any loss the Project Secured Parties may suffer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Company's failure to so remove such easements, then the Company (a) agrees that the Disbursement Agent shall have the right to authorize such advances as it deems appropriate in order to remove or insure over the utility easements as exceptions to the title insurance policies in favor of the Project Secured Parties, and (b) hereby grants to the Disbursement Agent an irrevocable power of attorney to take such further steps in the name of the Company as the Construction Consultant determines are appropriate in order to remove or insure over such easements.</w:t>
      </w:r>
    </w:p>
    <w:p>
      <w:pPr>
        <w:spacing w:after="0" w:line="186" w:lineRule="exact"/>
        <w:rPr>
          <w:sz w:val="20"/>
          <w:szCs w:val="20"/>
          <w:color w:val="auto"/>
        </w:rPr>
      </w:pPr>
    </w:p>
    <w:p>
      <w:pPr>
        <w:ind w:right="140" w:firstLine="351"/>
        <w:spacing w:after="0" w:line="260"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b w:val="1"/>
          <w:bCs w:val="1"/>
          <w:i w:val="1"/>
          <w:iCs w:val="1"/>
          <w:color w:val="auto"/>
        </w:rPr>
        <w:t>Construction on Site.</w:t>
      </w:r>
      <w:r>
        <w:rPr>
          <w:rFonts w:ascii="Times New Roman" w:cs="Times New Roman" w:eastAsia="Times New Roman" w:hAnsi="Times New Roman"/>
          <w:sz w:val="18"/>
          <w:szCs w:val="18"/>
          <w:color w:val="auto"/>
        </w:rPr>
        <w:t xml:space="preserve"> The Company shall construct (a) the Golf Course only on the Golf Course Land pursuant to the Golf Course Lease, (b) the golf driving range only on the Phase II Land pursuant to the Driving Range Lease and (c) the remainder of the Project (excluding the Golf Course and the golf driving range) only on the portions of the Site owned by Wynn Las Vegas (excluding the Golf Course Land and the Phase II Land) provided that a portion of the "Entertainment Facility" (as defined in the Bank Credit Agreement) may encroach upon the Phase II Land.</w:t>
      </w:r>
    </w:p>
    <w:p>
      <w:pPr>
        <w:spacing w:after="0" w:line="183" w:lineRule="exact"/>
        <w:rPr>
          <w:sz w:val="20"/>
          <w:szCs w:val="20"/>
          <w:color w:val="auto"/>
        </w:rPr>
      </w:pPr>
    </w:p>
    <w:p>
      <w:pPr>
        <w:ind w:right="160" w:firstLine="351"/>
        <w:spacing w:after="0" w:line="280"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b w:val="1"/>
          <w:bCs w:val="1"/>
          <w:i w:val="1"/>
          <w:iCs w:val="1"/>
          <w:color w:val="auto"/>
        </w:rPr>
        <w:t>FF&amp;E Component.</w:t>
      </w:r>
      <w:r>
        <w:rPr>
          <w:rFonts w:ascii="Times New Roman" w:cs="Times New Roman" w:eastAsia="Times New Roman" w:hAnsi="Times New Roman"/>
          <w:sz w:val="18"/>
          <w:szCs w:val="18"/>
          <w:color w:val="auto"/>
        </w:rPr>
        <w:t xml:space="preserve"> The Company shall as contemplated in the definition of the term "FF&amp;E Component" from time to time update </w:t>
      </w:r>
      <w:r>
        <w:rPr>
          <w:rFonts w:ascii="Times New Roman" w:cs="Times New Roman" w:eastAsia="Times New Roman" w:hAnsi="Times New Roman"/>
          <w:sz w:val="18"/>
          <w:szCs w:val="18"/>
          <w:i w:val="1"/>
          <w:iCs w:val="1"/>
          <w:color w:val="auto"/>
        </w:rPr>
        <w:t>Exhibit T-3</w:t>
      </w:r>
      <w:r>
        <w:rPr>
          <w:rFonts w:ascii="Times New Roman" w:cs="Times New Roman" w:eastAsia="Times New Roman" w:hAnsi="Times New Roman"/>
          <w:sz w:val="18"/>
          <w:szCs w:val="18"/>
          <w:color w:val="auto"/>
        </w:rPr>
        <w:t xml:space="preserve"> as necessary so that such Exhibit shall reflect an accurate description of the FF&amp;E Component.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—NEGATIVE COVENANTS</w:t>
      </w:r>
    </w:p>
    <w:p>
      <w:pPr>
        <w:spacing w:after="0" w:line="229"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 xml:space="preserve">The Company covenants and agrees, with and for the benefit of the Funding Agents, the Lenders and the Disbursement Agent that until this Agreement is terminated pursuant to </w:t>
      </w:r>
      <w:r>
        <w:rPr>
          <w:rFonts w:ascii="Times New Roman" w:cs="Times New Roman" w:eastAsia="Times New Roman" w:hAnsi="Times New Roman"/>
          <w:sz w:val="18"/>
          <w:szCs w:val="18"/>
          <w:i w:val="1"/>
          <w:iCs w:val="1"/>
          <w:color w:val="auto"/>
        </w:rPr>
        <w:t>Section 11.18</w:t>
      </w:r>
      <w:r>
        <w:rPr>
          <w:rFonts w:ascii="Times New Roman" w:cs="Times New Roman" w:eastAsia="Times New Roman" w:hAnsi="Times New Roman"/>
          <w:sz w:val="18"/>
          <w:szCs w:val="18"/>
          <w:color w:val="auto"/>
        </w:rPr>
        <w:t xml:space="preserve"> hereof, it shall not:</w:t>
      </w:r>
    </w:p>
    <w:p>
      <w:pPr>
        <w:spacing w:after="0" w:line="170"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b w:val="1"/>
          <w:bCs w:val="1"/>
          <w:i w:val="1"/>
          <w:iCs w:val="1"/>
          <w:color w:val="auto"/>
        </w:rPr>
        <w:t>Waiver, Modification and Amendment.</w:t>
      </w:r>
    </w:p>
    <w:p>
      <w:pPr>
        <w:spacing w:after="0" w:line="229" w:lineRule="exact"/>
        <w:rPr>
          <w:sz w:val="20"/>
          <w:szCs w:val="20"/>
          <w:color w:val="auto"/>
        </w:rPr>
      </w:pPr>
    </w:p>
    <w:p>
      <w:pPr>
        <w:ind w:left="540" w:right="120" w:firstLine="263"/>
        <w:spacing w:after="0" w:line="291" w:lineRule="auto"/>
        <w:rPr>
          <w:sz w:val="20"/>
          <w:szCs w:val="20"/>
          <w:color w:val="auto"/>
        </w:rPr>
      </w:pPr>
      <w:r>
        <w:rPr>
          <w:rFonts w:ascii="Times New Roman" w:cs="Times New Roman" w:eastAsia="Times New Roman" w:hAnsi="Times New Roman"/>
          <w:sz w:val="16"/>
          <w:szCs w:val="16"/>
          <w:color w:val="auto"/>
        </w:rPr>
        <w:t xml:space="preserve">6.1.1 directly or indirectly enter into, amend, modify, terminate (except in accordance with its terms), supplement or waive a right or permit or consent to the amendment, modification, termination (except in accordance with its terms), supplement or waiver of any of the provisions of, or give any consent under (a) any Permit, the effect of which could reasonably be expected to have a Material Adverse Effect, (b) the Bylaws, Articles of Incorporation, Certificates of Formation or Operating Agreements of any Loan Parties (except as contemplated by </w:t>
      </w:r>
      <w:r>
        <w:rPr>
          <w:rFonts w:ascii="Times New Roman" w:cs="Times New Roman" w:eastAsia="Times New Roman" w:hAnsi="Times New Roman"/>
          <w:sz w:val="16"/>
          <w:szCs w:val="16"/>
          <w:i w:val="1"/>
          <w:iCs w:val="1"/>
          <w:color w:val="auto"/>
        </w:rPr>
        <w:t>Section 3.3.32</w:t>
      </w:r>
      <w:r>
        <w:rPr>
          <w:rFonts w:ascii="Times New Roman" w:cs="Times New Roman" w:eastAsia="Times New Roman" w:hAnsi="Times New Roman"/>
          <w:sz w:val="16"/>
          <w:szCs w:val="16"/>
          <w:color w:val="auto"/>
        </w:rPr>
        <w:t xml:space="preserve"> hereof), (c) the Construction Guaranty or any Payment and Performance Bond (i) without obtaining the Bank Agent's prior written consent, (ii) without obtaining the FF&amp;E Lender's prior written consent and (iii) if such amendment, modification, termination, supplement or waiver is not permitted under </w:t>
      </w:r>
      <w:r>
        <w:rPr>
          <w:rFonts w:ascii="Times New Roman" w:cs="Times New Roman" w:eastAsia="Times New Roman" w:hAnsi="Times New Roman"/>
          <w:sz w:val="16"/>
          <w:szCs w:val="16"/>
          <w:i w:val="1"/>
          <w:iCs w:val="1"/>
          <w:color w:val="auto"/>
        </w:rPr>
        <w:t>Sections 4.28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4.29</w:t>
      </w:r>
      <w:r>
        <w:rPr>
          <w:rFonts w:ascii="Times New Roman" w:cs="Times New Roman" w:eastAsia="Times New Roman" w:hAnsi="Times New Roman"/>
          <w:sz w:val="16"/>
          <w:szCs w:val="16"/>
          <w:color w:val="auto"/>
        </w:rPr>
        <w:t xml:space="preserve"> of the Second Mortgage Notes Indenture, without obtaining (A) the consent of a majority in principal amount of the holders of the Second</w:t>
      </w:r>
    </w:p>
    <w:p>
      <w:pPr>
        <w:sectPr>
          <w:pgSz w:w="11900" w:h="16905" w:orient="portrait"/>
          <w:cols w:equalWidth="0" w:num="1">
            <w:col w:w="11420"/>
          </w:cols>
          <w:pgMar w:left="240" w:top="715" w:right="239" w:bottom="0" w:gutter="0" w:footer="0" w:header="0"/>
        </w:sectPr>
      </w:pPr>
    </w:p>
    <w:bookmarkStart w:id="42" w:name="page43"/>
    <w:bookmarkEnd w:id="42"/>
    <w:p>
      <w:pPr>
        <w:ind w:left="180" w:right="100"/>
        <w:spacing w:after="0" w:line="254" w:lineRule="auto"/>
        <w:rPr>
          <w:sz w:val="20"/>
          <w:szCs w:val="20"/>
          <w:color w:val="auto"/>
        </w:rPr>
      </w:pPr>
      <w:r>
        <w:rPr>
          <w:rFonts w:ascii="Times New Roman" w:cs="Times New Roman" w:eastAsia="Times New Roman" w:hAnsi="Times New Roman"/>
          <w:sz w:val="18"/>
          <w:szCs w:val="18"/>
          <w:color w:val="auto"/>
        </w:rPr>
        <w:t xml:space="preserve">Mortgage Notes or (B) if the Second Mortgage Notes are then rated CCC+ or higher by S&amp;P, a confirmation from the Rating Agencies that such amendment, waiver or other modification will not result in a Rating Downgrade (provided that the Loan Parties may amend, modify, terminate, supplement or waive any provision under (or provide a consent under) any document described in clauses (b) or (c) above if such amendment, modification, termination, supplement, waiver or consent (x) has no adverse effect on the Loan Parties or any Lender and (y) does not relate to any of the substantive non-consolidation related provisions in the organizational documents of the Loan Parties), or (d) any other Contract unless it could not reasonably be expected to have a Material Adverse Effect, and then only in accordance with the procedures set forth in </w:t>
      </w:r>
      <w:r>
        <w:rPr>
          <w:rFonts w:ascii="Times New Roman" w:cs="Times New Roman" w:eastAsia="Times New Roman" w:hAnsi="Times New Roman"/>
          <w:sz w:val="18"/>
          <w:szCs w:val="18"/>
          <w:i w:val="1"/>
          <w:iCs w:val="1"/>
          <w:color w:val="auto"/>
        </w:rPr>
        <w:t>Section 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6.1.3</w:t>
      </w:r>
      <w:r>
        <w:rPr>
          <w:rFonts w:ascii="Times New Roman" w:cs="Times New Roman" w:eastAsia="Times New Roman" w:hAnsi="Times New Roman"/>
          <w:sz w:val="18"/>
          <w:szCs w:val="18"/>
          <w:color w:val="auto"/>
        </w:rPr>
        <w:t xml:space="preserve">, as applicable, below (provided that the same shall not relieve the Company of the requirements of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Notwithstanding any of the foregoing, the Company may:</w:t>
      </w:r>
    </w:p>
    <w:p>
      <w:pPr>
        <w:spacing w:after="0" w:line="192" w:lineRule="exact"/>
        <w:rPr>
          <w:sz w:val="20"/>
          <w:szCs w:val="20"/>
          <w:color w:val="auto"/>
        </w:rPr>
      </w:pPr>
    </w:p>
    <w:p>
      <w:pPr>
        <w:ind w:left="180" w:right="200" w:firstLine="263"/>
        <w:spacing w:after="0" w:line="262" w:lineRule="auto"/>
        <w:rPr>
          <w:sz w:val="20"/>
          <w:szCs w:val="20"/>
          <w:color w:val="auto"/>
        </w:rPr>
      </w:pPr>
      <w:r>
        <w:rPr>
          <w:rFonts w:ascii="Times New Roman" w:cs="Times New Roman" w:eastAsia="Times New Roman" w:hAnsi="Times New Roman"/>
          <w:sz w:val="18"/>
          <w:szCs w:val="18"/>
          <w:color w:val="auto"/>
        </w:rPr>
        <w:t>6.1.2 enter into Contracts consistent with the Final Plans and Specifications, the Project Schedule and the Project Budget, as each is in effect from time to time. Each such Contract shall be in writing and shall become effective when and only when: (i) the Company and the Contractor have executed and delivered the Contract (or, in the case of any purchase orders, such purchase</w:t>
      </w:r>
    </w:p>
    <w:p>
      <w:pPr>
        <w:spacing w:after="0" w:line="1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 xml:space="preserve">order shall have otherwise become enforceable against the Company and the Contractor thereunder) (with the effectiveness thereof subject only to satisfaction of the conditions in clauses (ii), (iii), (iv), (v) and (vi) below); (ii) for Contracts constituting Material Project Documents, the Company has submitted to the Disbursement Agent an Additional Contract Certificate together with all exhibits, attachments and certificates required thereby (including the Construction Consultant's Certificate), each duly completed and executed; (iii) if entering into such Contract will result in an amendment to the Project Budget, the Company has complied with the requirements of </w:t>
      </w:r>
      <w:r>
        <w:rPr>
          <w:rFonts w:ascii="Times New Roman" w:cs="Times New Roman" w:eastAsia="Times New Roman" w:hAnsi="Times New Roman"/>
          <w:sz w:val="18"/>
          <w:szCs w:val="18"/>
          <w:i w:val="1"/>
          <w:iCs w:val="1"/>
          <w:color w:val="auto"/>
        </w:rPr>
        <w:t>Section 6.4</w:t>
      </w:r>
      <w:r>
        <w:rPr>
          <w:rFonts w:ascii="Times New Roman" w:cs="Times New Roman" w:eastAsia="Times New Roman" w:hAnsi="Times New Roman"/>
          <w:sz w:val="18"/>
          <w:szCs w:val="18"/>
          <w:color w:val="auto"/>
        </w:rPr>
        <w:t xml:space="preserve">; (iv) if entering into such Contract will have the effect of a Scope Change, the Company has complied with the provisions of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xml:space="preserve">; (v) if entering into such Contract will cause the Project to fail to be In Balance, the Company has complied with the requirements of </w:t>
      </w:r>
      <w:r>
        <w:rPr>
          <w:rFonts w:ascii="Times New Roman" w:cs="Times New Roman" w:eastAsia="Times New Roman" w:hAnsi="Times New Roman"/>
          <w:sz w:val="18"/>
          <w:szCs w:val="18"/>
          <w:i w:val="1"/>
          <w:iCs w:val="1"/>
          <w:color w:val="auto"/>
        </w:rPr>
        <w:t>Section 5.8.3</w:t>
      </w:r>
      <w:r>
        <w:rPr>
          <w:rFonts w:ascii="Times New Roman" w:cs="Times New Roman" w:eastAsia="Times New Roman" w:hAnsi="Times New Roman"/>
          <w:sz w:val="18"/>
          <w:szCs w:val="18"/>
          <w:color w:val="auto"/>
        </w:rPr>
        <w:t xml:space="preserve">; (vi) if a Payment and Performance Bond is required under </w:t>
      </w:r>
      <w:r>
        <w:rPr>
          <w:rFonts w:ascii="Times New Roman" w:cs="Times New Roman" w:eastAsia="Times New Roman" w:hAnsi="Times New Roman"/>
          <w:sz w:val="18"/>
          <w:szCs w:val="18"/>
          <w:i w:val="1"/>
          <w:iCs w:val="1"/>
          <w:color w:val="auto"/>
        </w:rPr>
        <w:t>Section 5.14</w:t>
      </w:r>
      <w:r>
        <w:rPr>
          <w:rFonts w:ascii="Times New Roman" w:cs="Times New Roman" w:eastAsia="Times New Roman" w:hAnsi="Times New Roman"/>
          <w:sz w:val="18"/>
          <w:szCs w:val="18"/>
          <w:color w:val="auto"/>
        </w:rPr>
        <w:t xml:space="preserve"> with respect to such Contract, the Company shall have obtained and delivered such Payment and Performance Bond to the Disbursement Agent within the time period required under </w:t>
      </w:r>
      <w:r>
        <w:rPr>
          <w:rFonts w:ascii="Times New Roman" w:cs="Times New Roman" w:eastAsia="Times New Roman" w:hAnsi="Times New Roman"/>
          <w:sz w:val="18"/>
          <w:szCs w:val="18"/>
          <w:i w:val="1"/>
          <w:iCs w:val="1"/>
          <w:color w:val="auto"/>
        </w:rPr>
        <w:t>Section 5.14</w:t>
      </w:r>
      <w:r>
        <w:rPr>
          <w:rFonts w:ascii="Times New Roman" w:cs="Times New Roman" w:eastAsia="Times New Roman" w:hAnsi="Times New Roman"/>
          <w:sz w:val="18"/>
          <w:szCs w:val="18"/>
          <w:color w:val="auto"/>
        </w:rPr>
        <w:t xml:space="preserve"> and (vii) for contracts constituting Material Project Documents, the Disbursement Agent has acknowledged receipt of the materials referenced in clause (ii) above, as contemplated in the Additional Contract Certificate (which the Disbursement Agent agrees to promptly do upon receipt of said material);</w:t>
      </w:r>
    </w:p>
    <w:p>
      <w:pPr>
        <w:spacing w:after="0" w:line="193" w:lineRule="exact"/>
        <w:rPr>
          <w:sz w:val="20"/>
          <w:szCs w:val="20"/>
          <w:color w:val="auto"/>
        </w:rPr>
      </w:pPr>
    </w:p>
    <w:p>
      <w:pPr>
        <w:ind w:left="180" w:right="40" w:firstLine="263"/>
        <w:spacing w:after="0" w:line="287" w:lineRule="auto"/>
        <w:rPr>
          <w:sz w:val="20"/>
          <w:szCs w:val="20"/>
          <w:color w:val="auto"/>
        </w:rPr>
      </w:pPr>
      <w:r>
        <w:rPr>
          <w:rFonts w:ascii="Times New Roman" w:cs="Times New Roman" w:eastAsia="Times New Roman" w:hAnsi="Times New Roman"/>
          <w:sz w:val="16"/>
          <w:szCs w:val="16"/>
          <w:color w:val="auto"/>
        </w:rPr>
        <w:t xml:space="preserve">6.1.3 from time to time, amend any Contracts. Any such amendment shall be in writing and shall identify with particularity all changes being made. Each such amendment shall be effective when and only when: (i) the Company and other Contractor have executed and delivered the contract amendment (or, in the case of any amendment to a purchase order, such amendment shall have otherwise become enforceable against the Company and the Contractor thereunder) (with the effectiveness thereof subject only to satisfaction of the conditions in clauses (ii), (iii), (iv), (v) and (vi) below); (ii) for Contracts constituting Material Project Documents, the Company has submitted to the Disbursement Agent a Contract Amendment Certificate together with all exhibits, attachments and certificates required thereby each duly completed and executed; (iii) if such amendment will result in an amendment to the Project Budget, the Company has complied with the requirements of </w:t>
      </w:r>
      <w:r>
        <w:rPr>
          <w:rFonts w:ascii="Times New Roman" w:cs="Times New Roman" w:eastAsia="Times New Roman" w:hAnsi="Times New Roman"/>
          <w:sz w:val="16"/>
          <w:szCs w:val="16"/>
          <w:i w:val="1"/>
          <w:iCs w:val="1"/>
          <w:color w:val="auto"/>
        </w:rPr>
        <w:t>Section 6.4</w:t>
      </w:r>
      <w:r>
        <w:rPr>
          <w:rFonts w:ascii="Times New Roman" w:cs="Times New Roman" w:eastAsia="Times New Roman" w:hAnsi="Times New Roman"/>
          <w:sz w:val="16"/>
          <w:szCs w:val="16"/>
          <w:color w:val="auto"/>
        </w:rPr>
        <w:t xml:space="preserve">; (iv) if such amendment will have the effect of a Scope Change, the Company has complied with the provisions of </w:t>
      </w:r>
      <w:r>
        <w:rPr>
          <w:rFonts w:ascii="Times New Roman" w:cs="Times New Roman" w:eastAsia="Times New Roman" w:hAnsi="Times New Roman"/>
          <w:sz w:val="16"/>
          <w:szCs w:val="16"/>
          <w:i w:val="1"/>
          <w:iCs w:val="1"/>
          <w:color w:val="auto"/>
        </w:rPr>
        <w:t>Section 6.2</w:t>
      </w:r>
      <w:r>
        <w:rPr>
          <w:rFonts w:ascii="Times New Roman" w:cs="Times New Roman" w:eastAsia="Times New Roman" w:hAnsi="Times New Roman"/>
          <w:sz w:val="16"/>
          <w:szCs w:val="16"/>
          <w:color w:val="auto"/>
        </w:rPr>
        <w:t xml:space="preserve">; (v) if such amendment will cause the Project to fail to be In Balance, the Company has complied with the requirements of </w:t>
      </w:r>
      <w:r>
        <w:rPr>
          <w:rFonts w:ascii="Times New Roman" w:cs="Times New Roman" w:eastAsia="Times New Roman" w:hAnsi="Times New Roman"/>
          <w:sz w:val="16"/>
          <w:szCs w:val="16"/>
          <w:i w:val="1"/>
          <w:iCs w:val="1"/>
          <w:color w:val="auto"/>
        </w:rPr>
        <w:t>Section 5.8.3</w:t>
      </w:r>
      <w:r>
        <w:rPr>
          <w:rFonts w:ascii="Times New Roman" w:cs="Times New Roman" w:eastAsia="Times New Roman" w:hAnsi="Times New Roman"/>
          <w:sz w:val="16"/>
          <w:szCs w:val="16"/>
          <w:color w:val="auto"/>
        </w:rPr>
        <w:t xml:space="preserve">; (vi) if a Payment and Performance Bond is required under </w:t>
      </w:r>
      <w:r>
        <w:rPr>
          <w:rFonts w:ascii="Times New Roman" w:cs="Times New Roman" w:eastAsia="Times New Roman" w:hAnsi="Times New Roman"/>
          <w:sz w:val="16"/>
          <w:szCs w:val="16"/>
          <w:i w:val="1"/>
          <w:iCs w:val="1"/>
          <w:color w:val="auto"/>
        </w:rPr>
        <w:t>Section 5.14</w:t>
      </w:r>
      <w:r>
        <w:rPr>
          <w:rFonts w:ascii="Times New Roman" w:cs="Times New Roman" w:eastAsia="Times New Roman" w:hAnsi="Times New Roman"/>
          <w:sz w:val="16"/>
          <w:szCs w:val="16"/>
          <w:color w:val="auto"/>
        </w:rPr>
        <w:t xml:space="preserve"> with respect to such Contract after giving effect to the amendment, the Company shall have obtained the written consent of the surety that issued such Payment and Performance Bond to such amendment and delivered such consent to the Disbursement Agent with a copy to the Construction Consultant; and (vii) for Contracts constituting Material Project Documents, the Disbursement Agent has acknowledged its receipt of the materials referenced in clause (ii) and (vi) above, as contemplated in the Contract Amendment Certificate (which the Disbursement Agent agrees to promptly do upon receipt of said materials).</w:t>
      </w:r>
    </w:p>
    <w:p>
      <w:pPr>
        <w:spacing w:after="0" w:line="3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6"/>
          <w:szCs w:val="16"/>
          <w:b w:val="1"/>
          <w:bCs w:val="1"/>
          <w:i w:val="1"/>
          <w:iCs w:val="1"/>
          <w:color w:val="auto"/>
        </w:rPr>
        <w:t>Scope Changes; Completion; Drawings.</w:t>
      </w:r>
    </w:p>
    <w:p>
      <w:pPr>
        <w:spacing w:after="0" w:line="227" w:lineRule="exact"/>
        <w:rPr>
          <w:sz w:val="20"/>
          <w:szCs w:val="20"/>
          <w:color w:val="auto"/>
        </w:rPr>
      </w:pPr>
    </w:p>
    <w:p>
      <w:pPr>
        <w:ind w:left="180" w:right="1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i w:val="1"/>
          <w:iCs w:val="1"/>
          <w:color w:val="auto"/>
        </w:rPr>
        <w:t>Scope Changes.</w:t>
      </w:r>
      <w:r>
        <w:rPr>
          <w:rFonts w:ascii="Times New Roman" w:cs="Times New Roman" w:eastAsia="Times New Roman" w:hAnsi="Times New Roman"/>
          <w:sz w:val="18"/>
          <w:szCs w:val="18"/>
          <w:color w:val="auto"/>
        </w:rPr>
        <w:t xml:space="preserve"> Without obtaining the Required Scope Change Approval, direct, consent to or enter into any Scope Change if such Scope Change:</w:t>
      </w:r>
    </w:p>
    <w:p>
      <w:pPr>
        <w:spacing w:after="0" w:line="172" w:lineRule="exact"/>
        <w:rPr>
          <w:sz w:val="20"/>
          <w:szCs w:val="20"/>
          <w:color w:val="auto"/>
        </w:rPr>
      </w:pPr>
    </w:p>
    <w:p>
      <w:pPr>
        <w:ind w:left="1360" w:hanging="280"/>
        <w:spacing w:after="0"/>
        <w:tabs>
          <w:tab w:leader="none" w:pos="1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increase the amount of Project Costs unless the following clauses (i) and (ii) have been satisfied:</w:t>
      </w:r>
    </w:p>
    <w:p>
      <w:pPr>
        <w:spacing w:after="0" w:line="225" w:lineRule="exact"/>
        <w:rPr>
          <w:rFonts w:ascii="Times New Roman" w:cs="Times New Roman" w:eastAsia="Times New Roman" w:hAnsi="Times New Roman"/>
          <w:sz w:val="18"/>
          <w:szCs w:val="18"/>
          <w:color w:val="auto"/>
        </w:rPr>
      </w:pPr>
    </w:p>
    <w:p>
      <w:pPr>
        <w:ind w:left="1260" w:right="40" w:firstLine="448"/>
        <w:spacing w:after="0" w:line="262" w:lineRule="auto"/>
        <w:tabs>
          <w:tab w:leader="none" w:pos="195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causes common equity contributions in the amount of such increase to be made to the Company (other than from funds in the Completion Guaranty Deposit Account or the Project Liquidity Reserve Account) and deposited in the Company's Funds Account; or</w:t>
      </w:r>
    </w:p>
    <w:p>
      <w:pPr>
        <w:spacing w:after="0" w:line="1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0" w:right="80" w:firstLine="360"/>
        <w:spacing w:after="0" w:line="275" w:lineRule="auto"/>
        <w:tabs>
          <w:tab w:leader="none" w:pos="24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allocates Realized Savings obtained with respect to a Line Item Category in the amount of such increase to pay for such Scope Change, which may occur if and only if the following conditions have been satisfied:</w:t>
      </w:r>
    </w:p>
    <w:p>
      <w:pPr>
        <w:spacing w:after="0" w:line="173" w:lineRule="exact"/>
        <w:rPr>
          <w:rFonts w:ascii="Times New Roman" w:cs="Times New Roman" w:eastAsia="Times New Roman" w:hAnsi="Times New Roman"/>
          <w:sz w:val="18"/>
          <w:szCs w:val="18"/>
          <w:color w:val="auto"/>
        </w:rPr>
      </w:pPr>
    </w:p>
    <w:p>
      <w:pPr>
        <w:ind w:left="3000" w:hanging="300"/>
        <w:spacing w:after="0"/>
        <w:tabs>
          <w:tab w:leader="none" w:pos="30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reasonably anticipates (and the Construction Consultant confirms) that the Opening Date shall</w:t>
      </w:r>
    </w:p>
    <w:p>
      <w:pPr>
        <w:spacing w:after="0" w:line="2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w:t>
      </w:r>
    </w:p>
    <w:p>
      <w:pPr>
        <w:spacing w:after="0" w:line="212" w:lineRule="exact"/>
        <w:rPr>
          <w:rFonts w:ascii="Times New Roman" w:cs="Times New Roman" w:eastAsia="Times New Roman" w:hAnsi="Times New Roman"/>
          <w:sz w:val="18"/>
          <w:szCs w:val="18"/>
          <w:color w:val="auto"/>
        </w:rPr>
      </w:pPr>
    </w:p>
    <w:p>
      <w:pPr>
        <w:ind w:left="2880" w:right="460" w:firstLine="360"/>
        <w:spacing w:after="0" w:line="275" w:lineRule="auto"/>
        <w:tabs>
          <w:tab w:leader="none" w:pos="352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months from the date of such allocation, if such Scope Change will increase the amount of Project Costs allocated to the aqua theater,</w:t>
      </w:r>
    </w:p>
    <w:p>
      <w:pPr>
        <w:spacing w:after="0" w:line="173" w:lineRule="exact"/>
        <w:rPr>
          <w:rFonts w:ascii="Times New Roman" w:cs="Times New Roman" w:eastAsia="Times New Roman" w:hAnsi="Times New Roman"/>
          <w:sz w:val="18"/>
          <w:szCs w:val="18"/>
          <w:color w:val="auto"/>
        </w:rPr>
      </w:pPr>
    </w:p>
    <w:p>
      <w:pPr>
        <w:ind w:left="2880" w:right="460" w:firstLine="360"/>
        <w:spacing w:after="0" w:line="275" w:lineRule="auto"/>
        <w:tabs>
          <w:tab w:leader="none" w:pos="352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14 months from the date of such allocation, if such Scope Change will increase the amount of Project Costs allocated to the lake or mountain feature; or</w:t>
      </w:r>
    </w:p>
    <w:p>
      <w:pPr>
        <w:spacing w:after="0" w:line="173" w:lineRule="exact"/>
        <w:rPr>
          <w:rFonts w:ascii="Times New Roman" w:cs="Times New Roman" w:eastAsia="Times New Roman" w:hAnsi="Times New Roman"/>
          <w:sz w:val="18"/>
          <w:szCs w:val="18"/>
          <w:color w:val="auto"/>
        </w:rPr>
      </w:pPr>
    </w:p>
    <w:p>
      <w:pPr>
        <w:ind w:left="3520" w:hanging="280"/>
        <w:spacing w:after="0"/>
        <w:tabs>
          <w:tab w:leader="none" w:pos="352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from the date of such allocation, for all other Scope Changes;</w:t>
      </w:r>
    </w:p>
    <w:p>
      <w:pPr>
        <w:spacing w:after="0" w:line="225" w:lineRule="exact"/>
        <w:rPr>
          <w:rFonts w:ascii="Times New Roman" w:cs="Times New Roman" w:eastAsia="Times New Roman" w:hAnsi="Times New Roman"/>
          <w:sz w:val="18"/>
          <w:szCs w:val="18"/>
          <w:color w:val="auto"/>
        </w:rPr>
      </w:pPr>
    </w:p>
    <w:p>
      <w:pPr>
        <w:ind w:left="2340" w:right="320" w:firstLine="360"/>
        <w:spacing w:after="0" w:line="275" w:lineRule="auto"/>
        <w:tabs>
          <w:tab w:leader="none" w:pos="298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Contractor shall have entered into Subcontracts in respect of ninety percent (90%) of the guaranteed maximum price under the Prime Construction Contract; and</w:t>
      </w:r>
    </w:p>
    <w:p>
      <w:pPr>
        <w:spacing w:after="0" w:line="173" w:lineRule="exact"/>
        <w:rPr>
          <w:rFonts w:ascii="Times New Roman" w:cs="Times New Roman" w:eastAsia="Times New Roman" w:hAnsi="Times New Roman"/>
          <w:sz w:val="18"/>
          <w:szCs w:val="18"/>
          <w:color w:val="auto"/>
        </w:rPr>
      </w:pPr>
    </w:p>
    <w:p>
      <w:pPr>
        <w:ind w:left="2340" w:right="40" w:firstLine="360"/>
        <w:spacing w:after="0" w:line="262" w:lineRule="auto"/>
        <w:tabs>
          <w:tab w:leader="none" w:pos="298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guaranteed maximum price Contracts in respect of seventy percent (70%) of the total costs reflected in the Project Budget for the "Interior Furnishings/Signage/Electronic Systems," "Miscellaneous Capital Projects," "Golf Course Construction," and Parking Garage" Line Item Categories; and</w:t>
      </w:r>
    </w:p>
    <w:p>
      <w:pPr>
        <w:sectPr>
          <w:pgSz w:w="11900" w:h="16838" w:orient="portrait"/>
          <w:cols w:equalWidth="0" w:num="1">
            <w:col w:w="11060"/>
          </w:cols>
          <w:pgMar w:left="600" w:top="125" w:right="239" w:bottom="0" w:gutter="0" w:footer="0" w:header="0"/>
        </w:sectPr>
      </w:pPr>
    </w:p>
    <w:bookmarkStart w:id="43" w:name="page44"/>
    <w:bookmarkEnd w:id="43"/>
    <w:p>
      <w:pPr>
        <w:ind w:left="2280" w:hanging="300"/>
        <w:spacing w:after="0"/>
        <w:tabs>
          <w:tab w:leader="none" w:pos="228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amends the Project Budget to the extent required under </w:t>
      </w:r>
      <w:r>
        <w:rPr>
          <w:rFonts w:ascii="Times New Roman" w:cs="Times New Roman" w:eastAsia="Times New Roman" w:hAnsi="Times New Roman"/>
          <w:sz w:val="16"/>
          <w:szCs w:val="16"/>
          <w:i w:val="1"/>
          <w:iCs w:val="1"/>
          <w:color w:val="auto"/>
        </w:rPr>
        <w:t>Section 6.4.1</w:t>
      </w:r>
      <w:r>
        <w:rPr>
          <w:rFonts w:ascii="Times New Roman" w:cs="Times New Roman" w:eastAsia="Times New Roman" w:hAnsi="Times New Roman"/>
          <w:sz w:val="16"/>
          <w:szCs w:val="16"/>
          <w:color w:val="auto"/>
        </w:rPr>
        <w:t xml:space="preserve"> so as to reflect to the proposed Scope Change;</w:t>
      </w:r>
    </w:p>
    <w:p>
      <w:pPr>
        <w:spacing w:after="0" w:line="250" w:lineRule="exact"/>
        <w:rPr>
          <w:rFonts w:ascii="Times New Roman" w:cs="Times New Roman" w:eastAsia="Times New Roman" w:hAnsi="Times New Roman"/>
          <w:sz w:val="16"/>
          <w:szCs w:val="16"/>
          <w:color w:val="auto"/>
        </w:rPr>
      </w:pPr>
    </w:p>
    <w:p>
      <w:pPr>
        <w:ind w:left="1080" w:right="40" w:firstLine="360"/>
        <w:spacing w:after="0" w:line="275" w:lineRule="auto"/>
        <w:tabs>
          <w:tab w:leader="none" w:pos="17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in the reasonable judgment of (i) the Company (in the case of any De Minimis Scope Change) and (ii) the Construction Consultant (in the case of any Scope Change that is not a De Minimis Scope Change), consistent with the requirements of </w:t>
      </w:r>
      <w:r>
        <w:rPr>
          <w:rFonts w:ascii="Times New Roman" w:cs="Times New Roman" w:eastAsia="Times New Roman" w:hAnsi="Times New Roman"/>
          <w:sz w:val="18"/>
          <w:szCs w:val="18"/>
          <w:i w:val="1"/>
          <w:iCs w:val="1"/>
          <w:color w:val="auto"/>
        </w:rPr>
        <w:t>Exhibit X-1</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1080" w:right="20" w:firstLine="360"/>
        <w:spacing w:after="0" w:line="258" w:lineRule="auto"/>
        <w:tabs>
          <w:tab w:leader="none" w:pos="171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the (i) the Company (in the case of any De Minimis Scope Change) and (ii) the Construction Consultant (in the case of any Scope Change that is not a De Minimis Scope Change) (based on its experience, familiarity and review of the Project and representations provided by the Company, the Contractors and Subcontractors), could reasonably delay the Completion Date beyond the Scheduled Completion Date;</w:t>
      </w:r>
    </w:p>
    <w:p>
      <w:pPr>
        <w:spacing w:after="0" w:line="190" w:lineRule="exact"/>
        <w:rPr>
          <w:rFonts w:ascii="Times New Roman" w:cs="Times New Roman" w:eastAsia="Times New Roman" w:hAnsi="Times New Roman"/>
          <w:sz w:val="18"/>
          <w:szCs w:val="18"/>
          <w:color w:val="auto"/>
        </w:rPr>
      </w:pPr>
    </w:p>
    <w:p>
      <w:pPr>
        <w:ind w:left="1080" w:firstLine="360"/>
        <w:spacing w:after="0" w:line="262" w:lineRule="auto"/>
        <w:tabs>
          <w:tab w:leader="none" w:pos="17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(i) the Company (in the case of any De Minimis Scope Change) and (ii) the Construction Consultant (in the case of any Scope Change that is not a De Minimis Scope Change), could reasonably permit or result in any materially adverse modification or materially impair the enforceability of any material warranty under the Prime Construction Contract or any other Contract;</w:t>
      </w:r>
    </w:p>
    <w:p>
      <w:pPr>
        <w:spacing w:after="0" w:line="186" w:lineRule="exact"/>
        <w:rPr>
          <w:rFonts w:ascii="Times New Roman" w:cs="Times New Roman" w:eastAsia="Times New Roman" w:hAnsi="Times New Roman"/>
          <w:sz w:val="18"/>
          <w:szCs w:val="18"/>
          <w:color w:val="auto"/>
        </w:rPr>
      </w:pPr>
    </w:p>
    <w:p>
      <w:pPr>
        <w:jc w:val="both"/>
        <w:ind w:left="1080" w:right="280" w:firstLine="360"/>
        <w:spacing w:after="0" w:line="262" w:lineRule="auto"/>
        <w:tabs>
          <w:tab w:leader="none" w:pos="171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the Company (in the case of any De Minimis Scope Change) and (ii) the Construction Consultant or the Project Architect (in the case of any Scope Change that is not a De Minimis Scope Change), is not permitted by a Project Document and could adversely impact the Project;</w:t>
      </w:r>
    </w:p>
    <w:p>
      <w:pPr>
        <w:spacing w:after="0" w:line="186" w:lineRule="exact"/>
        <w:rPr>
          <w:rFonts w:ascii="Times New Roman" w:cs="Times New Roman" w:eastAsia="Times New Roman" w:hAnsi="Times New Roman"/>
          <w:sz w:val="18"/>
          <w:szCs w:val="18"/>
          <w:color w:val="auto"/>
        </w:rPr>
      </w:pPr>
    </w:p>
    <w:p>
      <w:pPr>
        <w:ind w:left="1080" w:right="200" w:firstLine="360"/>
        <w:spacing w:after="0" w:line="262" w:lineRule="auto"/>
        <w:tabs>
          <w:tab w:leader="none" w:pos="178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(i) the Company (in the case of any De Minimis Scope Change) and (ii) the Construction Consultant (in the case of any Scope Change that is not a De Minimis Scope Change), could reasonably present a significant risk of the revocation or material adverse modification of any Permit;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60" w:firstLine="360"/>
        <w:spacing w:after="0" w:line="256" w:lineRule="auto"/>
        <w:tabs>
          <w:tab w:leader="none" w:pos="17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(i) the Company (in the case of any De Minimis Scope Change) and (ii) the Construction Consultant or the Project Architect (in the case of any Scope Change that is not a De Minimis Scope Change), could reasonably cause the Project or any portion thereof not to comply with Legal Requirements (provided that the Construction Consultant shall be entitled to determine that no violation of any Legal Requirement will occur on the basis of a certification by the Company to such effect unless the Construction Consultant is aware of any inaccuracies in such certification); or</w:t>
      </w:r>
    </w:p>
    <w:p>
      <w:pPr>
        <w:spacing w:after="0" w:line="192" w:lineRule="exact"/>
        <w:rPr>
          <w:rFonts w:ascii="Times New Roman" w:cs="Times New Roman" w:eastAsia="Times New Roman" w:hAnsi="Times New Roman"/>
          <w:sz w:val="18"/>
          <w:szCs w:val="18"/>
          <w:color w:val="auto"/>
        </w:rPr>
      </w:pPr>
    </w:p>
    <w:p>
      <w:pPr>
        <w:ind w:left="1080" w:right="40" w:firstLine="360"/>
        <w:spacing w:after="0" w:line="275" w:lineRule="auto"/>
        <w:tabs>
          <w:tab w:leader="none" w:pos="17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reasonable judgment of the Company could reasonably result in a material adverse modification, cancellation or termination of any insurance policy required to be maintained by the Company pursuant to </w:t>
      </w:r>
      <w:r>
        <w:rPr>
          <w:rFonts w:ascii="Times New Roman" w:cs="Times New Roman" w:eastAsia="Times New Roman" w:hAnsi="Times New Roman"/>
          <w:sz w:val="18"/>
          <w:szCs w:val="18"/>
          <w:i w:val="1"/>
          <w:iCs w:val="1"/>
          <w:color w:val="auto"/>
        </w:rPr>
        <w:t>Section 5.20</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540" w:right="100" w:firstLine="351"/>
        <w:spacing w:after="0" w:line="254" w:lineRule="auto"/>
        <w:rPr>
          <w:sz w:val="20"/>
          <w:szCs w:val="20"/>
          <w:color w:val="auto"/>
        </w:rPr>
      </w:pPr>
      <w:r>
        <w:rPr>
          <w:rFonts w:ascii="Times New Roman" w:cs="Times New Roman" w:eastAsia="Times New Roman" w:hAnsi="Times New Roman"/>
          <w:sz w:val="18"/>
          <w:szCs w:val="18"/>
          <w:color w:val="auto"/>
        </w:rPr>
        <w:t xml:space="preserve">Prior to implementing any Scope Change (other than a De Minimis Scope Change or the acceptance of non-conforming work), the Company shall submit an Additional Contract Certificate or Contract Amendment Certificate and otherwise comply with the provisions of </w:t>
      </w:r>
      <w:r>
        <w:rPr>
          <w:rFonts w:ascii="Times New Roman" w:cs="Times New Roman" w:eastAsia="Times New Roman" w:hAnsi="Times New Roman"/>
          <w:sz w:val="18"/>
          <w:szCs w:val="18"/>
          <w:i w:val="1"/>
          <w:iCs w:val="1"/>
          <w:color w:val="auto"/>
        </w:rPr>
        <w:t>Sections 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6.1.3</w:t>
      </w:r>
      <w:r>
        <w:rPr>
          <w:rFonts w:ascii="Times New Roman" w:cs="Times New Roman" w:eastAsia="Times New Roman" w:hAnsi="Times New Roman"/>
          <w:sz w:val="18"/>
          <w:szCs w:val="18"/>
          <w:color w:val="auto"/>
        </w:rPr>
        <w:t xml:space="preserve">, as applicable. Prior to implementing any Scope Change (including a DeMinimis Scope Change but excluding the acceptance of non-conforming work) (x) under the Prime Construction Contract, the Company shall comply with </w:t>
      </w:r>
      <w:r>
        <w:rPr>
          <w:rFonts w:ascii="Times New Roman" w:cs="Times New Roman" w:eastAsia="Times New Roman" w:hAnsi="Times New Roman"/>
          <w:sz w:val="18"/>
          <w:szCs w:val="18"/>
          <w:i w:val="1"/>
          <w:iCs w:val="1"/>
          <w:color w:val="auto"/>
        </w:rPr>
        <w:t>Section 18.10.1</w:t>
      </w:r>
      <w:r>
        <w:rPr>
          <w:rFonts w:ascii="Times New Roman" w:cs="Times New Roman" w:eastAsia="Times New Roman" w:hAnsi="Times New Roman"/>
          <w:sz w:val="18"/>
          <w:szCs w:val="18"/>
          <w:color w:val="auto"/>
        </w:rPr>
        <w:t xml:space="preserve"> of the Prime Construction Contract (including obtaining the written consent of the surety under the Prime Contractor Payment and Performance Bond to such Scope Change) and (y) under any other Contract, as to which the Company is required to obtain a Payment and Performance Bond pursuant to </w:t>
      </w:r>
      <w:r>
        <w:rPr>
          <w:rFonts w:ascii="Times New Roman" w:cs="Times New Roman" w:eastAsia="Times New Roman" w:hAnsi="Times New Roman"/>
          <w:sz w:val="18"/>
          <w:szCs w:val="18"/>
          <w:i w:val="1"/>
          <w:iCs w:val="1"/>
          <w:color w:val="auto"/>
        </w:rPr>
        <w:t>Section 5.14</w:t>
      </w:r>
      <w:r>
        <w:rPr>
          <w:rFonts w:ascii="Times New Roman" w:cs="Times New Roman" w:eastAsia="Times New Roman" w:hAnsi="Times New Roman"/>
          <w:sz w:val="18"/>
          <w:szCs w:val="18"/>
          <w:color w:val="auto"/>
        </w:rPr>
        <w:t>, the Company shall obtain the written consent of the surety under the relevant Payment and Performance Bond to such Scope Change.</w:t>
      </w:r>
    </w:p>
    <w:p>
      <w:pPr>
        <w:spacing w:after="0" w:line="193" w:lineRule="exact"/>
        <w:rPr>
          <w:sz w:val="20"/>
          <w:szCs w:val="20"/>
          <w:color w:val="auto"/>
        </w:rPr>
      </w:pPr>
    </w:p>
    <w:p>
      <w:pPr>
        <w:ind w:left="540" w:firstLine="351"/>
        <w:spacing w:after="0" w:line="302" w:lineRule="auto"/>
        <w:rPr>
          <w:sz w:val="20"/>
          <w:szCs w:val="20"/>
          <w:color w:val="auto"/>
        </w:rPr>
      </w:pPr>
      <w:r>
        <w:rPr>
          <w:rFonts w:ascii="Times New Roman" w:cs="Times New Roman" w:eastAsia="Times New Roman" w:hAnsi="Times New Roman"/>
          <w:sz w:val="16"/>
          <w:szCs w:val="16"/>
          <w:color w:val="auto"/>
        </w:rPr>
        <w:t xml:space="preserve">6.2.2 </w:t>
      </w:r>
      <w:r>
        <w:rPr>
          <w:rFonts w:ascii="Times New Roman" w:cs="Times New Roman" w:eastAsia="Times New Roman" w:hAnsi="Times New Roman"/>
          <w:sz w:val="16"/>
          <w:szCs w:val="16"/>
          <w:i w:val="1"/>
          <w:iCs w:val="1"/>
          <w:color w:val="auto"/>
        </w:rPr>
        <w:t>Substantial and Final Completion.</w:t>
      </w:r>
      <w:r>
        <w:rPr>
          <w:rFonts w:ascii="Times New Roman" w:cs="Times New Roman" w:eastAsia="Times New Roman" w:hAnsi="Times New Roman"/>
          <w:sz w:val="16"/>
          <w:szCs w:val="16"/>
          <w:color w:val="auto"/>
        </w:rPr>
        <w:t xml:space="preserve"> Accept (or be deemed to have confirmed) any notice of "</w:t>
      </w:r>
      <w:r>
        <w:rPr>
          <w:rFonts w:ascii="Times New Roman" w:cs="Times New Roman" w:eastAsia="Times New Roman" w:hAnsi="Times New Roman"/>
          <w:sz w:val="16"/>
          <w:szCs w:val="16"/>
          <w:i w:val="1"/>
          <w:iCs w:val="1"/>
          <w:color w:val="auto"/>
        </w:rPr>
        <w:t>Substantial Completion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Final Completion</w:t>
      </w:r>
      <w:r>
        <w:rPr>
          <w:rFonts w:ascii="Times New Roman" w:cs="Times New Roman" w:eastAsia="Times New Roman" w:hAnsi="Times New Roman"/>
          <w:sz w:val="16"/>
          <w:szCs w:val="16"/>
          <w:color w:val="auto"/>
        </w:rPr>
        <w:t xml:space="preserve">" of all or any portion of the Project issued by any Contractor under any Material Project Document (including, without limitation, </w:t>
      </w:r>
      <w:r>
        <w:rPr>
          <w:rFonts w:ascii="Times New Roman" w:cs="Times New Roman" w:eastAsia="Times New Roman" w:hAnsi="Times New Roman"/>
          <w:sz w:val="16"/>
          <w:szCs w:val="16"/>
          <w:i w:val="1"/>
          <w:iCs w:val="1"/>
          <w:color w:val="auto"/>
        </w:rPr>
        <w:t>Sections 12.1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12.2</w:t>
      </w:r>
      <w:r>
        <w:rPr>
          <w:rFonts w:ascii="Times New Roman" w:cs="Times New Roman" w:eastAsia="Times New Roman" w:hAnsi="Times New Roman"/>
          <w:sz w:val="16"/>
          <w:szCs w:val="16"/>
          <w:color w:val="auto"/>
        </w:rPr>
        <w:t xml:space="preserve"> of the Prime Construction Contract) without the written approval of the Construction Consultant and the Project Architect (provided that the Construction Consultant and Project Architect shall act with due diligence and as promptly as possible in making their determination to approve or disapprove).</w:t>
      </w:r>
    </w:p>
    <w:p>
      <w:pPr>
        <w:spacing w:after="0" w:line="154" w:lineRule="exact"/>
        <w:rPr>
          <w:sz w:val="20"/>
          <w:szCs w:val="20"/>
          <w:color w:val="auto"/>
        </w:rPr>
      </w:pPr>
    </w:p>
    <w:p>
      <w:pPr>
        <w:ind w:left="540" w:right="5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i w:val="1"/>
          <w:iCs w:val="1"/>
          <w:color w:val="auto"/>
        </w:rPr>
        <w:t>Reduction of Retainage Amounts.</w:t>
      </w:r>
      <w:r>
        <w:rPr>
          <w:rFonts w:ascii="Times New Roman" w:cs="Times New Roman" w:eastAsia="Times New Roman" w:hAnsi="Times New Roman"/>
          <w:sz w:val="18"/>
          <w:szCs w:val="18"/>
          <w:color w:val="auto"/>
        </w:rPr>
        <w:t xml:space="preserve"> Reduce the level of Retainage Amounts withheld pursuant to </w:t>
      </w:r>
      <w:r>
        <w:rPr>
          <w:rFonts w:ascii="Times New Roman" w:cs="Times New Roman" w:eastAsia="Times New Roman" w:hAnsi="Times New Roman"/>
          <w:sz w:val="18"/>
          <w:szCs w:val="18"/>
          <w:i w:val="1"/>
          <w:iCs w:val="1"/>
          <w:color w:val="auto"/>
        </w:rPr>
        <w:t>Section 5.6</w:t>
      </w:r>
      <w:r>
        <w:rPr>
          <w:rFonts w:ascii="Times New Roman" w:cs="Times New Roman" w:eastAsia="Times New Roman" w:hAnsi="Times New Roman"/>
          <w:sz w:val="18"/>
          <w:szCs w:val="18"/>
          <w:color w:val="auto"/>
        </w:rPr>
        <w:t xml:space="preserve"> of the Prime Construction Contract or </w:t>
      </w:r>
      <w:r>
        <w:rPr>
          <w:rFonts w:ascii="Times New Roman" w:cs="Times New Roman" w:eastAsia="Times New Roman" w:hAnsi="Times New Roman"/>
          <w:sz w:val="18"/>
          <w:szCs w:val="18"/>
          <w:i w:val="1"/>
          <w:iCs w:val="1"/>
          <w:color w:val="auto"/>
        </w:rPr>
        <w:t>Section 5.15</w:t>
      </w:r>
      <w:r>
        <w:rPr>
          <w:rFonts w:ascii="Times New Roman" w:cs="Times New Roman" w:eastAsia="Times New Roman" w:hAnsi="Times New Roman"/>
          <w:sz w:val="18"/>
          <w:szCs w:val="18"/>
          <w:color w:val="auto"/>
        </w:rPr>
        <w:t xml:space="preserve"> hereof.</w:t>
      </w:r>
    </w:p>
    <w:p>
      <w:pPr>
        <w:spacing w:after="0" w:line="170" w:lineRule="exact"/>
        <w:rPr>
          <w:sz w:val="20"/>
          <w:szCs w:val="20"/>
          <w:color w:val="auto"/>
        </w:rPr>
      </w:pPr>
    </w:p>
    <w:p>
      <w:pPr>
        <w:ind w:left="540" w:right="3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6.2.4 </w:t>
      </w:r>
      <w:r>
        <w:rPr>
          <w:rFonts w:ascii="Times New Roman" w:cs="Times New Roman" w:eastAsia="Times New Roman" w:hAnsi="Times New Roman"/>
          <w:sz w:val="18"/>
          <w:szCs w:val="18"/>
          <w:i w:val="1"/>
          <w:iCs w:val="1"/>
          <w:color w:val="auto"/>
        </w:rPr>
        <w:t>Failure to Withhold Retainage Amounts.</w:t>
      </w:r>
      <w:r>
        <w:rPr>
          <w:rFonts w:ascii="Times New Roman" w:cs="Times New Roman" w:eastAsia="Times New Roman" w:hAnsi="Times New Roman"/>
          <w:sz w:val="18"/>
          <w:szCs w:val="18"/>
          <w:color w:val="auto"/>
        </w:rPr>
        <w:t xml:space="preserve"> Fail to withhold a sum equal to one hundred and fifty percent (150%) of the costs reasonably estimated by the Company (and confirmed by the Construction Consultant) as necessary to complete "</w:t>
      </w:r>
      <w:r>
        <w:rPr>
          <w:rFonts w:ascii="Times New Roman" w:cs="Times New Roman" w:eastAsia="Times New Roman" w:hAnsi="Times New Roman"/>
          <w:sz w:val="18"/>
          <w:szCs w:val="18"/>
          <w:i w:val="1"/>
          <w:iCs w:val="1"/>
          <w:color w:val="auto"/>
        </w:rPr>
        <w:t>Punch List Items</w:t>
      </w:r>
      <w:r>
        <w:rPr>
          <w:rFonts w:ascii="Times New Roman" w:cs="Times New Roman" w:eastAsia="Times New Roman" w:hAnsi="Times New Roman"/>
          <w:sz w:val="18"/>
          <w:szCs w:val="18"/>
          <w:color w:val="auto"/>
        </w:rPr>
        <w:t xml:space="preserve">" (as defined in the Prime Construction Contract) as Retainage Amounts pursuant to </w:t>
      </w:r>
      <w:r>
        <w:rPr>
          <w:rFonts w:ascii="Times New Roman" w:cs="Times New Roman" w:eastAsia="Times New Roman" w:hAnsi="Times New Roman"/>
          <w:sz w:val="18"/>
          <w:szCs w:val="18"/>
          <w:i w:val="1"/>
          <w:iCs w:val="1"/>
          <w:color w:val="auto"/>
        </w:rPr>
        <w:t>Section 5.7</w:t>
      </w:r>
      <w:r>
        <w:rPr>
          <w:rFonts w:ascii="Times New Roman" w:cs="Times New Roman" w:eastAsia="Times New Roman" w:hAnsi="Times New Roman"/>
          <w:sz w:val="18"/>
          <w:szCs w:val="18"/>
          <w:color w:val="auto"/>
        </w:rPr>
        <w:t xml:space="preserve"> of the Prime Construction Contract unless such retention is not permitted under applicable laws.</w:t>
      </w:r>
    </w:p>
    <w:p>
      <w:pPr>
        <w:spacing w:after="0" w:line="187" w:lineRule="exact"/>
        <w:rPr>
          <w:sz w:val="20"/>
          <w:szCs w:val="20"/>
          <w:color w:val="auto"/>
        </w:rPr>
      </w:pPr>
    </w:p>
    <w:p>
      <w:pPr>
        <w:ind w:left="540" w:right="4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i w:val="1"/>
          <w:iCs w:val="1"/>
          <w:color w:val="auto"/>
        </w:rPr>
        <w:t>Acceptance of Non-Conforming Work.</w:t>
      </w:r>
      <w:r>
        <w:rPr>
          <w:rFonts w:ascii="Times New Roman" w:cs="Times New Roman" w:eastAsia="Times New Roman" w:hAnsi="Times New Roman"/>
          <w:sz w:val="18"/>
          <w:szCs w:val="18"/>
          <w:color w:val="auto"/>
        </w:rPr>
        <w:t xml:space="preserve"> Accept any non-conforming "</w:t>
      </w:r>
      <w:r>
        <w:rPr>
          <w:rFonts w:ascii="Times New Roman" w:cs="Times New Roman" w:eastAsia="Times New Roman" w:hAnsi="Times New Roman"/>
          <w:sz w:val="18"/>
          <w:szCs w:val="18"/>
          <w:i w:val="1"/>
          <w:iCs w:val="1"/>
          <w:color w:val="auto"/>
        </w:rPr>
        <w:t>Work</w:t>
      </w:r>
      <w:r>
        <w:rPr>
          <w:rFonts w:ascii="Times New Roman" w:cs="Times New Roman" w:eastAsia="Times New Roman" w:hAnsi="Times New Roman"/>
          <w:sz w:val="18"/>
          <w:szCs w:val="18"/>
          <w:color w:val="auto"/>
        </w:rPr>
        <w:t xml:space="preserve">" (as defined in the Prime Construction Contract) pursuant to </w:t>
      </w:r>
      <w:r>
        <w:rPr>
          <w:rFonts w:ascii="Times New Roman" w:cs="Times New Roman" w:eastAsia="Times New Roman" w:hAnsi="Times New Roman"/>
          <w:sz w:val="18"/>
          <w:szCs w:val="18"/>
          <w:i w:val="1"/>
          <w:iCs w:val="1"/>
          <w:color w:val="auto"/>
        </w:rPr>
        <w:t xml:space="preserve">Section 10.9 </w:t>
      </w:r>
      <w:r>
        <w:rPr>
          <w:rFonts w:ascii="Times New Roman" w:cs="Times New Roman" w:eastAsia="Times New Roman" w:hAnsi="Times New Roman"/>
          <w:sz w:val="18"/>
          <w:szCs w:val="18"/>
          <w:color w:val="auto"/>
        </w:rPr>
        <w:t>of the Prime Construction Contract unless the Company shall have complied with the requirements of</w:t>
      </w:r>
      <w:r>
        <w:rPr>
          <w:rFonts w:ascii="Times New Roman" w:cs="Times New Roman" w:eastAsia="Times New Roman" w:hAnsi="Times New Roman"/>
          <w:sz w:val="18"/>
          <w:szCs w:val="18"/>
          <w:i w:val="1"/>
          <w:iCs w:val="1"/>
          <w:color w:val="auto"/>
        </w:rPr>
        <w:t xml:space="preserve"> Section 6.2.1 </w:t>
      </w:r>
      <w:r>
        <w:rPr>
          <w:rFonts w:ascii="Times New Roman" w:cs="Times New Roman" w:eastAsia="Times New Roman" w:hAnsi="Times New Roman"/>
          <w:sz w:val="18"/>
          <w:szCs w:val="18"/>
          <w:color w:val="auto"/>
        </w:rPr>
        <w:t>above.</w:t>
      </w:r>
    </w:p>
    <w:p>
      <w:pPr>
        <w:spacing w:after="0" w:line="170" w:lineRule="exact"/>
        <w:rPr>
          <w:sz w:val="20"/>
          <w:szCs w:val="20"/>
          <w:color w:val="auto"/>
        </w:rPr>
      </w:pPr>
    </w:p>
    <w:p>
      <w:pPr>
        <w:ind w:left="540" w:right="2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6.2.6 </w:t>
      </w:r>
      <w:r>
        <w:rPr>
          <w:rFonts w:ascii="Times New Roman" w:cs="Times New Roman" w:eastAsia="Times New Roman" w:hAnsi="Times New Roman"/>
          <w:sz w:val="18"/>
          <w:szCs w:val="18"/>
          <w:i w:val="1"/>
          <w:iCs w:val="1"/>
          <w:color w:val="auto"/>
        </w:rPr>
        <w:t>Approval of the Schedule of Values.</w:t>
      </w:r>
      <w:r>
        <w:rPr>
          <w:rFonts w:ascii="Times New Roman" w:cs="Times New Roman" w:eastAsia="Times New Roman" w:hAnsi="Times New Roman"/>
          <w:sz w:val="18"/>
          <w:szCs w:val="18"/>
          <w:color w:val="auto"/>
        </w:rPr>
        <w:t xml:space="preserve"> (a) Approve the initial "</w:t>
      </w:r>
      <w:r>
        <w:rPr>
          <w:rFonts w:ascii="Times New Roman" w:cs="Times New Roman" w:eastAsia="Times New Roman" w:hAnsi="Times New Roman"/>
          <w:sz w:val="18"/>
          <w:szCs w:val="18"/>
          <w:i w:val="1"/>
          <w:iCs w:val="1"/>
          <w:color w:val="auto"/>
        </w:rPr>
        <w:t>Schedule of Values</w:t>
      </w:r>
      <w:r>
        <w:rPr>
          <w:rFonts w:ascii="Times New Roman" w:cs="Times New Roman" w:eastAsia="Times New Roman" w:hAnsi="Times New Roman"/>
          <w:sz w:val="18"/>
          <w:szCs w:val="18"/>
          <w:color w:val="auto"/>
        </w:rPr>
        <w:t xml:space="preserve">" (as defined in the Prime Construction Contract) or any change, modification or supplement thereto pursuant to </w:t>
      </w:r>
      <w:r>
        <w:rPr>
          <w:rFonts w:ascii="Times New Roman" w:cs="Times New Roman" w:eastAsia="Times New Roman" w:hAnsi="Times New Roman"/>
          <w:sz w:val="18"/>
          <w:szCs w:val="18"/>
          <w:i w:val="1"/>
          <w:iCs w:val="1"/>
          <w:color w:val="auto"/>
        </w:rPr>
        <w:t>Section 5.1</w:t>
      </w:r>
      <w:r>
        <w:rPr>
          <w:rFonts w:ascii="Times New Roman" w:cs="Times New Roman" w:eastAsia="Times New Roman" w:hAnsi="Times New Roman"/>
          <w:sz w:val="18"/>
          <w:szCs w:val="18"/>
          <w:color w:val="auto"/>
        </w:rPr>
        <w:t xml:space="preserve"> of the Prime Construction Contract, without, in each case, the consent of the Construction Consultant or (b) fail to direct the Prime Contractor to adjust the Schedule of Values as contemplated in the last sentence of </w:t>
      </w:r>
      <w:r>
        <w:rPr>
          <w:rFonts w:ascii="Times New Roman" w:cs="Times New Roman" w:eastAsia="Times New Roman" w:hAnsi="Times New Roman"/>
          <w:sz w:val="18"/>
          <w:szCs w:val="18"/>
          <w:i w:val="1"/>
          <w:iCs w:val="1"/>
          <w:color w:val="auto"/>
        </w:rPr>
        <w:t>Section 5.1</w:t>
      </w:r>
      <w:r>
        <w:rPr>
          <w:rFonts w:ascii="Times New Roman" w:cs="Times New Roman" w:eastAsia="Times New Roman" w:hAnsi="Times New Roman"/>
          <w:sz w:val="18"/>
          <w:szCs w:val="18"/>
          <w:color w:val="auto"/>
        </w:rPr>
        <w:t xml:space="preserve"> of the Prime Construction Contract as and when required by the Construction Consultant.</w:t>
      </w:r>
    </w:p>
    <w:p>
      <w:pPr>
        <w:spacing w:after="0" w:line="187"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6.2.7 </w:t>
      </w:r>
      <w:r>
        <w:rPr>
          <w:rFonts w:ascii="Times New Roman" w:cs="Times New Roman" w:eastAsia="Times New Roman" w:hAnsi="Times New Roman"/>
          <w:sz w:val="18"/>
          <w:szCs w:val="18"/>
          <w:i w:val="1"/>
          <w:iCs w:val="1"/>
          <w:color w:val="auto"/>
        </w:rPr>
        <w:t>Increase in Contractor's Fee.</w:t>
      </w:r>
      <w:r>
        <w:rPr>
          <w:rFonts w:ascii="Times New Roman" w:cs="Times New Roman" w:eastAsia="Times New Roman" w:hAnsi="Times New Roman"/>
          <w:sz w:val="18"/>
          <w:szCs w:val="18"/>
          <w:color w:val="auto"/>
        </w:rPr>
        <w:t xml:space="preserve"> Accept or agree to any increase in the Contractor's Fee (as defined in the Prime Construction Contract) for any reason, except to the extent required pursuant to </w:t>
      </w:r>
      <w:r>
        <w:rPr>
          <w:rFonts w:ascii="Times New Roman" w:cs="Times New Roman" w:eastAsia="Times New Roman" w:hAnsi="Times New Roman"/>
          <w:sz w:val="18"/>
          <w:szCs w:val="18"/>
          <w:i w:val="1"/>
          <w:iCs w:val="1"/>
          <w:color w:val="auto"/>
        </w:rPr>
        <w:t>Section 18.5.2</w:t>
      </w:r>
      <w:r>
        <w:rPr>
          <w:rFonts w:ascii="Times New Roman" w:cs="Times New Roman" w:eastAsia="Times New Roman" w:hAnsi="Times New Roman"/>
          <w:sz w:val="18"/>
          <w:szCs w:val="18"/>
          <w:color w:val="auto"/>
        </w:rPr>
        <w:t xml:space="preserve"> of the Prime Construction Contract.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80" w:firstLine="351"/>
        <w:spacing w:after="0" w:line="280"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color w:val="auto"/>
        </w:rPr>
        <w:t>Amendment to Operative Documents.</w:t>
      </w:r>
      <w:r>
        <w:rPr>
          <w:rFonts w:ascii="Times New Roman" w:cs="Times New Roman" w:eastAsia="Times New Roman" w:hAnsi="Times New Roman"/>
          <w:sz w:val="18"/>
          <w:szCs w:val="18"/>
          <w:color w:val="auto"/>
        </w:rPr>
        <w:t xml:space="preserve"> Enter into any agreement (other than this Agreement and the other Financing Agreements) restricting its ability to amend any of the Financing Agreements or other Operative Documents.</w:t>
      </w:r>
    </w:p>
    <w:p>
      <w:pPr>
        <w:sectPr>
          <w:pgSz w:w="11900" w:h="16838" w:orient="portrait"/>
          <w:cols w:equalWidth="0" w:num="1">
            <w:col w:w="11420"/>
          </w:cols>
          <w:pgMar w:left="240" w:top="123" w:right="239" w:bottom="0" w:gutter="0" w:footer="0" w:header="0"/>
          <w:type w:val="continuous"/>
        </w:sectPr>
      </w:pPr>
    </w:p>
    <w:bookmarkStart w:id="44" w:name="page45"/>
    <w:bookmarkEnd w:id="44"/>
    <w:p>
      <w:pPr>
        <w:jc w:val="both"/>
        <w:ind w:right="40" w:firstLine="351"/>
        <w:spacing w:after="0" w:line="26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i w:val="1"/>
          <w:iCs w:val="1"/>
          <w:color w:val="auto"/>
        </w:rPr>
        <w:t>Project Budget and Project Schedule Amendment.</w:t>
      </w:r>
      <w:r>
        <w:rPr>
          <w:rFonts w:ascii="Times New Roman" w:cs="Times New Roman" w:eastAsia="Times New Roman" w:hAnsi="Times New Roman"/>
          <w:sz w:val="18"/>
          <w:szCs w:val="18"/>
          <w:color w:val="auto"/>
        </w:rPr>
        <w:t xml:space="preserve"> Directly or indirectly, amend, modify, allocate, re-allocate or supplement or permit or consent to the amendment, modification, allocation, re-allocation or supplementation of, any of the Line Item Categories or other provisions of the Project Budget or modify or extend the Scheduled Completion Date, except as follows:</w:t>
      </w:r>
    </w:p>
    <w:p>
      <w:pPr>
        <w:spacing w:after="0" w:line="181"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6.4.1</w:t>
      </w:r>
      <w:r>
        <w:rPr>
          <w:sz w:val="20"/>
          <w:szCs w:val="20"/>
          <w:color w:val="auto"/>
        </w:rPr>
        <w:tab/>
      </w:r>
      <w:r>
        <w:rPr>
          <w:rFonts w:ascii="Times New Roman" w:cs="Times New Roman" w:eastAsia="Times New Roman" w:hAnsi="Times New Roman"/>
          <w:sz w:val="16"/>
          <w:szCs w:val="16"/>
          <w:i w:val="1"/>
          <w:iCs w:val="1"/>
          <w:color w:val="auto"/>
        </w:rPr>
        <w:t>Permitted Budget Amendments.</w:t>
      </w:r>
    </w:p>
    <w:p>
      <w:pPr>
        <w:spacing w:after="0" w:line="227" w:lineRule="exact"/>
        <w:rPr>
          <w:sz w:val="20"/>
          <w:szCs w:val="20"/>
          <w:color w:val="auto"/>
        </w:rPr>
      </w:pPr>
    </w:p>
    <w:p>
      <w:pPr>
        <w:ind w:left="1080" w:firstLine="360"/>
        <w:spacing w:after="0" w:line="262" w:lineRule="auto"/>
        <w:tabs>
          <w:tab w:leader="none" w:pos="17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implementation of any Scope Change, the Company shall submit a Project Budget/Schedule Amendment Certificate and amend the Project Budget in accordance with the provisions of </w:t>
      </w:r>
      <w:r>
        <w:rPr>
          <w:rFonts w:ascii="Times New Roman" w:cs="Times New Roman" w:eastAsia="Times New Roman" w:hAnsi="Times New Roman"/>
          <w:sz w:val="18"/>
          <w:szCs w:val="18"/>
          <w:i w:val="1"/>
          <w:iCs w:val="1"/>
          <w:color w:val="auto"/>
        </w:rPr>
        <w:t>Section 6.4.1(c)</w:t>
      </w:r>
      <w:r>
        <w:rPr>
          <w:rFonts w:ascii="Times New Roman" w:cs="Times New Roman" w:eastAsia="Times New Roman" w:hAnsi="Times New Roman"/>
          <w:sz w:val="18"/>
          <w:szCs w:val="18"/>
          <w:color w:val="auto"/>
        </w:rPr>
        <w:t xml:space="preserve"> below to the extent necessary so that the amount set forth therein for each Line Item Category shall reflect all Scope Changes that have been made to such Line Item Category.</w:t>
      </w:r>
    </w:p>
    <w:p>
      <w:pPr>
        <w:spacing w:after="0" w:line="184" w:lineRule="exact"/>
        <w:rPr>
          <w:rFonts w:ascii="Times New Roman" w:cs="Times New Roman" w:eastAsia="Times New Roman" w:hAnsi="Times New Roman"/>
          <w:sz w:val="18"/>
          <w:szCs w:val="18"/>
          <w:color w:val="auto"/>
        </w:rPr>
      </w:pPr>
    </w:p>
    <w:p>
      <w:pPr>
        <w:ind w:left="1080" w:right="20" w:firstLine="360"/>
        <w:spacing w:after="0" w:line="277" w:lineRule="auto"/>
        <w:tabs>
          <w:tab w:leader="none" w:pos="17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amend the Project Budget in accordance with the provisions of </w:t>
      </w:r>
      <w:r>
        <w:rPr>
          <w:rFonts w:ascii="Times New Roman" w:cs="Times New Roman" w:eastAsia="Times New Roman" w:hAnsi="Times New Roman"/>
          <w:sz w:val="18"/>
          <w:szCs w:val="18"/>
          <w:i w:val="1"/>
          <w:iCs w:val="1"/>
          <w:color w:val="auto"/>
        </w:rPr>
        <w:t>Section 6.4.1(c)</w:t>
      </w:r>
      <w:r>
        <w:rPr>
          <w:rFonts w:ascii="Times New Roman" w:cs="Times New Roman" w:eastAsia="Times New Roman" w:hAnsi="Times New Roman"/>
          <w:sz w:val="18"/>
          <w:szCs w:val="18"/>
          <w:color w:val="auto"/>
        </w:rPr>
        <w:t xml:space="preserve"> in order to increase, decrease or otherwise reallocate amounts allocated to specific Line Item Categories.</w:t>
      </w:r>
    </w:p>
    <w:p>
      <w:pPr>
        <w:spacing w:after="0" w:line="172" w:lineRule="exact"/>
        <w:rPr>
          <w:rFonts w:ascii="Times New Roman" w:cs="Times New Roman" w:eastAsia="Times New Roman" w:hAnsi="Times New Roman"/>
          <w:sz w:val="18"/>
          <w:szCs w:val="18"/>
          <w:color w:val="auto"/>
        </w:rPr>
      </w:pPr>
    </w:p>
    <w:p>
      <w:pPr>
        <w:ind w:left="1080" w:right="360" w:firstLine="360"/>
        <w:spacing w:after="0" w:line="258" w:lineRule="auto"/>
        <w:tabs>
          <w:tab w:leader="none" w:pos="17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implement any amendment to the Project Budget by delivering to the Disbursement Agent a Project Budget/Schedule Amendment Certificate together with all exhibits, attachments and certificates required thereby, each duly completed and executed. Such Project Budget/Schedule Amendment Certificate shall describe with particularity the Line Item Category increases, decreases, contingency allocations, and other proposed amendments to the Project Budget.</w:t>
      </w:r>
    </w:p>
    <w:p>
      <w:pPr>
        <w:spacing w:after="0" w:line="190" w:lineRule="exact"/>
        <w:rPr>
          <w:rFonts w:ascii="Times New Roman" w:cs="Times New Roman" w:eastAsia="Times New Roman" w:hAnsi="Times New Roman"/>
          <w:sz w:val="18"/>
          <w:szCs w:val="18"/>
          <w:color w:val="auto"/>
        </w:rPr>
      </w:pPr>
    </w:p>
    <w:p>
      <w:pPr>
        <w:ind w:left="1620" w:right="80" w:firstLine="360"/>
        <w:spacing w:after="0" w:line="256" w:lineRule="auto"/>
        <w:tabs>
          <w:tab w:leader="none" w:pos="227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to the aggregate amount budgeted for any Line Item Category will only be permitted to the extent of (A) allocation of Realized Savings obtained in a different Line Item Category to the extent permitted under </w:t>
      </w:r>
      <w:r>
        <w:rPr>
          <w:rFonts w:ascii="Times New Roman" w:cs="Times New Roman" w:eastAsia="Times New Roman" w:hAnsi="Times New Roman"/>
          <w:sz w:val="18"/>
          <w:szCs w:val="18"/>
          <w:i w:val="1"/>
          <w:iCs w:val="1"/>
          <w:color w:val="auto"/>
        </w:rPr>
        <w:t>Section 6.2.1,</w:t>
      </w:r>
      <w:r>
        <w:rPr>
          <w:rFonts w:ascii="Times New Roman" w:cs="Times New Roman" w:eastAsia="Times New Roman" w:hAnsi="Times New Roman"/>
          <w:sz w:val="18"/>
          <w:szCs w:val="18"/>
          <w:color w:val="auto"/>
        </w:rPr>
        <w:t xml:space="preserve"> (B) allocation of the previously unallocated amounts under the "Construction Contingency" Line Item Category (so long as after giving effect to such allocation the Unallocated Contingency Balance will equal or exceed the Required Minimum Contingency), or (C) allocation of an increase in Available Funds including additional funds deposited in the Company's Funds Account.</w:t>
      </w:r>
    </w:p>
    <w:p>
      <w:pPr>
        <w:spacing w:after="0" w:line="19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to any Line Item Category will only be permitted upon obtaining Realized Savings in such Line Item Category.</w:t>
      </w:r>
    </w:p>
    <w:p>
      <w:pPr>
        <w:spacing w:after="0" w:line="225" w:lineRule="exact"/>
        <w:rPr>
          <w:rFonts w:ascii="Times New Roman" w:cs="Times New Roman" w:eastAsia="Times New Roman" w:hAnsi="Times New Roman"/>
          <w:sz w:val="18"/>
          <w:szCs w:val="18"/>
          <w:color w:val="auto"/>
        </w:rPr>
      </w:pPr>
    </w:p>
    <w:p>
      <w:pPr>
        <w:ind w:left="1080" w:right="120" w:firstLine="360"/>
        <w:spacing w:after="0" w:line="255" w:lineRule="auto"/>
        <w:tabs>
          <w:tab w:leader="none" w:pos="17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and decreases to particular Line Items set forth in column C ("Current Budget") of the Anticipated Cost Report or Column D " (Revised Project Budget") of the Monthly Requisition Report shall be permitted to the extent not inconsistent with the foregoing provisions of </w:t>
      </w:r>
      <w:r>
        <w:rPr>
          <w:rFonts w:ascii="Times New Roman" w:cs="Times New Roman" w:eastAsia="Times New Roman" w:hAnsi="Times New Roman"/>
          <w:sz w:val="18"/>
          <w:szCs w:val="18"/>
          <w:i w:val="1"/>
          <w:iCs w:val="1"/>
          <w:color w:val="auto"/>
        </w:rPr>
        <w:t xml:space="preserve">Sections 6.4.1(a) and (c) </w:t>
      </w:r>
      <w:r>
        <w:rPr>
          <w:rFonts w:ascii="Times New Roman" w:cs="Times New Roman" w:eastAsia="Times New Roman" w:hAnsi="Times New Roman"/>
          <w:sz w:val="18"/>
          <w:szCs w:val="18"/>
          <w:color w:val="auto"/>
        </w:rPr>
        <w:t>(except that the Company is not required to submit a Project Budget/Schedule Amendment Certificate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therewith); provided that increases to the "Hard Cost Construction Contingency" Line Item and the "Soft Cost Construction Contingency" Line Item shall only be permitted to the extent of (x) allocation of Realized Savings obtained in any Line Item Category or (y) an increase in Available Funds including additional funds deposited in the Company's Funds Account.</w:t>
      </w:r>
    </w:p>
    <w:p>
      <w:pPr>
        <w:spacing w:after="0" w:line="191" w:lineRule="exact"/>
        <w:rPr>
          <w:sz w:val="20"/>
          <w:szCs w:val="20"/>
          <w:color w:val="auto"/>
        </w:rPr>
      </w:pPr>
    </w:p>
    <w:p>
      <w:pPr>
        <w:ind w:left="540"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6.4.2 </w:t>
      </w:r>
      <w:r>
        <w:rPr>
          <w:rFonts w:ascii="Times New Roman" w:cs="Times New Roman" w:eastAsia="Times New Roman" w:hAnsi="Times New Roman"/>
          <w:sz w:val="18"/>
          <w:szCs w:val="18"/>
          <w:i w:val="1"/>
          <w:iCs w:val="1"/>
          <w:color w:val="auto"/>
        </w:rPr>
        <w:t>Permitted Schedule Amendments.</w:t>
      </w:r>
      <w:r>
        <w:rPr>
          <w:rFonts w:ascii="Times New Roman" w:cs="Times New Roman" w:eastAsia="Times New Roman" w:hAnsi="Times New Roman"/>
          <w:sz w:val="18"/>
          <w:szCs w:val="18"/>
          <w:color w:val="auto"/>
        </w:rPr>
        <w:t xml:space="preserve"> The Company may, from time to time, amend the Project Schedule to extend the Scheduled Completion Date, but (except as permitted in the following sentence) not beyond Outside Completion Deadline, by delivering to the Disbursement Agent a Project Budget/Schedule Amendment Certificate (a) containing a revised Project Schedule reflecting the new Scheduled Completion Date and (b) complying with the provisions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6.4.1(c) </w:t>
      </w:r>
      <w:r>
        <w:rPr>
          <w:rFonts w:ascii="Times New Roman" w:cs="Times New Roman" w:eastAsia="Times New Roman" w:hAnsi="Times New Roman"/>
          <w:sz w:val="18"/>
          <w:szCs w:val="18"/>
          <w:color w:val="auto"/>
        </w:rPr>
        <w:t>above with respect to the changes in the Project Budget that will result from the extension of the Scheduled Completion Date. If an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Loss or an Event of Force Majeure occurs, then the Company shall be permitted to extend the Scheduled Completion Date beyond the Outside Completion Deadline to the extent that the Company certifies in writing, and the Construction Consultant confirms, to the Disbursement Agent that such extension is reasonably necessary to overcome any delays caused by the Event of Loss or Event of Force Majeure, provided that no such extension may extend beyond March 31, 2006.</w:t>
      </w:r>
    </w:p>
    <w:p>
      <w:pPr>
        <w:spacing w:after="0" w:line="188" w:lineRule="exact"/>
        <w:rPr>
          <w:sz w:val="20"/>
          <w:szCs w:val="20"/>
          <w:color w:val="auto"/>
        </w:rPr>
      </w:pPr>
    </w:p>
    <w:p>
      <w:pPr>
        <w:ind w:left="540" w:right="3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6.4.3 </w:t>
      </w:r>
      <w:r>
        <w:rPr>
          <w:rFonts w:ascii="Times New Roman" w:cs="Times New Roman" w:eastAsia="Times New Roman" w:hAnsi="Times New Roman"/>
          <w:sz w:val="18"/>
          <w:szCs w:val="18"/>
          <w:i w:val="1"/>
          <w:iCs w:val="1"/>
          <w:color w:val="auto"/>
        </w:rPr>
        <w:t>Amendment Certificates.</w:t>
      </w:r>
      <w:r>
        <w:rPr>
          <w:rFonts w:ascii="Times New Roman" w:cs="Times New Roman" w:eastAsia="Times New Roman" w:hAnsi="Times New Roman"/>
          <w:sz w:val="18"/>
          <w:szCs w:val="18"/>
          <w:color w:val="auto"/>
        </w:rPr>
        <w:t xml:space="preserve"> Upon submission of the Project Budget/Schedule Amendment Certificate to the Disbursement Agent, together with all exhibits, attachments and certificates required pursuant thereto, each duly completed and executed, such amendment shall become effective hereunder, and the Project Budget for the Project and, if applicable, the Project Schedule and the Scheduled Completion Date, shall thereafter be as so amended.</w:t>
      </w:r>
    </w:p>
    <w:p>
      <w:pPr>
        <w:spacing w:after="0" w:line="185" w:lineRule="exact"/>
        <w:rPr>
          <w:sz w:val="20"/>
          <w:szCs w:val="20"/>
          <w:color w:val="auto"/>
        </w:rPr>
      </w:pPr>
    </w:p>
    <w:p>
      <w:pPr>
        <w:jc w:val="both"/>
        <w:ind w:right="480" w:firstLine="351"/>
        <w:spacing w:after="0" w:line="26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i w:val="1"/>
          <w:iCs w:val="1"/>
          <w:color w:val="auto"/>
        </w:rPr>
        <w:t>No Other Powers of Attorney.</w:t>
      </w:r>
      <w:r>
        <w:rPr>
          <w:rFonts w:ascii="Times New Roman" w:cs="Times New Roman" w:eastAsia="Times New Roman" w:hAnsi="Times New Roman"/>
          <w:sz w:val="18"/>
          <w:szCs w:val="18"/>
          <w:color w:val="auto"/>
        </w:rPr>
        <w:t xml:space="preserve"> Execute or deliver any agreement creating any lien (other than Permitted Liens), powers of attorney (other than powers of attorney for signatories of documents permitted or contemplated by the Operative Documents), or similar documents, instruments or agreements, except to the extent such documents, instruments or agreements comprise part of the Security Documents.</w:t>
      </w:r>
    </w:p>
    <w:p>
      <w:pPr>
        <w:spacing w:after="0" w:line="179" w:lineRule="exact"/>
        <w:rPr>
          <w:sz w:val="20"/>
          <w:szCs w:val="20"/>
          <w:color w:val="auto"/>
        </w:rPr>
      </w:pPr>
    </w:p>
    <w:p>
      <w:pPr>
        <w:ind w:right="60" w:firstLine="351"/>
        <w:spacing w:after="0" w:line="260"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i w:val="1"/>
          <w:iCs w:val="1"/>
          <w:color w:val="auto"/>
        </w:rPr>
        <w:t>Opening.</w:t>
      </w:r>
      <w:r>
        <w:rPr>
          <w:rFonts w:ascii="Times New Roman" w:cs="Times New Roman" w:eastAsia="Times New Roman" w:hAnsi="Times New Roman"/>
          <w:sz w:val="18"/>
          <w:szCs w:val="18"/>
          <w:color w:val="auto"/>
        </w:rPr>
        <w:t xml:space="preserve"> Cause or permit the Opening Date to occur unless each of the Opening Conditions has been satisfied and the Company has delivered to the Disbursement Agent a certificate in the form of </w:t>
      </w:r>
      <w:r>
        <w:rPr>
          <w:rFonts w:ascii="Times New Roman" w:cs="Times New Roman" w:eastAsia="Times New Roman" w:hAnsi="Times New Roman"/>
          <w:sz w:val="18"/>
          <w:szCs w:val="18"/>
          <w:i w:val="1"/>
          <w:iCs w:val="1"/>
          <w:color w:val="auto"/>
        </w:rPr>
        <w:t>Exhibit W-9</w:t>
      </w:r>
      <w:r>
        <w:rPr>
          <w:rFonts w:ascii="Times New Roman" w:cs="Times New Roman" w:eastAsia="Times New Roman" w:hAnsi="Times New Roman"/>
          <w:sz w:val="18"/>
          <w:szCs w:val="18"/>
          <w:color w:val="auto"/>
        </w:rPr>
        <w:t xml:space="preserve"> and has caused the Prime Contractor to deliver to the Disbursement Agent a certificate in the form of </w:t>
      </w:r>
      <w:r>
        <w:rPr>
          <w:rFonts w:ascii="Times New Roman" w:cs="Times New Roman" w:eastAsia="Times New Roman" w:hAnsi="Times New Roman"/>
          <w:sz w:val="18"/>
          <w:szCs w:val="18"/>
          <w:i w:val="1"/>
          <w:iCs w:val="1"/>
          <w:color w:val="auto"/>
        </w:rPr>
        <w:t>Exhibit W-10</w:t>
      </w:r>
      <w:r>
        <w:rPr>
          <w:rFonts w:ascii="Times New Roman" w:cs="Times New Roman" w:eastAsia="Times New Roman" w:hAnsi="Times New Roman"/>
          <w:sz w:val="18"/>
          <w:szCs w:val="18"/>
          <w:color w:val="auto"/>
        </w:rPr>
        <w:t>, the Construction Consultant has delivered to the Disbursement Agent a certificate in the form of</w:t>
      </w:r>
      <w:r>
        <w:rPr>
          <w:rFonts w:ascii="Times New Roman" w:cs="Times New Roman" w:eastAsia="Times New Roman" w:hAnsi="Times New Roman"/>
          <w:sz w:val="18"/>
          <w:szCs w:val="18"/>
          <w:i w:val="1"/>
          <w:iCs w:val="1"/>
          <w:color w:val="auto"/>
        </w:rPr>
        <w:t xml:space="preserve"> Exhibit W-11 </w:t>
      </w:r>
      <w:r>
        <w:rPr>
          <w:rFonts w:ascii="Times New Roman" w:cs="Times New Roman" w:eastAsia="Times New Roman" w:hAnsi="Times New Roman"/>
          <w:sz w:val="18"/>
          <w:szCs w:val="18"/>
          <w:color w:val="auto"/>
        </w:rPr>
        <w:t>to this Agreement and the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Architect has delivered to the Disbursement Agent a certificate in the form of </w:t>
      </w:r>
      <w:r>
        <w:rPr>
          <w:rFonts w:ascii="Times New Roman" w:cs="Times New Roman" w:eastAsia="Times New Roman" w:hAnsi="Times New Roman"/>
          <w:sz w:val="18"/>
          <w:szCs w:val="18"/>
          <w:i w:val="1"/>
          <w:iCs w:val="1"/>
          <w:color w:val="auto"/>
        </w:rPr>
        <w:t>Exhibit W-12</w:t>
      </w:r>
      <w:r>
        <w:rPr>
          <w:rFonts w:ascii="Times New Roman" w:cs="Times New Roman" w:eastAsia="Times New Roman" w:hAnsi="Times New Roman"/>
          <w:sz w:val="18"/>
          <w:szCs w:val="18"/>
          <w:color w:val="auto"/>
        </w:rPr>
        <w:t xml:space="preserve"> to this Agreement.</w:t>
      </w:r>
    </w:p>
    <w:p>
      <w:pPr>
        <w:spacing w:after="0" w:line="183" w:lineRule="exact"/>
        <w:rPr>
          <w:sz w:val="20"/>
          <w:szCs w:val="20"/>
          <w:color w:val="auto"/>
        </w:rPr>
      </w:pPr>
    </w:p>
    <w:p>
      <w:pPr>
        <w:ind w:right="120" w:firstLine="351"/>
        <w:spacing w:after="0" w:line="286" w:lineRule="auto"/>
        <w:rPr>
          <w:sz w:val="20"/>
          <w:szCs w:val="20"/>
          <w:color w:val="auto"/>
        </w:rPr>
      </w:pPr>
      <w:r>
        <w:rPr>
          <w:rFonts w:ascii="Times New Roman" w:cs="Times New Roman" w:eastAsia="Times New Roman" w:hAnsi="Times New Roman"/>
          <w:sz w:val="16"/>
          <w:szCs w:val="16"/>
          <w:color w:val="auto"/>
        </w:rPr>
        <w:t xml:space="preserve">6.7 </w:t>
      </w:r>
      <w:r>
        <w:rPr>
          <w:rFonts w:ascii="Times New Roman" w:cs="Times New Roman" w:eastAsia="Times New Roman" w:hAnsi="Times New Roman"/>
          <w:sz w:val="16"/>
          <w:szCs w:val="16"/>
          <w:b w:val="1"/>
          <w:bCs w:val="1"/>
          <w:i w:val="1"/>
          <w:iCs w:val="1"/>
          <w:color w:val="auto"/>
        </w:rPr>
        <w:t>Zoning and Contract Changes and Compliance.</w:t>
      </w:r>
      <w:r>
        <w:rPr>
          <w:rFonts w:ascii="Times New Roman" w:cs="Times New Roman" w:eastAsia="Times New Roman" w:hAnsi="Times New Roman"/>
          <w:sz w:val="16"/>
          <w:szCs w:val="16"/>
          <w:color w:val="auto"/>
        </w:rPr>
        <w:t xml:space="preserve"> (a) Initiate or consent to or acquiesce to any zoning downgrade of the Mortgaged Property or seek any material variance under any existing zoning ordinance except, in each case, to the extent such downgrade or variance could not reasonably be expected to materially and adversely affect the occupancy, use or operation of the Golf Course Land, the Phase II Land or the Casino Land, (b) use or permit the use of the Mortgaged Property in any manner that could result in such use becoming a non-conforming use (other than a non-conforming use otherwise in compliance with applicable land use laws, rules and regulations by virtue of a variance) under any zoning ordinance or any other applicable land use law, rule or regulation or</w:t>
      </w:r>
    </w:p>
    <w:p>
      <w:pPr>
        <w:spacing w:after="0" w:line="1" w:lineRule="exact"/>
        <w:rPr>
          <w:sz w:val="20"/>
          <w:szCs w:val="20"/>
          <w:color w:val="auto"/>
        </w:rPr>
      </w:pPr>
    </w:p>
    <w:p>
      <w:pPr>
        <w:ind w:right="60" w:firstLine="8"/>
        <w:spacing w:after="0" w:line="255" w:lineRule="auto"/>
        <w:tabs>
          <w:tab w:leader="none" w:pos="23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consent to or acquiesce to any change in any laws, requirements of Governmental Authorities or obligations created by private contracts which now or hereafter could reasonably be likely to materially and adversely affect the occupancy, use or operation of the Golf Course Land, the Phase II Land or the Casino Land.</w:t>
      </w:r>
    </w:p>
    <w:p>
      <w:pPr>
        <w:spacing w:after="0" w:line="188" w:lineRule="exact"/>
        <w:rPr>
          <w:sz w:val="20"/>
          <w:szCs w:val="20"/>
          <w:color w:val="auto"/>
        </w:rPr>
      </w:pPr>
    </w:p>
    <w:p>
      <w:pPr>
        <w:ind w:right="100" w:firstLine="351"/>
        <w:spacing w:after="0" w:line="260"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b w:val="1"/>
          <w:bCs w:val="1"/>
          <w:i w:val="1"/>
          <w:iCs w:val="1"/>
          <w:color w:val="auto"/>
        </w:rPr>
        <w:t>No Joint Assessment; Separate Lots.</w:t>
      </w:r>
      <w:r>
        <w:rPr>
          <w:rFonts w:ascii="Times New Roman" w:cs="Times New Roman" w:eastAsia="Times New Roman" w:hAnsi="Times New Roman"/>
          <w:sz w:val="18"/>
          <w:szCs w:val="18"/>
          <w:color w:val="auto"/>
        </w:rPr>
        <w:t xml:space="preserve"> Suffer, permit or initiate the joint assessment of any Mortgaged Property (i) with any other real property constituting a separate tax lot and (ii) with any portion of such Mortgaged Property which may be deemed to constitute personal property, or any other procedure whereby the lien of any taxes which may be levied against any such personal property shall be assessed or levied or charged to such Mortgaged Property as a single lien.</w:t>
      </w:r>
    </w:p>
    <w:p>
      <w:pPr>
        <w:sectPr>
          <w:pgSz w:w="11900" w:h="16838" w:orient="portrait"/>
          <w:cols w:equalWidth="0" w:num="1">
            <w:col w:w="11420"/>
          </w:cols>
          <w:pgMar w:left="240" w:top="121" w:right="239" w:bottom="102" w:gutter="0" w:footer="0" w:header="0"/>
        </w:sectPr>
      </w:pPr>
    </w:p>
    <w:bookmarkStart w:id="45" w:name="page46"/>
    <w:bookmarkEnd w:id="45"/>
    <w:p>
      <w:pPr>
        <w:ind w:firstLine="351"/>
        <w:spacing w:after="0" w:line="297"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b w:val="1"/>
          <w:bCs w:val="1"/>
          <w:i w:val="1"/>
          <w:iCs w:val="1"/>
          <w:color w:val="auto"/>
        </w:rPr>
        <w:t>Additional Project Documents.</w:t>
      </w:r>
      <w:r>
        <w:rPr>
          <w:rFonts w:ascii="Times New Roman" w:cs="Times New Roman" w:eastAsia="Times New Roman" w:hAnsi="Times New Roman"/>
          <w:sz w:val="16"/>
          <w:szCs w:val="16"/>
          <w:color w:val="auto"/>
        </w:rPr>
        <w:t xml:space="preserve"> Enter into or become a party to any Additional Project Document that is a Contract except (a) with the prior written consent of the Bank Agent or as permitted under </w:t>
      </w:r>
      <w:r>
        <w:rPr>
          <w:rFonts w:ascii="Times New Roman" w:cs="Times New Roman" w:eastAsia="Times New Roman" w:hAnsi="Times New Roman"/>
          <w:sz w:val="16"/>
          <w:szCs w:val="16"/>
          <w:i w:val="1"/>
          <w:iCs w:val="1"/>
          <w:color w:val="auto"/>
        </w:rPr>
        <w:t>Section 6.1.2</w:t>
      </w:r>
      <w:r>
        <w:rPr>
          <w:rFonts w:ascii="Times New Roman" w:cs="Times New Roman" w:eastAsia="Times New Roman" w:hAnsi="Times New Roman"/>
          <w:sz w:val="16"/>
          <w:szCs w:val="16"/>
          <w:color w:val="auto"/>
        </w:rPr>
        <w:t xml:space="preserve"> and (b) if such Additional Project Document is a Material Project Document, upon delivery to the Bank Agent of (x) a Consent from each third party to such Additional Project Document and (y) each Delivery Requirement with respect to such Additional Project Document;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consent of the Bank Agent shall not be required for a Loan Party to enter into Additional Project Documents (i) with Persons other than Affiliates of Loan Parties and (ii) pursuant to which the Loan Parties as a whole will incur obligations or liabilities with a value of not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 xml:space="preserve">more than $5,000,000 with respect to any Additional Project Document, per year. Enter into or become a party to any Additional Project Document that does not constitute a Contract except in compliance with the requirements of </w:t>
      </w:r>
      <w:r>
        <w:rPr>
          <w:rFonts w:ascii="Times New Roman" w:cs="Times New Roman" w:eastAsia="Times New Roman" w:hAnsi="Times New Roman"/>
          <w:sz w:val="18"/>
          <w:szCs w:val="18"/>
          <w:i w:val="1"/>
          <w:iCs w:val="1"/>
          <w:color w:val="auto"/>
        </w:rPr>
        <w:t>Section 7.23</w:t>
      </w:r>
      <w:r>
        <w:rPr>
          <w:rFonts w:ascii="Times New Roman" w:cs="Times New Roman" w:eastAsia="Times New Roman" w:hAnsi="Times New Roman"/>
          <w:sz w:val="18"/>
          <w:szCs w:val="18"/>
          <w:color w:val="auto"/>
        </w:rPr>
        <w:t xml:space="preserve"> of the Bank Credit Agreement.</w:t>
      </w:r>
    </w:p>
    <w:p>
      <w:pPr>
        <w:spacing w:after="0" w:line="170"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b w:val="1"/>
          <w:bCs w:val="1"/>
          <w:i w:val="1"/>
          <w:iCs w:val="1"/>
          <w:color w:val="auto"/>
        </w:rPr>
        <w:t>Unincorporated Materials.</w:t>
      </w:r>
      <w:r>
        <w:rPr>
          <w:rFonts w:ascii="Times New Roman" w:cs="Times New Roman" w:eastAsia="Times New Roman" w:hAnsi="Times New Roman"/>
          <w:sz w:val="18"/>
          <w:szCs w:val="18"/>
          <w:color w:val="auto"/>
        </w:rPr>
        <w:t xml:space="preserve"> Cause or permit (a) the value of Unincorporated Materials located at the Site but not expected to be incorporated into the Project within the ensuing calendar month to exceed $10,000,000 at any time, (b) the amounts paid by the Company in respect of Unincorporated Materials not located at the Site to exceed a value of $20,000,000 at any time or (c) the amount of contract deposits paid by the Company in respect of Unincorporated Materials to exceed a value of $30,000,000 at any time. The foregoing limits on Unincorporated Materials may be increased from time to time to an amount mutually agreed upon among the Company, the Construction Consultant and the Disbursement Agent.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225" w:lineRule="exact"/>
        <w:rPr>
          <w:sz w:val="20"/>
          <w:szCs w:val="20"/>
          <w:color w:val="auto"/>
        </w:rPr>
      </w:pPr>
    </w:p>
    <w:p>
      <w:pPr>
        <w:ind w:left="360"/>
        <w:spacing w:after="0"/>
        <w:tabs>
          <w:tab w:leader="none" w:pos="740" w:val="left"/>
          <w:tab w:leader="none" w:pos="22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i w:val="1"/>
          <w:iCs w:val="1"/>
          <w:color w:val="auto"/>
        </w:rPr>
        <w:t>Events of Default.</w:t>
      </w:r>
      <w:r>
        <w:rPr>
          <w:sz w:val="20"/>
          <w:szCs w:val="20"/>
          <w:color w:val="auto"/>
        </w:rPr>
        <w:tab/>
      </w:r>
      <w:r>
        <w:rPr>
          <w:rFonts w:ascii="Times New Roman" w:cs="Times New Roman" w:eastAsia="Times New Roman" w:hAnsi="Times New Roman"/>
          <w:sz w:val="16"/>
          <w:szCs w:val="16"/>
          <w:color w:val="auto"/>
        </w:rPr>
        <w:t>The occurrence of any of the following events shall constitute an event of default ("</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hereunder:</w:t>
      </w:r>
    </w:p>
    <w:p>
      <w:pPr>
        <w:spacing w:after="0" w:line="227" w:lineRule="exact"/>
        <w:rPr>
          <w:sz w:val="20"/>
          <w:szCs w:val="20"/>
          <w:color w:val="auto"/>
        </w:rPr>
      </w:pPr>
    </w:p>
    <w:p>
      <w:pPr>
        <w:ind w:left="540" w:right="2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i w:val="1"/>
          <w:iCs w:val="1"/>
          <w:color w:val="auto"/>
        </w:rPr>
        <w:t>Other Financing Documents.</w:t>
      </w:r>
      <w:r>
        <w:rPr>
          <w:rFonts w:ascii="Times New Roman" w:cs="Times New Roman" w:eastAsia="Times New Roman" w:hAnsi="Times New Roman"/>
          <w:sz w:val="18"/>
          <w:szCs w:val="18"/>
          <w:color w:val="auto"/>
        </w:rPr>
        <w:t xml:space="preserve"> The occurrence of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under and as defined (a) in the Bank Credit Agreement, (b) in the FF&amp;E Facility Agreement or (c) in the Second Mortgage Notes Indenture.</w:t>
      </w:r>
    </w:p>
    <w:p>
      <w:pPr>
        <w:spacing w:after="0" w:line="170" w:lineRule="exact"/>
        <w:rPr>
          <w:sz w:val="20"/>
          <w:szCs w:val="20"/>
          <w:color w:val="auto"/>
        </w:rPr>
      </w:pPr>
    </w:p>
    <w:p>
      <w:pPr>
        <w:ind w:left="540" w:right="2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i w:val="1"/>
          <w:iCs w:val="1"/>
          <w:color w:val="auto"/>
        </w:rPr>
        <w:t>Failure to Demonstrate Balancing.</w:t>
      </w:r>
      <w:r>
        <w:rPr>
          <w:rFonts w:ascii="Times New Roman" w:cs="Times New Roman" w:eastAsia="Times New Roman" w:hAnsi="Times New Roman"/>
          <w:sz w:val="18"/>
          <w:szCs w:val="18"/>
          <w:color w:val="auto"/>
        </w:rPr>
        <w:t xml:space="preserve"> The failure, from time to time from and after the initial Advance of funds from the Second Mortgage Notes Proceeds Account, of the Project to be In Balance and such failure shall continue for thirty (30) days without being cured.</w:t>
      </w:r>
    </w:p>
    <w:p>
      <w:pPr>
        <w:spacing w:after="0" w:line="170" w:lineRule="exact"/>
        <w:rPr>
          <w:sz w:val="20"/>
          <w:szCs w:val="20"/>
          <w:color w:val="auto"/>
        </w:rPr>
      </w:pPr>
    </w:p>
    <w:p>
      <w:pPr>
        <w:ind w:left="540" w:right="4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i w:val="1"/>
          <w:iCs w:val="1"/>
          <w:color w:val="auto"/>
        </w:rPr>
        <w:t>Inability to Deliver Certificates.</w:t>
      </w:r>
      <w:r>
        <w:rPr>
          <w:rFonts w:ascii="Times New Roman" w:cs="Times New Roman" w:eastAsia="Times New Roman" w:hAnsi="Times New Roman"/>
          <w:sz w:val="18"/>
          <w:szCs w:val="18"/>
          <w:color w:val="auto"/>
        </w:rPr>
        <w:t xml:space="preserve"> The failure, for sixty (60) consecutive days, of the Company to submit an Advance Request which is approved.</w:t>
      </w:r>
    </w:p>
    <w:p>
      <w:pPr>
        <w:spacing w:after="0" w:line="170" w:lineRule="exact"/>
        <w:rPr>
          <w:sz w:val="20"/>
          <w:szCs w:val="20"/>
          <w:color w:val="auto"/>
        </w:rPr>
      </w:pPr>
    </w:p>
    <w:p>
      <w:pPr>
        <w:ind w:left="5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i w:val="1"/>
          <w:iCs w:val="1"/>
          <w:color w:val="auto"/>
        </w:rPr>
        <w:t>Misstatements; Omissions.</w:t>
      </w:r>
      <w:r>
        <w:rPr>
          <w:rFonts w:ascii="Times New Roman" w:cs="Times New Roman" w:eastAsia="Times New Roman" w:hAnsi="Times New Roman"/>
          <w:sz w:val="18"/>
          <w:szCs w:val="18"/>
          <w:color w:val="auto"/>
        </w:rPr>
        <w:t xml:space="preserve"> Any representation, warranty or certification confirmed or made in any Financing Agreement or any Material Project Document (including any Advance Request or other certificate submitted with respect to any Financing Agreement or Material Project Document) by any Loan Party or in any writing provided by any Loan Party in connection with the transactions contemplated by this Agreement shall be found to have been incorrect in any material respect when made or deemed to be made.</w:t>
      </w:r>
    </w:p>
    <w:p>
      <w:pPr>
        <w:spacing w:after="0" w:line="187"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6"/>
          <w:szCs w:val="16"/>
          <w:i w:val="1"/>
          <w:iCs w:val="1"/>
          <w:color w:val="auto"/>
        </w:rPr>
        <w:t>Covenants.</w:t>
      </w:r>
    </w:p>
    <w:p>
      <w:pPr>
        <w:spacing w:after="0" w:line="225" w:lineRule="exact"/>
        <w:rPr>
          <w:sz w:val="20"/>
          <w:szCs w:val="20"/>
          <w:color w:val="auto"/>
        </w:rPr>
      </w:pPr>
    </w:p>
    <w:p>
      <w:pPr>
        <w:ind w:left="1080" w:right="80" w:firstLine="360"/>
        <w:spacing w:after="0" w:line="277" w:lineRule="auto"/>
        <w:tabs>
          <w:tab w:leader="none" w:pos="17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to perform or observe any of its obligations under </w:t>
      </w:r>
      <w:r>
        <w:rPr>
          <w:rFonts w:ascii="Times New Roman" w:cs="Times New Roman" w:eastAsia="Times New Roman" w:hAnsi="Times New Roman"/>
          <w:sz w:val="18"/>
          <w:szCs w:val="18"/>
          <w:i w:val="1"/>
          <w:iCs w:val="1"/>
          <w:color w:val="auto"/>
        </w:rPr>
        <w:t>Sections 5.1.1, 5.1.2, 5.1.3, 5.2(i), 5.8.1, 5.8.3, 5.14, 5.21,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6.2, 6.3, 6.4, 6.6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6.7 </w:t>
      </w:r>
      <w:r>
        <w:rPr>
          <w:rFonts w:ascii="Times New Roman" w:cs="Times New Roman" w:eastAsia="Times New Roman" w:hAnsi="Times New Roman"/>
          <w:sz w:val="18"/>
          <w:szCs w:val="18"/>
          <w:color w:val="auto"/>
        </w:rPr>
        <w:t>hereof; or</w:t>
      </w:r>
    </w:p>
    <w:p>
      <w:pPr>
        <w:spacing w:after="0" w:line="172" w:lineRule="exact"/>
        <w:rPr>
          <w:rFonts w:ascii="Times New Roman" w:cs="Times New Roman" w:eastAsia="Times New Roman" w:hAnsi="Times New Roman"/>
          <w:sz w:val="18"/>
          <w:szCs w:val="18"/>
          <w:color w:val="auto"/>
        </w:rPr>
      </w:pPr>
    </w:p>
    <w:p>
      <w:pPr>
        <w:ind w:left="1080" w:right="160" w:firstLine="360"/>
        <w:spacing w:after="0" w:line="339" w:lineRule="auto"/>
        <w:tabs>
          <w:tab w:leader="none" w:pos="172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fail, or shall fail to cause each Loan Party, to at all times maintain in full force and effect the insurance policies and programs listed on </w:t>
      </w:r>
      <w:r>
        <w:rPr>
          <w:rFonts w:ascii="Times New Roman" w:cs="Times New Roman" w:eastAsia="Times New Roman" w:hAnsi="Times New Roman"/>
          <w:sz w:val="16"/>
          <w:szCs w:val="16"/>
          <w:i w:val="1"/>
          <w:iCs w:val="1"/>
          <w:color w:val="auto"/>
        </w:rPr>
        <w:t>Exhibit O</w:t>
      </w:r>
      <w:r>
        <w:rPr>
          <w:rFonts w:ascii="Times New Roman" w:cs="Times New Roman" w:eastAsia="Times New Roman" w:hAnsi="Times New Roman"/>
          <w:sz w:val="16"/>
          <w:szCs w:val="16"/>
          <w:color w:val="auto"/>
        </w:rPr>
        <w:t xml:space="preserve"> (except for automobile, workers compensation, pollution liability and design errors and omissions insurance); or</w:t>
      </w:r>
    </w:p>
    <w:p>
      <w:pPr>
        <w:spacing w:after="0" w:line="128" w:lineRule="exact"/>
        <w:rPr>
          <w:rFonts w:ascii="Times New Roman" w:cs="Times New Roman" w:eastAsia="Times New Roman" w:hAnsi="Times New Roman"/>
          <w:sz w:val="16"/>
          <w:szCs w:val="16"/>
          <w:color w:val="auto"/>
        </w:rPr>
      </w:pPr>
    </w:p>
    <w:p>
      <w:pPr>
        <w:ind w:left="1080" w:right="160" w:firstLine="360"/>
        <w:spacing w:after="0" w:line="301" w:lineRule="auto"/>
        <w:tabs>
          <w:tab w:leader="none" w:pos="171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fail, or shall fail to cause each Loan Party, to at all times maintain in full force and effect the insurance policies and programs with respect to automobile, workers compensation, pollution liability and design errors and omissions insurance listed on </w:t>
      </w:r>
      <w:r>
        <w:rPr>
          <w:rFonts w:ascii="Times New Roman" w:cs="Times New Roman" w:eastAsia="Times New Roman" w:hAnsi="Times New Roman"/>
          <w:sz w:val="16"/>
          <w:szCs w:val="16"/>
          <w:i w:val="1"/>
          <w:iCs w:val="1"/>
          <w:color w:val="auto"/>
        </w:rPr>
        <w:t>Exhibit O</w:t>
      </w:r>
      <w:r>
        <w:rPr>
          <w:rFonts w:ascii="Times New Roman" w:cs="Times New Roman" w:eastAsia="Times New Roman" w:hAnsi="Times New Roman"/>
          <w:sz w:val="16"/>
          <w:szCs w:val="16"/>
          <w:color w:val="auto"/>
        </w:rPr>
        <w:t xml:space="preserve"> where such default shall not have been remedied within thirty (30) days after the earlier of (i) the Company or any other Loan Party becoming aware of such breach or default or (ii) notice of such failure from the Disbursement Agent or any Funding Agent to the Company; or</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(d) The Company shall fail to perform or observe any of its obligations under </w:t>
      </w:r>
      <w:r>
        <w:rPr>
          <w:rFonts w:ascii="Times New Roman" w:cs="Times New Roman" w:eastAsia="Times New Roman" w:hAnsi="Times New Roman"/>
          <w:sz w:val="18"/>
          <w:szCs w:val="18"/>
          <w:i w:val="1"/>
          <w:iCs w:val="1"/>
          <w:color w:val="auto"/>
        </w:rPr>
        <w:t>Articles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6</w:t>
      </w:r>
      <w:r>
        <w:rPr>
          <w:rFonts w:ascii="Times New Roman" w:cs="Times New Roman" w:eastAsia="Times New Roman" w:hAnsi="Times New Roman"/>
          <w:sz w:val="18"/>
          <w:szCs w:val="18"/>
          <w:color w:val="auto"/>
        </w:rPr>
        <w:t xml:space="preserve"> hereof (other than those listed in</w:t>
      </w:r>
    </w:p>
    <w:p>
      <w:pPr>
        <w:spacing w:after="0" w:line="23" w:lineRule="exact"/>
        <w:rPr>
          <w:sz w:val="20"/>
          <w:szCs w:val="20"/>
          <w:color w:val="auto"/>
        </w:rPr>
      </w:pPr>
    </w:p>
    <w:p>
      <w:pPr>
        <w:jc w:val="both"/>
        <w:ind w:left="1080" w:right="80"/>
        <w:spacing w:after="0" w:line="255" w:lineRule="auto"/>
        <w:rPr>
          <w:sz w:val="20"/>
          <w:szCs w:val="20"/>
          <w:color w:val="auto"/>
        </w:rPr>
      </w:pPr>
      <w:r>
        <w:rPr>
          <w:rFonts w:ascii="Times New Roman" w:cs="Times New Roman" w:eastAsia="Times New Roman" w:hAnsi="Times New Roman"/>
          <w:sz w:val="18"/>
          <w:szCs w:val="18"/>
          <w:i w:val="1"/>
          <w:iCs w:val="1"/>
          <w:color w:val="auto"/>
        </w:rPr>
        <w:t>Sections 7.1.5(a)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 or (c) </w:t>
      </w:r>
      <w:r>
        <w:rPr>
          <w:rFonts w:ascii="Times New Roman" w:cs="Times New Roman" w:eastAsia="Times New Roman" w:hAnsi="Times New Roman"/>
          <w:sz w:val="18"/>
          <w:szCs w:val="18"/>
          <w:color w:val="auto"/>
        </w:rPr>
        <w:t>above) where such default shall not have been remedied within thirty (30) days after the earlier of (i)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Loan Party becoming aware of such breach or default or (ii) notice of such failure from the Disbursement Agent or any Funding Agent to the Company.</w:t>
      </w:r>
    </w:p>
    <w:p>
      <w:pPr>
        <w:spacing w:after="0" w:line="190"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6"/>
          <w:szCs w:val="16"/>
          <w:i w:val="1"/>
          <w:iCs w:val="1"/>
          <w:color w:val="auto"/>
        </w:rPr>
        <w:t>Breach of Contracts.</w:t>
      </w:r>
    </w:p>
    <w:p>
      <w:pPr>
        <w:spacing w:after="0" w:line="227" w:lineRule="exact"/>
        <w:rPr>
          <w:sz w:val="20"/>
          <w:szCs w:val="20"/>
          <w:color w:val="auto"/>
        </w:rPr>
      </w:pPr>
    </w:p>
    <w:p>
      <w:pPr>
        <w:ind w:left="1080" w:right="260" w:firstLine="360"/>
        <w:spacing w:after="0" w:line="258" w:lineRule="auto"/>
        <w:tabs>
          <w:tab w:leader="none" w:pos="17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breach or default under any term, condition, provision, covenant, representation or warranty contained in any Contract with a contract price of value in excess of $5,000,000 and such breach or default shall continue unremedied for ten (10) days after the earlier of (i) the Company or any other Loan Party becoming aware of such breach or default or (ii) receipt by the Company or any other Loan Party of notice from the Disbursement Agent or any Funding Agent of such breach or default; or</w:t>
      </w:r>
    </w:p>
    <w:p>
      <w:pPr>
        <w:spacing w:after="0" w:line="190" w:lineRule="exact"/>
        <w:rPr>
          <w:rFonts w:ascii="Times New Roman" w:cs="Times New Roman" w:eastAsia="Times New Roman" w:hAnsi="Times New Roman"/>
          <w:sz w:val="18"/>
          <w:szCs w:val="18"/>
          <w:color w:val="auto"/>
        </w:rPr>
      </w:pPr>
    </w:p>
    <w:p>
      <w:pPr>
        <w:ind w:left="1080" w:right="60" w:firstLine="360"/>
        <w:spacing w:after="0" w:line="293" w:lineRule="auto"/>
        <w:tabs>
          <w:tab w:leader="none" w:pos="171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party (other than a Loan Party) shall breach or default under any term, condition, provision, covenant, representation or warranty contained in any Contract with a contract value in excess of $5,000,000 and such breach or default shall continue unremedied for thirty (30) days after the earlier of (i) the Company or any other Loan Party becoming aware of such breach or default or (ii) receipt by the Company or any other Loan Party of notice from the Bank Agent or any Lender of such breach or default;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 if the breach or default is reasonably susceptible to cure within sixty (60) days but cannot be cured within such thirty (30) days despite such other party's good faith and diligent efforts to do so, the cure period shall be extended as is reasonably necessary beyond such thirty (30) day period (but in no event longer</w:t>
      </w:r>
    </w:p>
    <w:p>
      <w:pPr>
        <w:sectPr>
          <w:pgSz w:w="11900" w:h="16838" w:orient="portrait"/>
          <w:cols w:equalWidth="0" w:num="1">
            <w:col w:w="11380"/>
          </w:cols>
          <w:pgMar w:left="240" w:top="121" w:right="279" w:bottom="0" w:gutter="0" w:footer="0" w:header="0"/>
        </w:sectPr>
      </w:pPr>
    </w:p>
    <w:bookmarkStart w:id="46" w:name="page47"/>
    <w:bookmarkEnd w:id="46"/>
    <w:p>
      <w:pPr>
        <w:ind w:left="540" w:right="20"/>
        <w:spacing w:after="0" w:line="252" w:lineRule="auto"/>
        <w:rPr>
          <w:sz w:val="20"/>
          <w:szCs w:val="20"/>
          <w:color w:val="auto"/>
        </w:rPr>
      </w:pPr>
      <w:r>
        <w:rPr>
          <w:rFonts w:ascii="Times New Roman" w:cs="Times New Roman" w:eastAsia="Times New Roman" w:hAnsi="Times New Roman"/>
          <w:sz w:val="18"/>
          <w:szCs w:val="18"/>
          <w:color w:val="auto"/>
        </w:rPr>
        <w:t xml:space="preserve">than sixty (60) days) if remedial action reasonably likely to result in cure is promptly instituted within such thirty (30) day period and is thereafter diligently pursued until the breach or default is corrected and (B) no Event of Default shall be deemed to have occurred as a result of such breach if the Company provides written notice to the Funding Agents immediately upon (but in no event more than two (2) Banking Days after) the Company or any Loan Party becoming aware of such breach that the Company intends to replace such Contract (or that replacement is not necessary) and (1)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(2) the Company enters into a replacement Contract in accordance with </w:t>
      </w:r>
      <w:r>
        <w:rPr>
          <w:rFonts w:ascii="Times New Roman" w:cs="Times New Roman" w:eastAsia="Times New Roman" w:hAnsi="Times New Roman"/>
          <w:sz w:val="18"/>
          <w:szCs w:val="18"/>
          <w:i w:val="1"/>
          <w:iCs w:val="1"/>
          <w:color w:val="auto"/>
        </w:rPr>
        <w:t>Section 6.1</w:t>
      </w:r>
      <w:r>
        <w:rPr>
          <w:rFonts w:ascii="Times New Roman" w:cs="Times New Roman" w:eastAsia="Times New Roman" w:hAnsi="Times New Roman"/>
          <w:sz w:val="18"/>
          <w:szCs w:val="18"/>
          <w:color w:val="auto"/>
        </w:rPr>
        <w:t xml:space="preserve"> on terms no less beneficial to the Company and the Secured Parties in any material respect than the Contract so breached within sixty (60) days of such breach (if in the reasonable judgment of the Disbursement Agent (in consultation with the Construction Consultant) a replacement is necessary);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replacement Contract may require the Company to pay amounts to the replacement obligor in excess of those that would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payable under the breached Contract if such additional payments in the reasonable judgment of the Disbursement Agent, in consultation with the Construction Consultant, do not cause the Project to fail to be In Balance and (3) such breach or default, after considering any replacement obligor and replacement Contract and the time required to implement such replacement, has not had and could not reasonably be expected to have a Material Adverse Effect; or</w:t>
      </w:r>
    </w:p>
    <w:p>
      <w:pPr>
        <w:spacing w:after="0" w:line="197" w:lineRule="exact"/>
        <w:rPr>
          <w:sz w:val="20"/>
          <w:szCs w:val="20"/>
          <w:color w:val="auto"/>
        </w:rPr>
      </w:pPr>
    </w:p>
    <w:p>
      <w:pPr>
        <w:ind w:left="540" w:right="20" w:firstLine="360"/>
        <w:spacing w:after="0" w:line="277" w:lineRule="auto"/>
        <w:tabs>
          <w:tab w:leader="none" w:pos="11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"stop work" notice under Nevada Revised Statutes </w:t>
      </w:r>
      <w:r>
        <w:rPr>
          <w:rFonts w:ascii="Times New Roman" w:cs="Times New Roman" w:eastAsia="Times New Roman" w:hAnsi="Times New Roman"/>
          <w:sz w:val="18"/>
          <w:szCs w:val="18"/>
          <w:i w:val="1"/>
          <w:iCs w:val="1"/>
          <w:color w:val="auto"/>
        </w:rPr>
        <w:t>Section 624.610</w:t>
      </w:r>
      <w:r>
        <w:rPr>
          <w:rFonts w:ascii="Times New Roman" w:cs="Times New Roman" w:eastAsia="Times New Roman" w:hAnsi="Times New Roman"/>
          <w:sz w:val="18"/>
          <w:szCs w:val="18"/>
          <w:color w:val="auto"/>
        </w:rPr>
        <w:t xml:space="preserve"> with respect to any Contract with a contract price or value in excess of $5,000,000.</w:t>
      </w:r>
    </w:p>
    <w:p>
      <w:pPr>
        <w:spacing w:after="0" w:line="170" w:lineRule="exact"/>
        <w:rPr>
          <w:sz w:val="20"/>
          <w:szCs w:val="20"/>
          <w:color w:val="auto"/>
        </w:rPr>
      </w:pPr>
    </w:p>
    <w:p>
      <w:pPr>
        <w:ind w:right="5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i w:val="1"/>
          <w:iCs w:val="1"/>
          <w:color w:val="auto"/>
        </w:rPr>
        <w:t>Breach of Material Project Documents.</w:t>
      </w:r>
      <w:r>
        <w:rPr>
          <w:rFonts w:ascii="Times New Roman" w:cs="Times New Roman" w:eastAsia="Times New Roman" w:hAnsi="Times New Roman"/>
          <w:sz w:val="18"/>
          <w:szCs w:val="18"/>
          <w:color w:val="auto"/>
        </w:rPr>
        <w:t xml:space="preserve"> Any Loan Party or any other party thereto shall breach, or default under any term, condition, provision, covenant, representation or warranty</w:t>
      </w:r>
    </w:p>
    <w:p>
      <w:pPr>
        <w:spacing w:after="0" w:line="1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 xml:space="preserve">contained in any Material Project Document (other than any Contract) or any other agreement (other than the Facility Agreements or other Financing Agreements) to which any Loan Party is a party if the effect of such breach or default could reasonably be expected to have a Material Adverse Effect and such breach or default shall continue unremedied for thirty (30) days after the earlier of (i) the Company or any other Loan Party becoming aware of such default or (ii) receipt by the Company or any other Loan Party of notice from the Disbursement Agent or any Funding Agent of such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case of any Material Project Document (other than the Contracts), if the breach is by a party other than any Loan Party, then no Event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Default shall be deemed to have occurred as a result of such breach if the Company provides written notice to the Disbursement Agent, the Indenture Trustee and the FF&amp;E Agent immediately upon (but in no event more than two (2) Banking Days after) the Company or any Loan Party becoming aware of such breach that the Company intends to replace such Material Project Document (or that replacement is not necessary) and (i)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(ii) the Company enters into a replacement Material Project Document in accordance with Section 6.1 on terms no less beneficial to the Company and the Secured Parties in any material respect than the Material Project Document so breached within sixty (60) days of such breach (if in the reasonable judgment of the Disbursement Agent (in consultation with the Construction Consultant) a replacement is necessary);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replacement Project Document may require the Company to pay amounts to the replacement obligor in excess of those that would have been payable under the breached Project Document if such additional payments in the reasonable judgment of the Disbursement Agent, in consultation with the Construction Consultant, do not cause the Project to fail to be In Balance and (iii) such breach or default, after considering any replacement obligor and replacement Material Project Document and the time required to implement such replacement, has not had and could not reasonably be expected to have a Material Adverse Effect.</w:t>
      </w:r>
    </w:p>
    <w:p>
      <w:pPr>
        <w:spacing w:after="0" w:line="392"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18"/>
          <w:szCs w:val="18"/>
          <w:color w:val="auto"/>
        </w:rPr>
        <w:t>7.1.8</w:t>
      </w:r>
      <w:r>
        <w:rPr>
          <w:sz w:val="20"/>
          <w:szCs w:val="20"/>
          <w:color w:val="auto"/>
        </w:rPr>
        <w:tab/>
      </w:r>
      <w:r>
        <w:rPr>
          <w:rFonts w:ascii="Times New Roman" w:cs="Times New Roman" w:eastAsia="Times New Roman" w:hAnsi="Times New Roman"/>
          <w:sz w:val="16"/>
          <w:szCs w:val="16"/>
          <w:i w:val="1"/>
          <w:iCs w:val="1"/>
          <w:color w:val="auto"/>
        </w:rPr>
        <w:t>Financing Agreements.</w:t>
      </w:r>
    </w:p>
    <w:p>
      <w:pPr>
        <w:spacing w:after="0" w:line="227" w:lineRule="exact"/>
        <w:rPr>
          <w:sz w:val="20"/>
          <w:szCs w:val="20"/>
          <w:color w:val="auto"/>
        </w:rPr>
      </w:pPr>
    </w:p>
    <w:p>
      <w:pPr>
        <w:ind w:right="40" w:firstLine="359"/>
        <w:spacing w:after="0" w:line="253" w:lineRule="auto"/>
        <w:tabs>
          <w:tab w:leader="none" w:pos="6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Financing Agreements, once executed and delivered, shall cease to be in full force and effect (other than in accordance with its terms) or shall be declared null and void by any Governmental Authority of competent jurisdiction, or (b) any of the Security Documents, once executed and delivered, shall fail to provide the secured parties thereunder all of the Liens, security interest, rights, titles, interest, priorities, remedies, powers or privileges intended to be created thereby or cease to be in full force and effect, or (c) the validity or the applicability of the Security Documents to the Loans or the Second Mortgage Notes, or any other obligations purported to be secured or guaranteed thereby or any part thereof shall be disaffirmed or contested by or on behalf of the Company or any other party thereto or (d) the Company or any other party to the Financing Agreements shall deny in writing that it has any further liability thereunder prior to the payment in full in immediately available funds of all the Obligations thereunder, including, with respect to the Bank Credit Agreement, the cancellation of all outstanding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(as defined in the Bank Credit Agreement) and termination of the Commitments thereunder.</w:t>
      </w:r>
    </w:p>
    <w:p>
      <w:pPr>
        <w:spacing w:after="0" w:line="195"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6"/>
          <w:szCs w:val="16"/>
          <w:i w:val="1"/>
          <w:iCs w:val="1"/>
          <w:color w:val="auto"/>
        </w:rPr>
        <w:t>Termination or Invalidity of Material Project Documents; Abandonment of Project.</w:t>
      </w:r>
    </w:p>
    <w:p>
      <w:pPr>
        <w:spacing w:after="0" w:line="227" w:lineRule="exact"/>
        <w:rPr>
          <w:sz w:val="20"/>
          <w:szCs w:val="20"/>
          <w:color w:val="auto"/>
        </w:rPr>
      </w:pPr>
    </w:p>
    <w:p>
      <w:pPr>
        <w:ind w:left="540" w:right="20" w:firstLine="360"/>
        <w:spacing w:after="0" w:line="258" w:lineRule="auto"/>
        <w:tabs>
          <w:tab w:leader="none" w:pos="11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Material Project Documents shall have terminated, become invalid or illegal, or otherwise ceased to be in full force and effect, provided that with respect to any Material Project Document other than the Prime Construction Contract, the Construction Guaranty or the Affiliate Real Estate Agreements, no Event of Default shall be deemed to have occurred as a result of such termination if the Company provides written notice to the</w:t>
      </w:r>
    </w:p>
    <w:p>
      <w:pPr>
        <w:spacing w:after="0" w:line="1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87" w:lineRule="auto"/>
        <w:rPr>
          <w:sz w:val="20"/>
          <w:szCs w:val="20"/>
          <w:color w:val="auto"/>
        </w:rPr>
      </w:pPr>
      <w:r>
        <w:rPr>
          <w:rFonts w:ascii="Times New Roman" w:cs="Times New Roman" w:eastAsia="Times New Roman" w:hAnsi="Times New Roman"/>
          <w:sz w:val="16"/>
          <w:szCs w:val="16"/>
          <w:color w:val="auto"/>
        </w:rPr>
        <w:t xml:space="preserve">Funding Agents immediately upon (but in no event more than two (2) Banking Days after) the Company, the Construction Guarantor or any Loan Party becoming aware of such Project Document ceasing to be in full force or effect that the Company intends to replace such Project Document (or that replacement is not necessary) and (i)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(ii) the Company enters into a replacement Project Document in accordance with </w:t>
      </w:r>
      <w:r>
        <w:rPr>
          <w:rFonts w:ascii="Times New Roman" w:cs="Times New Roman" w:eastAsia="Times New Roman" w:hAnsi="Times New Roman"/>
          <w:sz w:val="16"/>
          <w:szCs w:val="16"/>
          <w:i w:val="1"/>
          <w:iCs w:val="1"/>
          <w:color w:val="auto"/>
        </w:rPr>
        <w:t>Section 6.1</w:t>
      </w:r>
      <w:r>
        <w:rPr>
          <w:rFonts w:ascii="Times New Roman" w:cs="Times New Roman" w:eastAsia="Times New Roman" w:hAnsi="Times New Roman"/>
          <w:sz w:val="16"/>
          <w:szCs w:val="16"/>
          <w:color w:val="auto"/>
        </w:rPr>
        <w:t>, on terms no less beneficial to the Company and the Secured Parties in any material respect than the Project Document so terminated,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within sixty (60) days of such termination (if in the reasonable judgment of the Disbursement Agent (in consultation with the Construction Consultant) a replacement is necessary);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replacement Project Document may require the Company to pay additional amounts to the replacement obligor that would have otherwise been payable under the terminated Project Document if such additional payments in the reasonable judgment of the Disbursement Agent, in consultation with the Construction Consultant, do not cause the Company to fail to be In Balance, and (iii) such termination, after considering any replacement obligor and replacement Project Document and the time required to implement such replacement, has not had and could not reasonably be expected to have a Material Adverse Effect;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the</w:t>
      </w:r>
    </w:p>
    <w:p>
      <w:pPr>
        <w:sectPr>
          <w:pgSz w:w="11900" w:h="16838" w:orient="portrait"/>
          <w:cols w:equalWidth="0" w:num="1">
            <w:col w:w="10860"/>
          </w:cols>
          <w:pgMar w:left="780" w:top="125" w:right="259" w:bottom="0" w:gutter="0" w:footer="0" w:header="0"/>
        </w:sectPr>
      </w:pPr>
    </w:p>
    <w:bookmarkStart w:id="47" w:name="page48"/>
    <w:bookmarkEnd w:id="47"/>
    <w:p>
      <w:pPr>
        <w:ind w:left="1080" w:right="140"/>
        <w:spacing w:after="0" w:line="339" w:lineRule="auto"/>
        <w:rPr>
          <w:sz w:val="20"/>
          <w:szCs w:val="20"/>
          <w:color w:val="auto"/>
        </w:rPr>
      </w:pPr>
      <w:r>
        <w:rPr>
          <w:rFonts w:ascii="Times New Roman" w:cs="Times New Roman" w:eastAsia="Times New Roman" w:hAnsi="Times New Roman"/>
          <w:sz w:val="16"/>
          <w:szCs w:val="16"/>
          <w:color w:val="auto"/>
        </w:rPr>
        <w:t>termination of the Driving Range Lease, the Parking Facility Lease or the Building Lease in connection with any release of the Phase II Land in accordance with the Bank Credit Agreement and the Second Mortgage Notes Indenture shall not be deemed to be an Event of Default hereunder;</w:t>
      </w:r>
    </w:p>
    <w:p>
      <w:pPr>
        <w:spacing w:after="0" w:line="128" w:lineRule="exact"/>
        <w:rPr>
          <w:sz w:val="20"/>
          <w:szCs w:val="20"/>
          <w:color w:val="auto"/>
        </w:rPr>
      </w:pPr>
    </w:p>
    <w:p>
      <w:pPr>
        <w:ind w:left="1080" w:right="180" w:firstLine="351"/>
        <w:spacing w:after="0" w:line="258" w:lineRule="auto"/>
        <w:rPr>
          <w:sz w:val="20"/>
          <w:szCs w:val="20"/>
          <w:color w:val="auto"/>
        </w:rPr>
      </w:pPr>
      <w:r>
        <w:rPr>
          <w:rFonts w:ascii="Times New Roman" w:cs="Times New Roman" w:eastAsia="Times New Roman" w:hAnsi="Times New Roman"/>
          <w:sz w:val="18"/>
          <w:szCs w:val="18"/>
          <w:color w:val="auto"/>
        </w:rPr>
        <w:t>(b)(i)The Loan Parties shall cease to own the portion(s) of the Site or the Site Easements owned by them as of the Closing Date (other than Wynn Home Site to the extent permitted by the Bank Credit Agreement and the Second Mortgage Notes Indenture) or any parcels and subdivisions thereof or Improvements located thereon; and (ii) the Loan Parties shall cease to own 985 acre feet of water per year appurtenant to the Site; and</w:t>
      </w:r>
    </w:p>
    <w:p>
      <w:pPr>
        <w:spacing w:after="0" w:line="1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 The Company shall abandon the Project or otherwise cease to pursue the operations of the Project.</w:t>
      </w:r>
    </w:p>
    <w:p>
      <w:pPr>
        <w:spacing w:after="0" w:line="223" w:lineRule="exact"/>
        <w:rPr>
          <w:sz w:val="20"/>
          <w:szCs w:val="20"/>
          <w:color w:val="auto"/>
        </w:rPr>
      </w:pPr>
    </w:p>
    <w:p>
      <w:pPr>
        <w:ind w:left="540"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7.1.10 </w:t>
      </w:r>
      <w:r>
        <w:rPr>
          <w:rFonts w:ascii="Times New Roman" w:cs="Times New Roman" w:eastAsia="Times New Roman" w:hAnsi="Times New Roman"/>
          <w:sz w:val="18"/>
          <w:szCs w:val="18"/>
          <w:i w:val="1"/>
          <w:iCs w:val="1"/>
          <w:color w:val="auto"/>
        </w:rPr>
        <w:t>Government Authorizations.</w:t>
      </w:r>
      <w:r>
        <w:rPr>
          <w:rFonts w:ascii="Times New Roman" w:cs="Times New Roman" w:eastAsia="Times New Roman" w:hAnsi="Times New Roman"/>
          <w:sz w:val="18"/>
          <w:szCs w:val="18"/>
          <w:color w:val="auto"/>
        </w:rPr>
        <w:t xml:space="preserve"> The Company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w:t>
      </w:r>
    </w:p>
    <w:p>
      <w:pPr>
        <w:spacing w:after="0" w:line="188"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color w:val="auto"/>
        </w:rPr>
        <w:t>7.1.11</w:t>
      </w:r>
      <w:r>
        <w:rPr>
          <w:sz w:val="20"/>
          <w:szCs w:val="20"/>
          <w:color w:val="auto"/>
        </w:rPr>
        <w:tab/>
      </w:r>
      <w:r>
        <w:rPr>
          <w:rFonts w:ascii="Times New Roman" w:cs="Times New Roman" w:eastAsia="Times New Roman" w:hAnsi="Times New Roman"/>
          <w:sz w:val="16"/>
          <w:szCs w:val="16"/>
          <w:i w:val="1"/>
          <w:iCs w:val="1"/>
          <w:color w:val="auto"/>
        </w:rPr>
        <w:t>Schedule; Completion.</w:t>
      </w:r>
    </w:p>
    <w:p>
      <w:pPr>
        <w:spacing w:after="0" w:line="227" w:lineRule="exact"/>
        <w:rPr>
          <w:sz w:val="20"/>
          <w:szCs w:val="20"/>
          <w:color w:val="auto"/>
        </w:rPr>
      </w:pPr>
    </w:p>
    <w:p>
      <w:pPr>
        <w:ind w:left="1080" w:firstLine="360"/>
        <w:spacing w:after="0" w:line="262" w:lineRule="auto"/>
        <w:tabs>
          <w:tab w:leader="none" w:pos="17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shall reasonably determine (based on its experience, familiarity and review of the Project and information and schedule provided by the Company and the Contractors) that the Completion Date is likely to occur no earlier than seventy-five (75) days after the Scheduled Completion Date; or</w:t>
      </w:r>
    </w:p>
    <w:p>
      <w:pPr>
        <w:spacing w:after="0" w:line="186"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Completion Date on or before the Scheduled Completion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540" w:right="160" w:firstLine="351"/>
        <w:spacing w:after="0" w:line="286" w:lineRule="auto"/>
        <w:rPr>
          <w:sz w:val="20"/>
          <w:szCs w:val="20"/>
          <w:color w:val="auto"/>
        </w:rPr>
      </w:pPr>
      <w:r>
        <w:rPr>
          <w:rFonts w:ascii="Times New Roman" w:cs="Times New Roman" w:eastAsia="Times New Roman" w:hAnsi="Times New Roman"/>
          <w:sz w:val="16"/>
          <w:szCs w:val="16"/>
          <w:color w:val="auto"/>
        </w:rPr>
        <w:t xml:space="preserve">7.1.12 </w:t>
      </w:r>
      <w:r>
        <w:rPr>
          <w:rFonts w:ascii="Times New Roman" w:cs="Times New Roman" w:eastAsia="Times New Roman" w:hAnsi="Times New Roman"/>
          <w:sz w:val="16"/>
          <w:szCs w:val="16"/>
          <w:i w:val="1"/>
          <w:iCs w:val="1"/>
          <w:color w:val="auto"/>
        </w:rPr>
        <w:t>Future Advances.</w:t>
      </w:r>
      <w:r>
        <w:rPr>
          <w:rFonts w:ascii="Times New Roman" w:cs="Times New Roman" w:eastAsia="Times New Roman" w:hAnsi="Times New Roman"/>
          <w:sz w:val="16"/>
          <w:szCs w:val="16"/>
          <w:color w:val="auto"/>
        </w:rPr>
        <w:t xml:space="preserve"> With respect to any of the Deeds of Trust, if any "borrower" (as that term is defined in NRS 106.310) who may send a notice pursuant to NRS 106.380(1), (i) delivers, sends by mail or otherwise gives, or purports to deliver, send by mail or otherwise give, to a beneficiary under any of the Deeds of Trust (A) any notice of an election to terminate the operation of any such Deed of Trust as security for any secured obligation, including, without limitation, any obligation to repay any "future advance" (as defined in NRS 106.320) of "principal" (as defined in NRS 106.345), or</w:t>
      </w:r>
    </w:p>
    <w:p>
      <w:pPr>
        <w:spacing w:after="0" w:line="2" w:lineRule="exact"/>
        <w:rPr>
          <w:sz w:val="20"/>
          <w:szCs w:val="20"/>
          <w:color w:val="auto"/>
        </w:rPr>
      </w:pPr>
    </w:p>
    <w:p>
      <w:pPr>
        <w:ind w:left="540" w:right="460" w:firstLine="8"/>
        <w:spacing w:after="0" w:line="261" w:lineRule="auto"/>
        <w:tabs>
          <w:tab w:leader="none" w:pos="8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notice pursuant to NRS 106.380(l), (ii) records a statement pursuant to NRS 106.380(3), or (iii) causes any Deed of Trust, any secured obligation, or any Secured Party to be subject to NRS 106.380(2), 106.380(3) or 106.400.</w:t>
      </w:r>
    </w:p>
    <w:p>
      <w:pPr>
        <w:spacing w:after="0" w:line="182"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xml:space="preserve"> Upon the occurrence and during the continuation of an Event of Default, the Funding Agents and the Disbursement Agent may, without further notice of default, presentment or demand for payment, protest or notice of non-payment or dishonor, or other notices or demands of any kind, all such notices and demands being waived (to the extent permitted by applicable law), exercise any or all rights and remedies at law or in equity (in any combination or order that the Funding Agents may elect, subject to the foregoing), including without limitation or prejudice to the Funding Agents' other rights and remedies, the following:</w:t>
      </w:r>
    </w:p>
    <w:p>
      <w:pPr>
        <w:spacing w:after="0" w:line="192" w:lineRule="exact"/>
        <w:rPr>
          <w:sz w:val="20"/>
          <w:szCs w:val="20"/>
          <w:color w:val="auto"/>
        </w:rPr>
      </w:pPr>
    </w:p>
    <w:p>
      <w:pPr>
        <w:ind w:left="540" w:firstLine="359"/>
        <w:spacing w:after="0" w:line="275" w:lineRule="auto"/>
        <w:tabs>
          <w:tab w:leader="none" w:pos="11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and the Funding Agents shall not be obligated, to make any Advances or make any payments from any Account or other funds held by the Disbursement Agent by or on behalf of the Company or suspend or terminate the Commitments; and</w:t>
      </w:r>
    </w:p>
    <w:p>
      <w:pPr>
        <w:spacing w:after="0" w:line="173"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and all rights and remedies available to it under any of the Financing Agreements.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—CONSULTANTS AND REPORTS</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i w:val="1"/>
          <w:iCs w:val="1"/>
          <w:color w:val="auto"/>
        </w:rPr>
        <w:t>Removal and Fees.</w:t>
      </w:r>
      <w:r>
        <w:rPr>
          <w:rFonts w:ascii="Times New Roman" w:cs="Times New Roman" w:eastAsia="Times New Roman" w:hAnsi="Times New Roman"/>
          <w:sz w:val="18"/>
          <w:szCs w:val="18"/>
          <w:color w:val="auto"/>
        </w:rPr>
        <w:t xml:space="preserve"> Only the Bank Agent in its sole discretion may remove from time to time the Independent Consultants and upon such removal a replacement acceptable to the Bank Agent shall be appointed in consultation with the Company. Notice of any replacement Independent Consultant shall be given by the Bank Agent to the Indenture Trustee, the FF&amp;E Agent, the Disbursement Agent, the Company and the Independent Consultant being replaced. All reasonable fees and expenses of the Independent Consultants (whether the original ones or replacements) shall be paid by the Company. The Bank Agent will reasonably consult with the Company on a regular basis with respect to on-going costs of the Independent Consultants and unless a Potential Event of Default or Event of Default shall have occurred and be continuing, if requested by the Company, the Bank Agent may agree with the Company that such costs be subject to a reasonable fee cap. Neither the FF&amp;E Agent nor the Indenture Trustee shall have the right to remove an Independent Consultant or appoint a replacement. The Company has reviewed the Construction Consultant's Engagement Agreement and hereby agrees to reimburse the Disbursement Agent and the Funding Agents for the fees of the Construction Consultant set forth therein.</w:t>
      </w:r>
    </w:p>
    <w:p>
      <w:pPr>
        <w:spacing w:after="0" w:line="189" w:lineRule="exact"/>
        <w:rPr>
          <w:sz w:val="20"/>
          <w:szCs w:val="20"/>
          <w:color w:val="auto"/>
        </w:rPr>
      </w:pPr>
    </w:p>
    <w:p>
      <w:pPr>
        <w:ind w:right="60" w:firstLine="351"/>
        <w:spacing w:after="0" w:line="26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i w:val="1"/>
          <w:iCs w:val="1"/>
          <w:color w:val="auto"/>
        </w:rPr>
        <w:t>Duties.</w:t>
      </w:r>
      <w:r>
        <w:rPr>
          <w:rFonts w:ascii="Times New Roman" w:cs="Times New Roman" w:eastAsia="Times New Roman" w:hAnsi="Times New Roman"/>
          <w:sz w:val="18"/>
          <w:szCs w:val="18"/>
          <w:color w:val="auto"/>
        </w:rPr>
        <w:t xml:space="preserve"> The Independent Consultants shall be contractually obligated to the Bank Agent, the Indenture Trustee and the FF&amp;E Agent to carry out the activities required of them in this Agreement and in the Construction Consultant Engagement Agreement and as otherwise requested by such Funding Agents. The Company acknowledges that it will not have any cause of action or claim against any Independent Consultant resulting from any decision made or not made, any action taken or not taken or any advice given by such Independent Consultant in the due performance in good faith of its duties.</w:t>
      </w:r>
    </w:p>
    <w:p>
      <w:pPr>
        <w:spacing w:after="0" w:line="183" w:lineRule="exact"/>
        <w:rPr>
          <w:sz w:val="20"/>
          <w:szCs w:val="20"/>
          <w:color w:val="auto"/>
        </w:rPr>
      </w:pPr>
    </w:p>
    <w:p>
      <w:pPr>
        <w:ind w:right="20" w:firstLine="351"/>
        <w:spacing w:after="0" w:line="28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i w:val="1"/>
          <w:iCs w:val="1"/>
          <w:color w:val="auto"/>
        </w:rPr>
        <w:t>Acts of Disbursement Agent.</w:t>
      </w:r>
      <w:r>
        <w:rPr>
          <w:rFonts w:ascii="Times New Roman" w:cs="Times New Roman" w:eastAsia="Times New Roman" w:hAnsi="Times New Roman"/>
          <w:sz w:val="18"/>
          <w:szCs w:val="18"/>
          <w:color w:val="auto"/>
        </w:rPr>
        <w:t xml:space="preserve"> The Disbursement Agent will take such actions as any Funding Agent or the Company may reasonably request to cause the Independent Consultants to act diligently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 xml:space="preserve">in the issuance of all certificates required to be delivered by the Independent Consultants hereunder and to otherwise fulfill their obligations to the Bank Agent, the Indenture Trustee and the FF&amp;E Agent as described in the first sentence of </w:t>
      </w:r>
      <w:r>
        <w:rPr>
          <w:rFonts w:ascii="Times New Roman" w:cs="Times New Roman" w:eastAsia="Times New Roman" w:hAnsi="Times New Roman"/>
          <w:sz w:val="18"/>
          <w:szCs w:val="18"/>
          <w:i w:val="1"/>
          <w:iCs w:val="1"/>
          <w:color w:val="auto"/>
        </w:rPr>
        <w:t>Section 8.2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ectPr>
          <w:pgSz w:w="11900" w:h="16838" w:orient="portrait"/>
          <w:cols w:equalWidth="0" w:num="1">
            <w:col w:w="11420"/>
          </w:cols>
          <w:pgMar w:left="240" w:top="125" w:right="239" w:bottom="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DISBURSEMENT AGENT</w:t>
      </w:r>
    </w:p>
    <w:p>
      <w:pPr>
        <w:spacing w:after="0" w:line="225"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i w:val="1"/>
          <w:iCs w:val="1"/>
          <w:color w:val="auto"/>
        </w:rPr>
        <w:t>Appointment and Acceptance.</w:t>
      </w:r>
      <w:r>
        <w:rPr>
          <w:rFonts w:ascii="Times New Roman" w:cs="Times New Roman" w:eastAsia="Times New Roman" w:hAnsi="Times New Roman"/>
          <w:sz w:val="18"/>
          <w:szCs w:val="18"/>
          <w:color w:val="auto"/>
        </w:rPr>
        <w:t xml:space="preserve"> Subject to and on the terms and conditions of this Agreement, the Funding Agents hereby jointly and irrevocably appoint and authorize the Disbursement Agent to act on their behalf hereunder and under the Collateral Account Agreements and any other account agreements to which it is a party (collectively, the "</w:t>
      </w:r>
      <w:r>
        <w:rPr>
          <w:rFonts w:ascii="Times New Roman" w:cs="Times New Roman" w:eastAsia="Times New Roman" w:hAnsi="Times New Roman"/>
          <w:sz w:val="18"/>
          <w:szCs w:val="18"/>
          <w:i w:val="1"/>
          <w:iCs w:val="1"/>
          <w:color w:val="auto"/>
        </w:rPr>
        <w:t>Related Agreements</w:t>
      </w:r>
      <w:r>
        <w:rPr>
          <w:rFonts w:ascii="Times New Roman" w:cs="Times New Roman" w:eastAsia="Times New Roman" w:hAnsi="Times New Roman"/>
          <w:sz w:val="18"/>
          <w:szCs w:val="18"/>
          <w:color w:val="auto"/>
        </w:rPr>
        <w:t>"). The Disbursement Agent accepts such appointment and agrees to exercise commercially reasonable efforts and utilize commercially prudent practices in the performance of its duties hereunder consistent with those of similar institutions holding collateral, administering construction loans and disbursing disbursement control funds.</w:t>
      </w:r>
    </w:p>
    <w:p>
      <w:pPr>
        <w:spacing w:after="0" w:line="188"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6"/>
          <w:szCs w:val="16"/>
          <w:b w:val="1"/>
          <w:bCs w:val="1"/>
          <w:i w:val="1"/>
          <w:iCs w:val="1"/>
          <w:color w:val="auto"/>
        </w:rPr>
        <w:t>Duties and Liabilities of the Disbursement Agent Generally.</w:t>
      </w:r>
    </w:p>
    <w:p>
      <w:pPr>
        <w:spacing w:after="0" w:line="229" w:lineRule="exact"/>
        <w:rPr>
          <w:sz w:val="20"/>
          <w:szCs w:val="20"/>
          <w:color w:val="auto"/>
        </w:rPr>
      </w:pPr>
    </w:p>
    <w:p>
      <w:pPr>
        <w:ind w:left="540" w:firstLine="263"/>
        <w:spacing w:after="0" w:line="252" w:lineRule="auto"/>
        <w:rPr>
          <w:sz w:val="20"/>
          <w:szCs w:val="20"/>
          <w:color w:val="auto"/>
        </w:rPr>
      </w:pPr>
      <w:r>
        <w:rPr>
          <w:rFonts w:ascii="Times New Roman" w:cs="Times New Roman" w:eastAsia="Times New Roman" w:hAnsi="Times New Roman"/>
          <w:sz w:val="18"/>
          <w:szCs w:val="18"/>
          <w:color w:val="auto"/>
        </w:rPr>
        <w:t>9.2.1 Commencing upon execution and delivery hereof, the Disbursement Agent shall have the right to meet periodically at reasonable times, however no less frequently than quarterly, upon three (3) Banking Days' notice, with representatives of the Company, the Construction Consultant, the Prime Contractor, the Project Architect and such other Contractors, employees, consultants or agents as the Disbursement Agent shall reasonably request to be present for such meetings. The Disbursement Agent may perform such inspections and tests of the Project as it deems reasonably appropriate in the performance of its duties hereunder. In addition, the Disbursement Agent shall have the right at reasonable times upon prior notice to review all information (including Project Documents) supporting the amendments to the Project Budget, amendments to any Project Documents, the Company's Advance Requests and any certificates in support of any of the foregoing, to inspect materials stored on the Mortgaged Property or at any other location, to review the insurance required pursuant to the terms of the Financing Agreements, to confirm receipt of endorsements from the Title Insurer insuring the continuing priority of the liens of the Deeds of Trust as security for each Advance hereunder, and to examine the Plans and Specifications and all shop drawings relating to the Project. The Disbursement Agent is authorized to contact any Contractor for purposes of confirming receipt of progress payments. The Disbursement Agent shall be entitled to examine, copy and make extracts of the books, records, accounting data and other documents of the Company, including without limitation bills of sale, statements, receipts, conditional and unconditional lien releases, contracts or agreements, which relate to any materials, fixtures or articles incorporated into the Project. From time to time, at the request of the Disbursement Agent, the Company shall make available to the Disbursement Agent a Project Schedule. The Company agrees to cooperate with the Disbursement Agent in assisting the Disbursement Agent to perform its duties hereunder and to take such further steps as the Disbursement Agent reasonably may request in order to facilitate the Disbursement Agent's performance of its obligations hereunder.</w:t>
      </w:r>
    </w:p>
    <w:p>
      <w:pPr>
        <w:spacing w:after="0" w:line="194" w:lineRule="exact"/>
        <w:rPr>
          <w:sz w:val="20"/>
          <w:szCs w:val="20"/>
          <w:color w:val="auto"/>
        </w:rPr>
      </w:pPr>
    </w:p>
    <w:p>
      <w:pPr>
        <w:ind w:left="540" w:right="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i w:val="1"/>
          <w:iCs w:val="1"/>
          <w:color w:val="auto"/>
        </w:rPr>
        <w:t>Powers, Rights and Remedies.</w:t>
      </w:r>
      <w:r>
        <w:rPr>
          <w:rFonts w:ascii="Times New Roman" w:cs="Times New Roman" w:eastAsia="Times New Roman" w:hAnsi="Times New Roman"/>
          <w:sz w:val="18"/>
          <w:szCs w:val="18"/>
          <w:color w:val="auto"/>
        </w:rPr>
        <w:t xml:space="preserve"> The Disbursement Agent is authorized to take such actions and to exercise such powers, rights and remedies under this Agreement and the Related Agreements as are specifically delegated or granted to the Disbursement Agent by the terms hereof or thereof, together with such powers, rights and remedies as are reasonably incidental thereto. The Disbursement Agent agrees to act in accordance with the instructions of the Controlling Person and in the absence of such instructions shall take such actions or refrain from acting as it deems reasonable subject to any express requirements of this Agreement. Unless a Potential Event of Default or Event of Default shall have occurred or be continuing or as otherwise expressly provided herein, neither the Funding Agents nor the Disbursement Agent shall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20"/>
        <w:spacing w:after="0" w:line="275" w:lineRule="auto"/>
        <w:rPr>
          <w:sz w:val="20"/>
          <w:szCs w:val="20"/>
          <w:color w:val="auto"/>
        </w:rPr>
      </w:pPr>
      <w:r>
        <w:rPr>
          <w:rFonts w:ascii="Times New Roman" w:cs="Times New Roman" w:eastAsia="Times New Roman" w:hAnsi="Times New Roman"/>
          <w:sz w:val="18"/>
          <w:szCs w:val="18"/>
          <w:color w:val="auto"/>
        </w:rPr>
        <w:t>instruct the Securities Intermediary to take an action inconsistent with the Company's instructions (if such Company instructions are consistent with the requirements of this Agreement).</w:t>
      </w:r>
    </w:p>
    <w:p>
      <w:pPr>
        <w:spacing w:after="0" w:line="172" w:lineRule="exact"/>
        <w:rPr>
          <w:sz w:val="20"/>
          <w:szCs w:val="20"/>
          <w:color w:val="auto"/>
        </w:rPr>
      </w:pPr>
    </w:p>
    <w:p>
      <w:pPr>
        <w:ind w:left="540" w:right="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9.2.3 </w:t>
      </w:r>
      <w:r>
        <w:rPr>
          <w:rFonts w:ascii="Times New Roman" w:cs="Times New Roman" w:eastAsia="Times New Roman" w:hAnsi="Times New Roman"/>
          <w:sz w:val="18"/>
          <w:szCs w:val="18"/>
          <w:i w:val="1"/>
          <w:iCs w:val="1"/>
          <w:color w:val="auto"/>
        </w:rPr>
        <w:t>Notice of Events of Default.</w:t>
      </w:r>
      <w:r>
        <w:rPr>
          <w:rFonts w:ascii="Times New Roman" w:cs="Times New Roman" w:eastAsia="Times New Roman" w:hAnsi="Times New Roman"/>
          <w:sz w:val="18"/>
          <w:szCs w:val="18"/>
          <w:color w:val="auto"/>
        </w:rPr>
        <w:t xml:space="preserve"> If the Disbursement Agent notifies any Funding Agent that an Event of Default or a Potential Event of Default known to it (or as to which it has received notice from any Funding Agent) has occurred (which has not been cured or waived), the Disbursement Agent shall provide prompt notice to each of the Funding Agents of the same and otherwise shall exercise such of the rights and powers vested in it by this Agreement and the documents constituting or executed in connection with this Agreement, and use the same degree of care and skill in their exercise, as a prudent person would exercise or use under the circumstances in the reasonable administration of its own affairs.</w:t>
      </w:r>
    </w:p>
    <w:p>
      <w:pPr>
        <w:spacing w:after="0" w:line="188" w:lineRule="exact"/>
        <w:rPr>
          <w:sz w:val="20"/>
          <w:szCs w:val="20"/>
          <w:color w:val="auto"/>
        </w:rPr>
      </w:pPr>
    </w:p>
    <w:p>
      <w:pPr>
        <w:ind w:left="540" w:right="1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i w:val="1"/>
          <w:iCs w:val="1"/>
          <w:color w:val="auto"/>
        </w:rPr>
        <w:t>No Risk of Own Funds.</w:t>
      </w:r>
      <w:r>
        <w:rPr>
          <w:rFonts w:ascii="Times New Roman" w:cs="Times New Roman" w:eastAsia="Times New Roman" w:hAnsi="Times New Roman"/>
          <w:sz w:val="18"/>
          <w:szCs w:val="18"/>
          <w:color w:val="auto"/>
        </w:rPr>
        <w:t xml:space="preserve"> None of the provisions of this Agreement shall require the Disbursement Agent to expend or risk its own funds or otherwise to incur any personal financial liability in the performance of any of its duties hereunder or under the Related Agreements, or in the exercise of any of its rights or powers if it shall have reasonable grounds for believing that repayment of such funds or adequate indemnity against such risk or liability is not reasonably assured to it.</w:t>
      </w:r>
    </w:p>
    <w:p>
      <w:pPr>
        <w:spacing w:after="0" w:line="187" w:lineRule="exact"/>
        <w:rPr>
          <w:sz w:val="20"/>
          <w:szCs w:val="20"/>
          <w:color w:val="auto"/>
        </w:rPr>
      </w:pPr>
    </w:p>
    <w:p>
      <w:pPr>
        <w:ind w:left="540" w:firstLine="351"/>
        <w:spacing w:after="0" w:line="286" w:lineRule="auto"/>
        <w:rPr>
          <w:sz w:val="20"/>
          <w:szCs w:val="20"/>
          <w:color w:val="auto"/>
        </w:rPr>
      </w:pPr>
      <w:r>
        <w:rPr>
          <w:rFonts w:ascii="Times New Roman" w:cs="Times New Roman" w:eastAsia="Times New Roman" w:hAnsi="Times New Roman"/>
          <w:sz w:val="16"/>
          <w:szCs w:val="16"/>
          <w:color w:val="auto"/>
        </w:rPr>
        <w:t xml:space="preserve">9.2.5 </w:t>
      </w:r>
      <w:r>
        <w:rPr>
          <w:rFonts w:ascii="Times New Roman" w:cs="Times New Roman" w:eastAsia="Times New Roman" w:hAnsi="Times New Roman"/>
          <w:sz w:val="16"/>
          <w:szCs w:val="16"/>
          <w:i w:val="1"/>
          <w:iCs w:val="1"/>
          <w:color w:val="auto"/>
        </w:rPr>
        <w:t>No Imputed Knowledge.</w:t>
      </w:r>
      <w:r>
        <w:rPr>
          <w:rFonts w:ascii="Times New Roman" w:cs="Times New Roman" w:eastAsia="Times New Roman" w:hAnsi="Times New Roman"/>
          <w:sz w:val="16"/>
          <w:szCs w:val="16"/>
          <w:color w:val="auto"/>
        </w:rPr>
        <w:t xml:space="preserve"> Notwithstanding anything to the contrary in this Agreement, if the entity acting as Disbursement Agent also serves as a collateral agent or Funding Agent under the Financing Agreements, and except if such functions shall be performed by the same individuals within such entity to the maximum extent permitted by law, the Disbursement Agent shall not be deemed to have any knowledge of any fact known to such entity in its capacity as the collateral agent or Funding Agent by reason of the fact that the Disbursement Agent and the collateral agent or Funding Agent, as the case may be, are the same entity. Except as aforesaid, no knowledge of the collateral agent or any Funding Agent shall be attributed to the Disbursement Agent. The Disbursement Agent's duties and functions hereunder shall in no way impair or affect any of the rights and powers of, or impose any duties or obligations upon the Disbursement Agent in its capacity as Bank Agent or as Lender. With respect to its participation in the extensions of credit under the Bank Credit Agreement, the Disbursement Agent shall have the same rights and powers hereunder as any other Funding Agent or Lender and may exercise the same as though it were not performing its duties and functions hereunder. The Disbursement Agent and its Affiliates may accept deposits from, lend money to and generally engage in any kind of banking, trust, financial advisory or other business with the Company or any of its Affiliates as if it were not performing the duties specified herein, and may accept fees and other consideration from the Company for services in connection with this Agreement and otherwise without having to account for the same to the Lenders. Each party hereto acknowledges that, as of the Closing Date, Deutsche Bank Trust Company Americas is, in addition to acting as the Disbursement Agent hereunder, also acting as the initial Bank Agent, Securities Intermediary, investment manager on behalf of the Loan Parties, and may be a Bank Lender.</w:t>
      </w:r>
    </w:p>
    <w:p>
      <w:pPr>
        <w:spacing w:after="0" w:line="389"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6"/>
          <w:szCs w:val="16"/>
          <w:b w:val="1"/>
          <w:bCs w:val="1"/>
          <w:i w:val="1"/>
          <w:iCs w:val="1"/>
          <w:color w:val="auto"/>
        </w:rPr>
        <w:t>Particular Duties and Liabilities of the Disbursement Agent.</w:t>
      </w:r>
    </w:p>
    <w:p>
      <w:pPr>
        <w:spacing w:after="0" w:line="227" w:lineRule="exact"/>
        <w:rPr>
          <w:sz w:val="20"/>
          <w:szCs w:val="20"/>
          <w:color w:val="auto"/>
        </w:rPr>
      </w:pPr>
    </w:p>
    <w:p>
      <w:pPr>
        <w:ind w:left="540"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i w:val="1"/>
          <w:iCs w:val="1"/>
          <w:color w:val="auto"/>
        </w:rPr>
        <w:t>Reliance For Instructions.</w:t>
      </w:r>
      <w:r>
        <w:rPr>
          <w:rFonts w:ascii="Times New Roman" w:cs="Times New Roman" w:eastAsia="Times New Roman" w:hAnsi="Times New Roman"/>
          <w:sz w:val="18"/>
          <w:szCs w:val="18"/>
          <w:color w:val="auto"/>
        </w:rPr>
        <w:t xml:space="preserve"> The Disbursement Agent may, from time to time, in the event that any matter arises as to which specific instructions are not provided herein or in a Related Agreement (as applicable), request directions from the Funding Agents or the Controlling Person with respect to such matters and may refuse to act until so instructed and shall be fully protected in acting or refusing to act in accordance with such instructions.</w:t>
      </w:r>
    </w:p>
    <w:p>
      <w:pPr>
        <w:sectPr>
          <w:pgSz w:w="11900" w:h="16838" w:orient="portrait"/>
          <w:cols w:equalWidth="0" w:num="1">
            <w:col w:w="11420"/>
          </w:cols>
          <w:pgMar w:left="240" w:top="121" w:right="239" w:bottom="77" w:gutter="0" w:footer="0" w:header="0"/>
        </w:sectPr>
      </w:pPr>
    </w:p>
    <w:bookmarkStart w:id="49" w:name="page50"/>
    <w:bookmarkEnd w:id="49"/>
    <w:p>
      <w:pPr>
        <w:jc w:val="both"/>
        <w:ind w:left="540" w:right="5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i w:val="1"/>
          <w:iCs w:val="1"/>
          <w:color w:val="auto"/>
        </w:rPr>
        <w:t>Reliance Generally.</w:t>
      </w:r>
      <w:r>
        <w:rPr>
          <w:rFonts w:ascii="Times New Roman" w:cs="Times New Roman" w:eastAsia="Times New Roman" w:hAnsi="Times New Roman"/>
          <w:sz w:val="18"/>
          <w:szCs w:val="18"/>
          <w:color w:val="auto"/>
        </w:rPr>
        <w:t xml:space="preserve"> The Disbursement Agent may rely and shall be protected in acting or refraining from acting upon any resolution, certificate, statement, instrument, opinion, report, notice, request, consent, order, approval or other paper or document believed by it on reasonable grounds to be genuine and to have been signed or presented by the proper party or parties.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Notwithstanding anything else in this Agreement to the contrary, in performing its duties hereunder, including approving any Advance Requests, making any other determinations or taking any other actions hereunder, the Disbursement Agent shall be entitled to rely on certifications from the Company (and, where contemplated herein, certifications from third parties, including the Construction Consultant) as to satisfaction of any requirements and/or conditions imposed by this Agreement. The Disbursement Agent shall not be required to conduct any independent investigation as to the accuracy, veracity or completeness of any such items or to investigate any other facts or circumstances to verify compliance by the Company with its obligations hereunder.</w:t>
      </w:r>
    </w:p>
    <w:p>
      <w:pPr>
        <w:spacing w:after="0" w:line="191" w:lineRule="exact"/>
        <w:rPr>
          <w:sz w:val="20"/>
          <w:szCs w:val="20"/>
          <w:color w:val="auto"/>
        </w:rPr>
      </w:pPr>
    </w:p>
    <w:p>
      <w:pPr>
        <w:ind w:left="5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9.3.3 </w:t>
      </w:r>
      <w:r>
        <w:rPr>
          <w:rFonts w:ascii="Times New Roman" w:cs="Times New Roman" w:eastAsia="Times New Roman" w:hAnsi="Times New Roman"/>
          <w:sz w:val="18"/>
          <w:szCs w:val="18"/>
          <w:i w:val="1"/>
          <w:iCs w:val="1"/>
          <w:color w:val="auto"/>
        </w:rPr>
        <w:t>Court Orders.</w:t>
      </w:r>
      <w:r>
        <w:rPr>
          <w:rFonts w:ascii="Times New Roman" w:cs="Times New Roman" w:eastAsia="Times New Roman" w:hAnsi="Times New Roman"/>
          <w:sz w:val="18"/>
          <w:szCs w:val="18"/>
          <w:color w:val="auto"/>
        </w:rPr>
        <w:t xml:space="preserve"> The Disbursement Agent is authorized, in its exclusive discretion, to obey and comply with all writs, orders, judgments or decrees issued by any court or administrative agency affecting any money, documents or things held by the Disbursement Agent. The Disbursement Agent shall not be liable to any of the parties hereto, their successors, heirs or personal representatives by reason of the Disbursement Agent's compliance with such writs, orders, judgments or decrees, notwithstanding the fact that such writ, order, judgment or decree is later reversed, modified, set aside or vacated.</w:t>
      </w:r>
    </w:p>
    <w:p>
      <w:pPr>
        <w:spacing w:after="0" w:line="188" w:lineRule="exact"/>
        <w:rPr>
          <w:sz w:val="20"/>
          <w:szCs w:val="20"/>
          <w:color w:val="auto"/>
        </w:rPr>
      </w:pPr>
    </w:p>
    <w:p>
      <w:pPr>
        <w:ind w:left="540" w:right="120" w:firstLine="351"/>
        <w:spacing w:after="0" w:line="312" w:lineRule="auto"/>
        <w:rPr>
          <w:sz w:val="20"/>
          <w:szCs w:val="20"/>
          <w:color w:val="auto"/>
        </w:rPr>
      </w:pPr>
      <w:r>
        <w:rPr>
          <w:rFonts w:ascii="Times New Roman" w:cs="Times New Roman" w:eastAsia="Times New Roman" w:hAnsi="Times New Roman"/>
          <w:sz w:val="16"/>
          <w:szCs w:val="16"/>
          <w:color w:val="auto"/>
        </w:rPr>
        <w:t xml:space="preserve">9.3.4 </w:t>
      </w:r>
      <w:r>
        <w:rPr>
          <w:rFonts w:ascii="Times New Roman" w:cs="Times New Roman" w:eastAsia="Times New Roman" w:hAnsi="Times New Roman"/>
          <w:sz w:val="16"/>
          <w:szCs w:val="16"/>
          <w:i w:val="1"/>
          <w:iCs w:val="1"/>
          <w:color w:val="auto"/>
        </w:rPr>
        <w:t>Requests, etc. of the Company.</w:t>
      </w:r>
      <w:r>
        <w:rPr>
          <w:rFonts w:ascii="Times New Roman" w:cs="Times New Roman" w:eastAsia="Times New Roman" w:hAnsi="Times New Roman"/>
          <w:sz w:val="16"/>
          <w:szCs w:val="16"/>
          <w:color w:val="auto"/>
        </w:rPr>
        <w:t xml:space="preserve"> Any request, direction, order or demand of the Company mentioned herein shall be sufficiently evidenced (unless other evidence in respect thereof be herein specifically prescribed) by an instrument signed by one of its Responsible Officers, and any resolution of the Company may be evidenced to the Disbursement Agent by a copy thereof certified by the Secretary or an Assistant Secretary of the Company.</w:t>
      </w:r>
    </w:p>
    <w:p>
      <w:pPr>
        <w:spacing w:after="0" w:line="147" w:lineRule="exact"/>
        <w:rPr>
          <w:sz w:val="20"/>
          <w:szCs w:val="20"/>
          <w:color w:val="auto"/>
        </w:rPr>
      </w:pPr>
    </w:p>
    <w:p>
      <w:pPr>
        <w:ind w:left="540" w:right="2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9.3.5 </w:t>
      </w:r>
      <w:r>
        <w:rPr>
          <w:rFonts w:ascii="Times New Roman" w:cs="Times New Roman" w:eastAsia="Times New Roman" w:hAnsi="Times New Roman"/>
          <w:sz w:val="18"/>
          <w:szCs w:val="18"/>
          <w:i w:val="1"/>
          <w:iCs w:val="1"/>
          <w:color w:val="auto"/>
        </w:rPr>
        <w:t>Reliance on Opinions of Counsel.</w:t>
      </w:r>
      <w:r>
        <w:rPr>
          <w:rFonts w:ascii="Times New Roman" w:cs="Times New Roman" w:eastAsia="Times New Roman" w:hAnsi="Times New Roman"/>
          <w:sz w:val="18"/>
          <w:szCs w:val="18"/>
          <w:color w:val="auto"/>
        </w:rPr>
        <w:t xml:space="preserve"> The Disbursement Agent may consult with counsel and any written opinion of counsel shall be full and complete authorization and protection in respect of any action taken or omitted by it hereunder or under any Related Agreement in good faith and in accordance with such opinion of counsel.</w:t>
      </w:r>
    </w:p>
    <w:p>
      <w:pPr>
        <w:spacing w:after="0" w:line="181" w:lineRule="exact"/>
        <w:rPr>
          <w:sz w:val="20"/>
          <w:szCs w:val="20"/>
          <w:color w:val="auto"/>
        </w:rPr>
      </w:pPr>
    </w:p>
    <w:p>
      <w:pPr>
        <w:ind w:left="540" w:right="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9.3.6 </w:t>
      </w:r>
      <w:r>
        <w:rPr>
          <w:rFonts w:ascii="Times New Roman" w:cs="Times New Roman" w:eastAsia="Times New Roman" w:hAnsi="Times New Roman"/>
          <w:sz w:val="18"/>
          <w:szCs w:val="18"/>
          <w:i w:val="1"/>
          <w:iCs w:val="1"/>
          <w:color w:val="auto"/>
        </w:rPr>
        <w:t>Action through Agents or Attorneys.</w:t>
      </w:r>
      <w:r>
        <w:rPr>
          <w:rFonts w:ascii="Times New Roman" w:cs="Times New Roman" w:eastAsia="Times New Roman" w:hAnsi="Times New Roman"/>
          <w:sz w:val="18"/>
          <w:szCs w:val="18"/>
          <w:color w:val="auto"/>
        </w:rPr>
        <w:t xml:space="preserve"> The Disbursement Agent may execute any of the trusts or powers hereunder or perform any duties hereunder or under any Related Agreement either directly or by or through agents or attorneys appointed with due care, and the Disbursement Agent shall not be responsible for any act on the part of any agent or attorney so appointed.</w:t>
      </w:r>
    </w:p>
    <w:p>
      <w:pPr>
        <w:spacing w:after="0" w:line="181" w:lineRule="exact"/>
        <w:rPr>
          <w:sz w:val="20"/>
          <w:szCs w:val="20"/>
          <w:color w:val="auto"/>
        </w:rPr>
      </w:pPr>
    </w:p>
    <w:p>
      <w:pPr>
        <w:jc w:val="both"/>
        <w:ind w:left="540" w:right="1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9.3.7 </w:t>
      </w:r>
      <w:r>
        <w:rPr>
          <w:rFonts w:ascii="Times New Roman" w:cs="Times New Roman" w:eastAsia="Times New Roman" w:hAnsi="Times New Roman"/>
          <w:sz w:val="18"/>
          <w:szCs w:val="18"/>
          <w:i w:val="1"/>
          <w:iCs w:val="1"/>
          <w:color w:val="auto"/>
        </w:rPr>
        <w:t>Marshaling of Assets.</w:t>
      </w:r>
      <w:r>
        <w:rPr>
          <w:rFonts w:ascii="Times New Roman" w:cs="Times New Roman" w:eastAsia="Times New Roman" w:hAnsi="Times New Roman"/>
          <w:sz w:val="18"/>
          <w:szCs w:val="18"/>
          <w:color w:val="auto"/>
        </w:rPr>
        <w:t xml:space="preserve"> The Disbursement Agent need not marshal in any particular order any particular part or piece of the Project Security held by the Disbursement Agent in its capacity as Disbursement Agent hereunder or under any Related Agreement, or any of the funds or assets that the Disbursement Agent may be entitled to receive or have claim upon.</w:t>
      </w:r>
    </w:p>
    <w:p>
      <w:pPr>
        <w:spacing w:after="0" w:line="181"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9.3.8</w:t>
      </w:r>
      <w:r>
        <w:rPr>
          <w:sz w:val="20"/>
          <w:szCs w:val="20"/>
          <w:color w:val="auto"/>
        </w:rPr>
        <w:tab/>
      </w:r>
      <w:r>
        <w:rPr>
          <w:rFonts w:ascii="Times New Roman" w:cs="Times New Roman" w:eastAsia="Times New Roman" w:hAnsi="Times New Roman"/>
          <w:sz w:val="16"/>
          <w:szCs w:val="16"/>
          <w:i w:val="1"/>
          <w:iCs w:val="1"/>
          <w:color w:val="auto"/>
        </w:rPr>
        <w:t>Disagreements.</w:t>
      </w:r>
    </w:p>
    <w:p>
      <w:pPr>
        <w:spacing w:after="0" w:line="227" w:lineRule="exact"/>
        <w:rPr>
          <w:sz w:val="20"/>
          <w:szCs w:val="20"/>
          <w:color w:val="auto"/>
        </w:rPr>
      </w:pPr>
    </w:p>
    <w:p>
      <w:pPr>
        <w:ind w:left="1080" w:right="20" w:firstLine="360"/>
        <w:spacing w:after="0" w:line="255" w:lineRule="auto"/>
        <w:tabs>
          <w:tab w:leader="none" w:pos="17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disagreement between a Funding Agent and the Company or any other Person or Persons whether or not named herein, and adverse claims or demands are made in connection with or for any of the investments or amounts held pursuant to this Agreement or under any Related Agreement, the Disbursement Agent shall be entitled at its option to refuse to comply with any such claim or demand so long as such disagreement shall continue, and in so doing, the Disbursement Agent shall not be or become liable for damages or interest to such Funding Agent or the Company or any other Person or Persons for the Disbursement Agent's failure or refusal to comply with such conflicting or adverse claims or demands. The Disbursement Agent shall be entitled to continue so to refrain and refuse so to act until:</w:t>
      </w:r>
    </w:p>
    <w:p>
      <w:pPr>
        <w:spacing w:after="0" w:line="193" w:lineRule="exact"/>
        <w:rPr>
          <w:rFonts w:ascii="Times New Roman" w:cs="Times New Roman" w:eastAsia="Times New Roman" w:hAnsi="Times New Roman"/>
          <w:sz w:val="18"/>
          <w:szCs w:val="18"/>
          <w:color w:val="auto"/>
        </w:rPr>
      </w:pPr>
    </w:p>
    <w:p>
      <w:pPr>
        <w:ind w:left="1620" w:right="40" w:firstLine="448"/>
        <w:spacing w:after="0" w:line="275" w:lineRule="auto"/>
        <w:tabs>
          <w:tab w:leader="none" w:pos="231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adverse claimants have been fully adjudicated in the court assuming and having jurisdiction of the claimants and the investments and amounts held pursuant to this Agreement or under any Related Agreement;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100" w:firstLine="360"/>
        <w:spacing w:after="0" w:line="275" w:lineRule="auto"/>
        <w:tabs>
          <w:tab w:leader="none" w:pos="227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differences shall have been adjusted by agreement, and the Disbursement Agent shall have been notified thereof in writing by all persons deemed by the Disbursement Agent, in its sole discretion, to have an interest therein.</w:t>
      </w:r>
    </w:p>
    <w:p>
      <w:pPr>
        <w:spacing w:after="0" w:line="173" w:lineRule="exact"/>
        <w:rPr>
          <w:rFonts w:ascii="Times New Roman" w:cs="Times New Roman" w:eastAsia="Times New Roman" w:hAnsi="Times New Roman"/>
          <w:sz w:val="18"/>
          <w:szCs w:val="18"/>
          <w:color w:val="auto"/>
        </w:rPr>
      </w:pPr>
    </w:p>
    <w:p>
      <w:pPr>
        <w:jc w:val="both"/>
        <w:ind w:left="1080" w:right="20" w:firstLine="360"/>
        <w:spacing w:after="0" w:line="258" w:lineRule="auto"/>
        <w:tabs>
          <w:tab w:leader="none" w:pos="17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Disbursement Agent, in its sole discretion, may file a suit in interpleader for the purpose of having the respective rights of all claimants adjudicated, and may deposit with the court all of the investments and amounts held pursuant to this Agreement or under any Related Agreement. The Company agrees to pay all costs and reasonable counsel fees incurred by the Disbursement Agent in such action, said costs and fees to be included in the judgment in any such action.</w:t>
      </w:r>
    </w:p>
    <w:p>
      <w:pPr>
        <w:spacing w:after="0" w:line="186"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i w:val="1"/>
          <w:iCs w:val="1"/>
          <w:color w:val="auto"/>
        </w:rPr>
        <w:t>Segregation of Funds and Property Interest.</w:t>
      </w:r>
      <w:r>
        <w:rPr>
          <w:rFonts w:ascii="Times New Roman" w:cs="Times New Roman" w:eastAsia="Times New Roman" w:hAnsi="Times New Roman"/>
          <w:sz w:val="18"/>
          <w:szCs w:val="18"/>
          <w:color w:val="auto"/>
        </w:rPr>
        <w:t xml:space="preserve"> Except as otherwise expressly provided in the Financing Agreements, monies and other property received by the Disbursement Agent shall, until used or applied as herein provided, be held for the purposes for which they were received, and shall be segregated from other funds except to the extent required herein or by law. To the extent that the Disbursement Agent also acts as securities intermediary, (a) the Disbursement Agent shall note in its records that all funds and other assets in the Company Accounts (other than the FF&amp;E Proceeds Account, the Company's FF&amp;E Payment Account, the Bank Proceeds Account and the Second Mortgage Notes Proceeds Account), have been pledged to the Project Secured Parties and that the Disbursement Agent is holding such items for the Project Secured Parties, (b) the Disbursement Agent shall note in its records that all funds and other assets in the FF&amp;E Proceeds Account and the Company's FF&amp;E Payment Account have been pledged to the FF&amp;E Agent for the benefit of the FF&amp;E Secured Parties and that the Disbursement Agent is holding such items for such Persons, (c) the Disbursement Agent shall note in its records that all funds and other assets in the Bank Proceeds Account have been pledged to the Bank Agent for the benefit of the Bank Lenders and that the Disbursement Agent is holding such items for such Persons and (d) the Disbursement Agent shall note in its records that all funds and other assets in the Second Mortgage Notes Proceeds Account have been pledged to the Indenture Trustee for the benefit of the Second Mortgage Notes Holders and that the Disbursement Agent is holding such items for such Persons. Accordingly, all such funds and assets shall not be within the bankruptcy "estate" (as such term is used in 11 U.S.C. § 541) of the Disbursement Agent. The Disbursement Agent shall not be under any liability for interest on any monies received by it hereunder, except as otherwise specified in this Agreement. The Disbursement Agent hereby expressly waives any right of set-off or similar right it may have against or in relation to the Company Accounts and any monies, Permitted Investments or other amounts on deposit therein.</w:t>
      </w:r>
    </w:p>
    <w:p>
      <w:pPr>
        <w:sectPr>
          <w:pgSz w:w="11900" w:h="16838" w:orient="portrait"/>
          <w:cols w:equalWidth="0" w:num="1">
            <w:col w:w="11420"/>
          </w:cols>
          <w:pgMar w:left="240" w:top="123" w:right="239" w:bottom="89" w:gutter="0" w:footer="0" w:header="0"/>
        </w:sectPr>
      </w:pPr>
    </w:p>
    <w:bookmarkStart w:id="50" w:name="page51"/>
    <w:bookmarkEnd w:id="50"/>
    <w:p>
      <w:pPr>
        <w:ind w:firstLine="351"/>
        <w:spacing w:after="0" w:line="290"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b w:val="1"/>
          <w:bCs w:val="1"/>
          <w:i w:val="1"/>
          <w:iCs w:val="1"/>
          <w:color w:val="auto"/>
        </w:rPr>
        <w:t>Compensation and Reimbursement of the Disbursement Agent.</w:t>
      </w:r>
      <w:r>
        <w:rPr>
          <w:rFonts w:ascii="Times New Roman" w:cs="Times New Roman" w:eastAsia="Times New Roman" w:hAnsi="Times New Roman"/>
          <w:sz w:val="16"/>
          <w:szCs w:val="16"/>
          <w:color w:val="auto"/>
        </w:rPr>
        <w:t xml:space="preserve"> The Company covenants and agrees to pay to the Disbursement Agent from time to time, and the Disbursement Agent shall be entitled to, the fees set forth in that certain letter agreement between the Company and the Disbursement Agent, and the Company will further pay or reimburse the Disbursement Agent upon its request for all reasonable expenses, disbursements and advances incurred or made by the Disbursement Agent in accordance with any of the provisions of the Financing Agreements or the documents constituting or executed in connection with the Project Security including any Related Agreements (including the reasonable compensation and the reasonable expenses and disbursements of its counsel and of all persons not regularly in its employ). The obligations of the Company under this </w:t>
      </w:r>
      <w:r>
        <w:rPr>
          <w:rFonts w:ascii="Times New Roman" w:cs="Times New Roman" w:eastAsia="Times New Roman" w:hAnsi="Times New Roman"/>
          <w:sz w:val="16"/>
          <w:szCs w:val="16"/>
          <w:i w:val="1"/>
          <w:iCs w:val="1"/>
          <w:color w:val="auto"/>
        </w:rPr>
        <w:t>Section 9.5</w:t>
      </w:r>
      <w:r>
        <w:rPr>
          <w:rFonts w:ascii="Times New Roman" w:cs="Times New Roman" w:eastAsia="Times New Roman" w:hAnsi="Times New Roman"/>
          <w:sz w:val="16"/>
          <w:szCs w:val="16"/>
          <w:color w:val="auto"/>
        </w:rPr>
        <w:t xml:space="preserve"> to compensate the Disbursement Agent and to pay or reimburse the Disbursement Agent for reasonable expenses, disbursements and advances shall constitute additional indebtedness (and shall be deemed permitted indebtedness under each Financing Agreement) hereunder and shall survive the satisfaction and discharge of this Agreement.</w:t>
      </w:r>
    </w:p>
    <w:p>
      <w:pPr>
        <w:spacing w:after="0" w:line="166" w:lineRule="exact"/>
        <w:rPr>
          <w:sz w:val="20"/>
          <w:szCs w:val="20"/>
          <w:color w:val="auto"/>
        </w:rPr>
      </w:pPr>
    </w:p>
    <w:p>
      <w:pPr>
        <w:jc w:val="both"/>
        <w:ind w:right="20" w:firstLine="351"/>
        <w:spacing w:after="0" w:line="26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i w:val="1"/>
          <w:iCs w:val="1"/>
          <w:color w:val="auto"/>
        </w:rPr>
        <w:t>Qualification of the Disbursement Agent.</w:t>
      </w:r>
      <w:r>
        <w:rPr>
          <w:rFonts w:ascii="Times New Roman" w:cs="Times New Roman" w:eastAsia="Times New Roman" w:hAnsi="Times New Roman"/>
          <w:sz w:val="18"/>
          <w:szCs w:val="18"/>
          <w:color w:val="auto"/>
        </w:rPr>
        <w:t xml:space="preserve"> The Disbursement Agent hereunder shall at all times be a corporation with offices in New York City, New York which (a) is authorized to exercise corporation trust powers, (b) is subject to supervision or examination by the applicable Governmental Authority, (c) shall have a combined capital and surplus of at least Five Hundred Million Dollars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($500,000,000), (d) shall have a long-term credit rating of not less than A- or A3, respectively, by S&amp;P or Moody's; and provided, that any such bank with a long-term credit rating of A- or A3 shall not cease to be eligible to act as Disbursement Agent upon a downward change in either such rating of no more than one category or grade of such minimum rating, as the case may be; and (e) with respect to any replacement of the Person acting as Disbursement Agent as of the Closing Date, shall be acceptable to each of the Bank Agent and the Indenture Trustee acting pursuant to the Project Lender Intercreditor Agreement. In case at any time the Disbursement Agent shall cease to be eligible in accordance with the provisions of this </w:t>
      </w:r>
      <w:r>
        <w:rPr>
          <w:rFonts w:ascii="Times New Roman" w:cs="Times New Roman" w:eastAsia="Times New Roman" w:hAnsi="Times New Roman"/>
          <w:sz w:val="18"/>
          <w:szCs w:val="18"/>
          <w:i w:val="1"/>
          <w:iCs w:val="1"/>
          <w:color w:val="auto"/>
        </w:rPr>
        <w:t>Section 9.6</w:t>
      </w:r>
      <w:r>
        <w:rPr>
          <w:rFonts w:ascii="Times New Roman" w:cs="Times New Roman" w:eastAsia="Times New Roman" w:hAnsi="Times New Roman"/>
          <w:sz w:val="18"/>
          <w:szCs w:val="18"/>
          <w:color w:val="auto"/>
        </w:rPr>
        <w:t xml:space="preserve">, the Disbursement Agent shall resign immediately in the manner and with the effect specified in </w:t>
      </w:r>
      <w:r>
        <w:rPr>
          <w:rFonts w:ascii="Times New Roman" w:cs="Times New Roman" w:eastAsia="Times New Roman" w:hAnsi="Times New Roman"/>
          <w:sz w:val="18"/>
          <w:szCs w:val="18"/>
          <w:i w:val="1"/>
          <w:iCs w:val="1"/>
          <w:color w:val="auto"/>
        </w:rPr>
        <w:t>Section 9.7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i w:val="1"/>
          <w:iCs w:val="1"/>
          <w:color w:val="auto"/>
        </w:rPr>
        <w:t>Resignation and Removal of the Disbursement Agent.</w:t>
      </w:r>
      <w:r>
        <w:rPr>
          <w:rFonts w:ascii="Times New Roman" w:cs="Times New Roman" w:eastAsia="Times New Roman" w:hAnsi="Times New Roman"/>
          <w:sz w:val="18"/>
          <w:szCs w:val="18"/>
          <w:color w:val="auto"/>
        </w:rPr>
        <w:t xml:space="preserve"> The Bank Agent and the Indenture Trustee, acting pursuant to the Project Lenders Intercreditor Agreement, shall have the right should they reasonably determine that the Disbursement Agent has breached or failed to perform its obligations hereunder or has engaged in willful misconduct or gross negligence, upon the expiration of thirty (30) days following delivery of written notice of substitution to the Disbursement Agent and the Company, to cause the Disbursement Agent to be relieved of its duties hereunder and to select a substitute disbursement agent to serve hereunder. The Disbursement Agent may resign at any time upon forty-five (45) days' written notice to all parties hereto. Such resignation shall take effect upon the earlier of receipt by the Disbursement Agent of an instrument of acceptance executed by a successor disbursement agent meeting the qualifications set forth in </w:t>
      </w:r>
      <w:r>
        <w:rPr>
          <w:rFonts w:ascii="Times New Roman" w:cs="Times New Roman" w:eastAsia="Times New Roman" w:hAnsi="Times New Roman"/>
          <w:sz w:val="18"/>
          <w:szCs w:val="18"/>
          <w:i w:val="1"/>
          <w:iCs w:val="1"/>
          <w:color w:val="auto"/>
        </w:rPr>
        <w:t>Section 9.6</w:t>
      </w:r>
      <w:r>
        <w:rPr>
          <w:rFonts w:ascii="Times New Roman" w:cs="Times New Roman" w:eastAsia="Times New Roman" w:hAnsi="Times New Roman"/>
          <w:sz w:val="18"/>
          <w:szCs w:val="18"/>
          <w:color w:val="auto"/>
        </w:rPr>
        <w:t xml:space="preserve"> and consented to by the other parties hereto or forty-five (45) days after the giving of such notice. Upon selection of a substitute disbursement agent, the Funding Agents and the Company and the substitute disbursement agent shall enter into an agreement substantially identical to this Agreement and, the Disbursement Agent shall promptly transfer to the substitute disbursement agent upon request therefor originals of all books, records, and other documents in the Disbursement Agent's possession relating to this Agreement.</w:t>
      </w:r>
    </w:p>
    <w:p>
      <w:pPr>
        <w:spacing w:after="0" w:line="19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i w:val="1"/>
          <w:iCs w:val="1"/>
          <w:color w:val="auto"/>
        </w:rPr>
        <w:t>Merger or Consolidation of the Disbursement Agent.</w:t>
      </w:r>
      <w:r>
        <w:rPr>
          <w:rFonts w:ascii="Times New Roman" w:cs="Times New Roman" w:eastAsia="Times New Roman" w:hAnsi="Times New Roman"/>
          <w:sz w:val="18"/>
          <w:szCs w:val="18"/>
          <w:color w:val="auto"/>
        </w:rPr>
        <w:t xml:space="preserve"> Any corporation into which the Disbursement Agent may be merged or converted or with which it may be consolidated, or any corporation resulting from any merger, conversion or consolidation to which the Disbursement Agent shall be a party, or any corporation succeeding to the corporate trust business of the Disbursement Agent, shall, if eligible hereunder, be the successor of the Disbursement Agent hereunder; provided, that such corporation shall be eligible under the provisions of </w:t>
      </w:r>
      <w:r>
        <w:rPr>
          <w:rFonts w:ascii="Times New Roman" w:cs="Times New Roman" w:eastAsia="Times New Roman" w:hAnsi="Times New Roman"/>
          <w:sz w:val="18"/>
          <w:szCs w:val="18"/>
          <w:i w:val="1"/>
          <w:iCs w:val="1"/>
          <w:color w:val="auto"/>
        </w:rPr>
        <w:t>Section 9.6</w:t>
      </w:r>
      <w:r>
        <w:rPr>
          <w:rFonts w:ascii="Times New Roman" w:cs="Times New Roman" w:eastAsia="Times New Roman" w:hAnsi="Times New Roman"/>
          <w:sz w:val="18"/>
          <w:szCs w:val="18"/>
          <w:color w:val="auto"/>
        </w:rPr>
        <w:t xml:space="preserve">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88"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6"/>
          <w:szCs w:val="16"/>
          <w:b w:val="1"/>
          <w:bCs w:val="1"/>
          <w:i w:val="1"/>
          <w:iCs w:val="1"/>
          <w:color w:val="auto"/>
        </w:rPr>
        <w:t>Statements; Information.</w:t>
      </w:r>
    </w:p>
    <w:p>
      <w:pPr>
        <w:spacing w:after="0" w:line="227" w:lineRule="exact"/>
        <w:rPr>
          <w:sz w:val="20"/>
          <w:szCs w:val="20"/>
          <w:color w:val="auto"/>
        </w:rPr>
      </w:pPr>
    </w:p>
    <w:p>
      <w:pPr>
        <w:ind w:left="540"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i w:val="1"/>
          <w:iCs w:val="1"/>
          <w:color w:val="auto"/>
        </w:rPr>
        <w:t>Monthly Statements.</w:t>
      </w:r>
      <w:r>
        <w:rPr>
          <w:rFonts w:ascii="Times New Roman" w:cs="Times New Roman" w:eastAsia="Times New Roman" w:hAnsi="Times New Roman"/>
          <w:sz w:val="18"/>
          <w:szCs w:val="18"/>
          <w:color w:val="auto"/>
        </w:rPr>
        <w:t xml:space="preserve"> The Disbursement Agent shall provide to the Funding Agents and the Company a monthly statement of all deposits to, and disbursements from, each account maintained with it and interest and earnings credited to each account established and maintained hereunder and under the other Operative Documents by the Disbursement Agent. The Disbursement Agent shall forward to the Funding Agents any such statements delivered to it by the securities intermediaries under the Collateral Account Agreements.</w:t>
      </w:r>
    </w:p>
    <w:p>
      <w:pPr>
        <w:spacing w:after="0" w:line="187" w:lineRule="exact"/>
        <w:rPr>
          <w:sz w:val="20"/>
          <w:szCs w:val="20"/>
          <w:color w:val="auto"/>
        </w:rPr>
      </w:pPr>
    </w:p>
    <w:p>
      <w:pPr>
        <w:ind w:left="540" w:right="4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i w:val="1"/>
          <w:iCs w:val="1"/>
          <w:color w:val="auto"/>
        </w:rPr>
        <w:t>Information Requests.</w:t>
      </w:r>
      <w:r>
        <w:rPr>
          <w:rFonts w:ascii="Times New Roman" w:cs="Times New Roman" w:eastAsia="Times New Roman" w:hAnsi="Times New Roman"/>
          <w:sz w:val="18"/>
          <w:szCs w:val="18"/>
          <w:color w:val="auto"/>
        </w:rPr>
        <w:t xml:space="preserve"> The Disbursement Agent shall, at the expense of the Company (i) as promptly as is reasonably practicable after receipt of any reasonable written request by the Company or any Funding Agent, but not more frequently than monthly (unless a Potential Event of Default or an Event of Default shall have occurred), provide the Company or such Funding Agent, as the case may be, with such information as the Company or such Funding Agent may reasonably request regarding all categories, amounts, maturities and issuers of investments made by the Disbursement Agent pursuant to this Agreement and regarding amounts available in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20"/>
        <w:spacing w:after="0" w:line="310" w:lineRule="auto"/>
        <w:rPr>
          <w:sz w:val="20"/>
          <w:szCs w:val="20"/>
          <w:color w:val="auto"/>
        </w:rPr>
      </w:pPr>
      <w:r>
        <w:rPr>
          <w:rFonts w:ascii="Times New Roman" w:cs="Times New Roman" w:eastAsia="Times New Roman" w:hAnsi="Times New Roman"/>
          <w:sz w:val="16"/>
          <w:szCs w:val="16"/>
          <w:color w:val="auto"/>
        </w:rPr>
        <w:t>Company Accounts, and the various sub-accounts included therein, and (ii) upon the reasonable written request of the Company, arrange with the Company for a mutually convenient time for a Responsible Officer of the Reviewing Accountant to visit the offices of the Disbursement Agent to examine and take copies of records relating to and instruments evidencing the investments made by the Disbursement Agent pursuant to this Agreement.</w:t>
      </w:r>
    </w:p>
    <w:p>
      <w:pPr>
        <w:spacing w:after="0" w:line="14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b w:val="1"/>
          <w:bCs w:val="1"/>
          <w:i w:val="1"/>
          <w:iCs w:val="1"/>
          <w:color w:val="auto"/>
        </w:rPr>
        <w:t>Limitation of Liability.</w:t>
      </w:r>
      <w:r>
        <w:rPr>
          <w:rFonts w:ascii="Times New Roman" w:cs="Times New Roman" w:eastAsia="Times New Roman" w:hAnsi="Times New Roman"/>
          <w:sz w:val="16"/>
          <w:szCs w:val="16"/>
          <w:color w:val="auto"/>
        </w:rPr>
        <w:t xml:space="preserve"> The Disbursement Agent's responsibility and liability under this Agreement shall be limited as follows: (a) the Disbursement Agent does not represent, warrant or guaranty to the Funding Agents or the Lenders the performance by the Company, the Prime Contractor, the Construction Guarantor, the Golf Course Contractor, the Construction Consultant, the Project Architect, the Golf Course Designer, the Aqua Theater Designer, or any other Contractor or Subcontractor of their respective obligations under the Operative Documents and shall have no duty to inquire of any Person whether a Potential Event of Default or an Event of Default has occurred and is continuing; (b) the Disbursement Agent shall have no responsibility to the Company, the Funding Agents or the Lenders as a consequence of performance by the Disbursement Agent hereunder except for any bad faith, fraud, gross negligence or willful misconduct of the Disbursement Agent as finally judicially determined by a court of competent jurisdiction; (c) the Company shall remain solely responsible for all aspects of its business and conduct in connection with the Project, including but not limited to the quality and suitability of the Plans and Specifications, the supervision of the work of construction, the qualifications, financial condition and performance of all architects, engineers, contractors, subcontractors, suppliers, consultants and property managers, the accuracy of all applications for payment, and the proper application of all disbursements; and (d) the Disbursement Agent is not obligated to supervise, inspect or inform the Company of any aspect of the development, construction or operation of the Project or any other matter</w:t>
      </w:r>
    </w:p>
    <w:p>
      <w:pPr>
        <w:sectPr>
          <w:pgSz w:w="11900" w:h="16838" w:orient="portrait"/>
          <w:cols w:equalWidth="0" w:num="1">
            <w:col w:w="11400"/>
          </w:cols>
          <w:pgMar w:left="240" w:top="121" w:right="259" w:bottom="0"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18"/>
          <w:szCs w:val="18"/>
          <w:color w:val="auto"/>
        </w:rPr>
        <w:t xml:space="preserve">referred to above. Each Funding Agent and Lender has made its own independent investigation of the financial condition and affairs of the Loan Parties in connection with the making of the extensions of credit contemplated by the Financing Agreements and has made and shall continue to make its own appraisal of the creditworthiness of the Loan Parties. Except as specifically set forth herein, the Disbursement Agent shall not have any duty or responsibility, either initially or on a continuing basis, to make any such investigation or any such appraisal on behalf of the Funding Agents or Lenders or to provide any Funding Agent or Lender with any credit or other information with respect thereto. The Disbursement Agent shall not have, by reason of this Agreement, a fiduciary relationship in respect of any Funding Agent or Lender; and nothing in this Agreement, expressed or implied, is intended to or shall be so construed as to impose upon the Disbursement Agent any obligations in respect of this Agreement except as expressly set forth herein or therein. The Disbursement Agent shall have no duties or obligations hereunder except as expressly set forth herein, shall be responsible only for the performance of such duties and obligations and shall not be required to take any action otherwise than in accordance with the terms hereof. The provisions of this </w:t>
      </w:r>
      <w:r>
        <w:rPr>
          <w:rFonts w:ascii="Times New Roman" w:cs="Times New Roman" w:eastAsia="Times New Roman" w:hAnsi="Times New Roman"/>
          <w:sz w:val="18"/>
          <w:szCs w:val="18"/>
          <w:i w:val="1"/>
          <w:iCs w:val="1"/>
          <w:color w:val="auto"/>
        </w:rPr>
        <w:t>Article 9</w:t>
      </w:r>
      <w:r>
        <w:rPr>
          <w:rFonts w:ascii="Times New Roman" w:cs="Times New Roman" w:eastAsia="Times New Roman" w:hAnsi="Times New Roman"/>
          <w:sz w:val="18"/>
          <w:szCs w:val="18"/>
          <w:color w:val="auto"/>
        </w:rPr>
        <w:t xml:space="preserve"> are solely for the benefit of the Disbursement Agent and the Funding Agents and Lenders and the Company shall have no rights as a third party beneficiary of any of the provisions thereof. In performing its functions and duties under this Agreement, the Disbursement Agent does not assume and shall not be deemed to have assumed any obligation towards or relationship of agency or trust with or for the Company or any of its Affiliates. Neither the Disbursement Agent nor any of its officers, directors, employees or agents shall be in any manner liable or responsible for any loss or damage arising by reason of any act or omission to act by it or them hereunder or in connection with any of the transactions contemplated hereby, including, but not limited to, any loss that may occur by reason of forgery, false representations, the exercise of its discretion, or any other reason, except as a result of their bad faith, fraud, gross negligence or willful misconduct as finally judicially determined by a court of competent jurisdiction.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—SAFEKEEPING OF ACCOUNTS</w:t>
      </w:r>
    </w:p>
    <w:p>
      <w:pPr>
        <w:spacing w:after="0" w:line="225"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i w:val="1"/>
          <w:iCs w:val="1"/>
          <w:color w:val="auto"/>
        </w:rPr>
        <w:t>Application of Funds in Company Accounts.</w:t>
      </w:r>
      <w:r>
        <w:rPr>
          <w:rFonts w:ascii="Times New Roman" w:cs="Times New Roman" w:eastAsia="Times New Roman" w:hAnsi="Times New Roman"/>
          <w:sz w:val="18"/>
          <w:szCs w:val="18"/>
          <w:color w:val="auto"/>
        </w:rPr>
        <w:t xml:space="preserve"> Amounts deposited in the Company Accounts shall be applied exclusively as provided in this Agreement and the Disbursement Agent shall at all times act and direct the securities intermediaries under the Collateral Account Agreements so as to implement the application of funds provisions and procedures herein set forth. The Disbursement Agent is hereby authorized to direct the Securities Intermediary to reduce to cash any Permitted Investment (without regard to maturity) in any account in order to make any application required hereunder. No amount held in any Account maintained hereunder shall be disbursed except in accordance with the provisions hereof or as required by law.</w:t>
      </w:r>
    </w:p>
    <w:p>
      <w:pPr>
        <w:spacing w:after="0" w:line="188"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Notwithstanding anything to the contrary in this Agreement, (a) upon the occurrence and during the continuance of an Event of Default of which it has actual knowledge, the Disbursement Agent shall not in any such event deposit or cause to be deposited any amounts into the Disbursement Account, the Soft Costs Cash Management Account, the Hard Costs Cash Management Account, the Bank Proceeds Account, the Company's Payment Account, the Company's FF&amp;E Payment Account or the Interest Payment Account or release or cause to be released any amounts to the Company unless instructed to the contrary by (i) in the case of the Second Mortgage Notes Proceeds Account, the Indenture Trustee, (ii) in the case of the FF&amp;E Proceeds Account and the Company's FF&amp;E Payment Account, the FF&amp;E Agent and (iii) in the case of all other Company Accounts, the Bank Agent; and (b) upon the occurrence of (i) an Event of Default, (ii) the dissolution or liquidation or Bankruptcy of the Completion Guarantor, or (iii) a breach by the Completion Guarantor of any of its covenants and agreements under the Completion Guaranty, in each case, of which it has knowledge, the Disbursement Agent shall withdraw all funds then on deposit in the Completion Guaranty Deposit Account and deposit the same in the Company's Funds Account. The Disbursement Agent is hereby irrevocably authorized by the Company to apply, or cause to be applied, amounts in any Company Account and any other sums held by the Securities Intermediary under any Collateral Account Agreement to the payment of interest, principal, fees, costs, charges or other amounts or obligations due or payable to the Secured Parties when instructed to do so by the Controlling Person.</w:t>
      </w:r>
    </w:p>
    <w:p>
      <w:pPr>
        <w:spacing w:after="0" w:line="191"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xml:space="preserve"> The Disbursement Agent shall take such actions within its control that it customarily takes in the conduct of its business to protect the Company Accounts, and all cash, funds, Permitted Investments from time to time deposited therein, as well as any proceeds or income therefrom (collectively, the "</w:t>
      </w:r>
      <w:r>
        <w:rPr>
          <w:rFonts w:ascii="Times New Roman" w:cs="Times New Roman" w:eastAsia="Times New Roman" w:hAnsi="Times New Roman"/>
          <w:sz w:val="18"/>
          <w:szCs w:val="18"/>
          <w:i w:val="1"/>
          <w:iCs w:val="1"/>
          <w:color w:val="auto"/>
        </w:rPr>
        <w:t>Company Accounts Collateral</w:t>
      </w:r>
      <w:r>
        <w:rPr>
          <w:rFonts w:ascii="Times New Roman" w:cs="Times New Roman" w:eastAsia="Times New Roman" w:hAnsi="Times New Roman"/>
          <w:sz w:val="18"/>
          <w:szCs w:val="18"/>
          <w:color w:val="auto"/>
        </w:rPr>
        <w:t>") free and clear of all liens, security interests, safekeeping or other charges, demands and claims of any nature whatsoever now or hereafter existing, in favor of anyone other than the Secured Parties (or the Disbursement Agent, as agent for the Secured Parties) (collectively, the "</w:t>
      </w:r>
      <w:r>
        <w:rPr>
          <w:rFonts w:ascii="Times New Roman" w:cs="Times New Roman" w:eastAsia="Times New Roman" w:hAnsi="Times New Roman"/>
          <w:sz w:val="18"/>
          <w:szCs w:val="18"/>
          <w:i w:val="1"/>
          <w:i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it being understood, however, that the foregoing shall in no way be deemed to be a guaranty or other assurance by the Disbursement Agent that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Claims will not arise.</w:t>
      </w:r>
    </w:p>
    <w:p>
      <w:pPr>
        <w:spacing w:after="0" w:line="188" w:lineRule="exact"/>
        <w:rPr>
          <w:sz w:val="20"/>
          <w:szCs w:val="20"/>
          <w:color w:val="auto"/>
        </w:rPr>
      </w:pPr>
    </w:p>
    <w:p>
      <w:pPr>
        <w:ind w:right="380" w:firstLine="351"/>
        <w:spacing w:after="0" w:line="26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i w:val="1"/>
          <w:iCs w:val="1"/>
          <w:color w:val="auto"/>
        </w:rPr>
        <w:t>Perfection.</w:t>
      </w:r>
      <w:r>
        <w:rPr>
          <w:rFonts w:ascii="Times New Roman" w:cs="Times New Roman" w:eastAsia="Times New Roman" w:hAnsi="Times New Roman"/>
          <w:sz w:val="18"/>
          <w:szCs w:val="18"/>
          <w:color w:val="auto"/>
        </w:rPr>
        <w:t xml:space="preserve"> The Disbursement Agent shall take any steps from time to time requested by the Bank Agent or the Indenture Trustee to confirm or cause the securities intermediaries under the Collateral Account Agreements to confirm and maintain the priority of their respective security interests in the Company Accounts Collateral.</w:t>
      </w:r>
    </w:p>
    <w:p>
      <w:pPr>
        <w:spacing w:after="0" w:line="179"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i w:val="1"/>
          <w:iCs w:val="1"/>
          <w:color w:val="auto"/>
        </w:rPr>
        <w:t>Second Mortgage Notes Proceeds Account.</w:t>
      </w:r>
      <w:r>
        <w:rPr>
          <w:rFonts w:ascii="Times New Roman" w:cs="Times New Roman" w:eastAsia="Times New Roman" w:hAnsi="Times New Roman"/>
          <w:sz w:val="18"/>
          <w:szCs w:val="18"/>
          <w:color w:val="auto"/>
        </w:rPr>
        <w:t xml:space="preserve"> Notwithstanding any other provision hereof, the parties hereto acknowledge that the security interest granted by the Company to the Indenture Trustee in the Second Mortgage Notes Proceeds Account (including any Permitted Investments held therein) pursuant to the Second Mortgage Notes Collateral Account Agreement is for the sole and exclusive benefit of the Indenture Trustee and the Second Mortgage Note Holders and, subject to the terms of the Project Lenders Intercreditor Agreement, only the Indenture Trustee shall have the right to direct the Disbursement Agent with respect thereto.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 w:firstLine="351"/>
        <w:spacing w:after="0" w:line="260"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i w:val="1"/>
          <w:iCs w:val="1"/>
          <w:color w:val="auto"/>
        </w:rPr>
        <w:t>Bank Proceeds Account.</w:t>
      </w:r>
      <w:r>
        <w:rPr>
          <w:rFonts w:ascii="Times New Roman" w:cs="Times New Roman" w:eastAsia="Times New Roman" w:hAnsi="Times New Roman"/>
          <w:sz w:val="18"/>
          <w:szCs w:val="18"/>
          <w:color w:val="auto"/>
        </w:rPr>
        <w:t xml:space="preserve"> Notwithstanding any other provision hereof, the parties hereto acknowledge that the security interest granted by the Company to the Bank Agent in the Bank Proceeds Account (including any Permitted Investments held therein) pursuant to the Company Collateral Account Agreement is for the sole and exclusive benefit of the Bank Agent and the Bank Lenders, and subject to the terms of the Project Lenders Intercreditor Agreement, only the Bank Agent shall have the right to direct the Disbursement Agent with respect thereto.</w:t>
      </w:r>
    </w:p>
    <w:p>
      <w:pPr>
        <w:spacing w:after="0" w:line="183"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i w:val="1"/>
          <w:iCs w:val="1"/>
          <w:color w:val="auto"/>
        </w:rPr>
        <w:t>FF&amp;E Proceeds and Company's FF&amp;E Payment Accounts.</w:t>
      </w:r>
      <w:r>
        <w:rPr>
          <w:rFonts w:ascii="Times New Roman" w:cs="Times New Roman" w:eastAsia="Times New Roman" w:hAnsi="Times New Roman"/>
          <w:sz w:val="18"/>
          <w:szCs w:val="18"/>
          <w:color w:val="auto"/>
        </w:rPr>
        <w:t xml:space="preserve"> Notwithstanding any other provision hereof, the parties hereto acknowledge that the security interest granted by the Company to the FF&amp;E Agent in the FF&amp;E Proceeds Account (including any Permitted Investments held therein) pursuant to the FF&amp;E Collateral Account Agreement and in the Company's FF&amp;E Payment Account (including any Permitted Investments held therein) pursuant to the FF&amp;E Local Company Collateral Account Agreement is for the sole and exclusive benefit of the FF&amp;E Agent and the FF&amp;E Lenders and, subject to the terms of the FF&amp;E Intercreditor Agreement, only the FF&amp;E Agent shall have the right to direct the Disbursement Agent with respect thereto.</w:t>
      </w:r>
    </w:p>
    <w:p>
      <w:pPr>
        <w:sectPr>
          <w:pgSz w:w="11900" w:h="16838" w:orient="portrait"/>
          <w:cols w:equalWidth="0" w:num="1">
            <w:col w:w="11420"/>
          </w:cols>
          <w:pgMar w:left="240" w:top="125" w:right="239" w:bottom="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5" w:lineRule="exact"/>
        <w:rPr>
          <w:sz w:val="20"/>
          <w:szCs w:val="20"/>
          <w:color w:val="auto"/>
        </w:rPr>
      </w:pPr>
    </w:p>
    <w:p>
      <w:pPr>
        <w:ind w:left="360"/>
        <w:spacing w:after="0"/>
        <w:tabs>
          <w:tab w:leader="none" w:pos="800" w:val="left"/>
          <w:tab w:leader="none" w:pos="17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i w:val="1"/>
          <w:iCs w:val="1"/>
          <w:color w:val="auto"/>
        </w:rPr>
        <w:t>Addresses.</w:t>
      </w:r>
      <w:r>
        <w:rPr>
          <w:sz w:val="20"/>
          <w:szCs w:val="20"/>
          <w:color w:val="auto"/>
        </w:rPr>
        <w:tab/>
      </w:r>
      <w:r>
        <w:rPr>
          <w:rFonts w:ascii="Times New Roman" w:cs="Times New Roman" w:eastAsia="Times New Roman" w:hAnsi="Times New Roman"/>
          <w:sz w:val="16"/>
          <w:szCs w:val="16"/>
          <w:color w:val="auto"/>
        </w:rPr>
        <w:t>Any communications between the parties hereto or notices provided herein to be given may be given to the following addresses: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Wynn Las Vegas, LLC,</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3145 Las Vegas Boulevard South</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Ron Kramer</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(702) 733-4123</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(702) 791-0167</w:t>
            </w:r>
          </w:p>
        </w:tc>
      </w:tr>
      <w:tr>
        <w:trPr>
          <w:trHeight w:val="420"/>
        </w:trPr>
        <w:tc>
          <w:tcPr>
            <w:tcW w:w="2880" w:type="dxa"/>
            <w:vAlign w:val="bottom"/>
          </w:tcPr>
          <w:p>
            <w:pPr>
              <w:spacing w:after="0"/>
              <w:rPr>
                <w:sz w:val="24"/>
                <w:szCs w:val="24"/>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Wynn Las Vegas Capital Corp.</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3145 Las Vegas Boulevard South</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Ron Kramer</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(702) 733-4123</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(702) 791-0167</w:t>
            </w:r>
          </w:p>
        </w:tc>
      </w:tr>
      <w:tr>
        <w:trPr>
          <w:trHeight w:val="420"/>
        </w:trPr>
        <w:tc>
          <w:tcPr>
            <w:tcW w:w="2880" w:type="dxa"/>
            <w:vAlign w:val="bottom"/>
          </w:tcPr>
          <w:p>
            <w:pPr>
              <w:spacing w:after="0"/>
              <w:rPr>
                <w:sz w:val="24"/>
                <w:szCs w:val="24"/>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Wynn Design &amp; Development, LLC</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3145 Las Vegas Boulevard South</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Kenneth Wynn</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Todd Nisbet</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(702) 733-4497</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(702) 733-4715</w:t>
            </w:r>
          </w:p>
        </w:tc>
      </w:tr>
      <w:tr>
        <w:trPr>
          <w:trHeight w:val="42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If to the Bank Agent:</w:t>
            </w: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 Deutsche Bank Securities Inc.</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200 Crescent Court, Suite 550</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Dallas, TX 75201</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Gerard Dupont</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(214) 740-7913</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(214) 740-7910</w:t>
            </w:r>
          </w:p>
        </w:tc>
      </w:tr>
      <w:tr>
        <w:trPr>
          <w:trHeight w:val="432"/>
        </w:trPr>
        <w:tc>
          <w:tcPr>
            <w:tcW w:w="2880" w:type="dxa"/>
            <w:vAlign w:val="bottom"/>
          </w:tcPr>
          <w:p>
            <w:pPr>
              <w:spacing w:after="0"/>
              <w:rPr>
                <w:sz w:val="24"/>
                <w:szCs w:val="24"/>
                <w:color w:val="auto"/>
              </w:rPr>
            </w:pPr>
          </w:p>
        </w:tc>
        <w:tc>
          <w:tcPr>
            <w:tcW w:w="85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77</w:t>
            </w:r>
          </w:p>
        </w:tc>
      </w:tr>
      <w:tr>
        <w:trPr>
          <w:trHeight w:val="228"/>
        </w:trPr>
        <w:tc>
          <w:tcPr>
            <w:tcW w:w="288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r>
        <w:trPr>
          <w:trHeight w:val="5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If to the Indenture Trustee:</w:t>
            </w: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Wells Fargo Corporate Trust Services</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MAC N9303-110</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Sixth &amp; Marquette</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Minneapolis, MN 55479</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Michael Slade</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612-667-0266</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612-667-2160 -2134</w:t>
            </w:r>
          </w:p>
        </w:tc>
      </w:tr>
      <w:tr>
        <w:trPr>
          <w:trHeight w:val="42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If to the FF&amp;E Agent:</w:t>
            </w: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Wells Fargo Bank Nevada, National Association</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 Wells Fargo Bank, National Association</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Corporate Trust Services</w:t>
            </w:r>
          </w:p>
        </w:tc>
      </w:tr>
      <w:tr>
        <w:trPr>
          <w:trHeight w:val="219"/>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MAC: U1228-120</w:t>
            </w:r>
          </w:p>
        </w:tc>
      </w:tr>
      <w:tr>
        <w:trPr>
          <w:trHeight w:val="253"/>
        </w:trPr>
        <w:tc>
          <w:tcPr>
            <w:tcW w:w="2880" w:type="dxa"/>
            <w:vAlign w:val="bottom"/>
          </w:tcPr>
          <w:p>
            <w:pPr>
              <w:spacing w:after="0"/>
              <w:rPr>
                <w:sz w:val="22"/>
                <w:szCs w:val="22"/>
                <w:color w:val="auto"/>
              </w:rPr>
            </w:pPr>
          </w:p>
        </w:tc>
        <w:tc>
          <w:tcPr>
            <w:tcW w:w="8540" w:type="dxa"/>
            <w:vAlign w:val="bottom"/>
          </w:tcPr>
          <w:p>
            <w:pPr>
              <w:ind w:left="780"/>
              <w:spacing w:after="0" w:line="253" w:lineRule="exact"/>
              <w:rPr>
                <w:sz w:val="20"/>
                <w:szCs w:val="20"/>
                <w:color w:val="auto"/>
              </w:rPr>
            </w:pPr>
            <w:r>
              <w:rPr>
                <w:rFonts w:ascii="Times New Roman" w:cs="Times New Roman" w:eastAsia="Times New Roman" w:hAnsi="Times New Roman"/>
                <w:sz w:val="18"/>
                <w:szCs w:val="18"/>
                <w:color w:val="auto"/>
              </w:rPr>
              <w:t>299 South Main Street,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Salt Lake City, Utah 84111</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(801) 246-5630</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(801) 246-5053</w:t>
            </w:r>
          </w:p>
        </w:tc>
      </w:tr>
      <w:tr>
        <w:trPr>
          <w:trHeight w:val="42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If to the Disbursement Agent:</w:t>
            </w: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31 West 52nd Street</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Amy Sinensky</w:t>
            </w:r>
          </w:p>
        </w:tc>
      </w:tr>
      <w:tr>
        <w:trPr>
          <w:trHeight w:val="216"/>
        </w:trPr>
        <w:tc>
          <w:tcPr>
            <w:tcW w:w="2880" w:type="dxa"/>
            <w:vAlign w:val="bottom"/>
          </w:tcPr>
          <w:p>
            <w:pPr>
              <w:spacing w:after="0"/>
              <w:rPr>
                <w:sz w:val="18"/>
                <w:szCs w:val="18"/>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Telephone No.: (212) 469-4063</w:t>
            </w:r>
          </w:p>
        </w:tc>
      </w:tr>
      <w:tr>
        <w:trPr>
          <w:trHeight w:val="228"/>
        </w:trPr>
        <w:tc>
          <w:tcPr>
            <w:tcW w:w="2880" w:type="dxa"/>
            <w:vAlign w:val="bottom"/>
          </w:tcPr>
          <w:p>
            <w:pPr>
              <w:spacing w:after="0"/>
              <w:rPr>
                <w:sz w:val="19"/>
                <w:szCs w:val="19"/>
                <w:color w:val="auto"/>
              </w:rPr>
            </w:pPr>
          </w:p>
        </w:tc>
        <w:tc>
          <w:tcPr>
            <w:tcW w:w="8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Facsimile No.: (212) 469-6091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-3535680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-3535680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notice is tendered to an addressee and the delivery thereof is refused by such addressee, such notice shall be effective upon such tender. Any party shall have the right to change its address for notice hereunder to any other location by giving of no less than twenty (20) days' notice to the other parties in the manner set forth hereinabove.</w:t>
      </w:r>
    </w:p>
    <w:p>
      <w:pPr>
        <w:sectPr>
          <w:pgSz w:w="11900" w:h="16838" w:orient="portrait"/>
          <w:cols w:equalWidth="0" w:num="1">
            <w:col w:w="11420"/>
          </w:cols>
          <w:pgMar w:left="240" w:top="123" w:right="239" w:bottom="180" w:gutter="0" w:footer="0" w:header="0"/>
        </w:sectPr>
      </w:pPr>
    </w:p>
    <w:bookmarkStart w:id="53" w:name="page54"/>
    <w:bookmarkEnd w:id="53"/>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xml:space="preserve"> From time to time the Company shall execute and deliver, or cause to be executed and delivered, such additional instruments, certificates or documents, and take all such actions, as the Funding Agents or the Disbursement Agent may reasonably request for the purposes of implementing or effectuating the provisions of this Agreement and the other Operative Documents, or of more fully perfecting or renewing the rights of the Funding Agents and the Lenders with respect to the Project Security (or with respect to any additions thereto or replacements or proceeds or products thereof or with respect to any other property or assets hereafter acquired by any Loan Party which may be deemed to be part of the Project Security) pursuant hereto or thereto. Upon the exercise by the Funding Agents, the Disbursement Agent or any Lender of any power, right, privilege or remedy pursuant to this Agreement or the other Operative Documents which requires any consent, approval, recording, qualification or authorization of any Governmental Authority, the Company shall, or shall cause another Loan Party to, execute and deliver, or will cause the execution and delivery of, all applications, certifications, instruments and other documents and papers that the Funding Agent, the Disbursement Agent or such Lender may be required to obtain from the Company or the applicable Loan Party for such governmental consent, approval, recording, qualification or authorization.</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i w:val="1"/>
          <w:iCs w:val="1"/>
          <w:color w:val="auto"/>
        </w:rPr>
        <w:t>Delay and Waiver.</w:t>
      </w:r>
      <w:r>
        <w:rPr>
          <w:rFonts w:ascii="Times New Roman" w:cs="Times New Roman" w:eastAsia="Times New Roman" w:hAnsi="Times New Roman"/>
          <w:sz w:val="18"/>
          <w:szCs w:val="18"/>
          <w:color w:val="auto"/>
        </w:rPr>
        <w:t xml:space="preserve"> No delay or omission to exercise any right, power or remedy accruing upon the occurrence of any Potential Event of Default or Event of Default or any other breach or default of the Company under this Agreement shall impair any such right, power or remedy of the Funding Agents, the Lenders, the Disbursement Agent or any other Secured Party nor shall it be construed to be a waiver of any such breach or default, or an acquiescence therein, or in any similar breach or default thereafter occurring, nor shall any waiver of any single Potential Event of Default, Event of Default or other breach or default be deemed a waiver of any other Potential Event of Default, Event of Default or other breach or default theretofore or thereafter occurring. Any waiver, permit, consent or approval of any kind or character on the part of any of the Funding Agents, the Lenders, the Disbursement Agent or any other Secured Party, of any Potential Event of Default, Event of Default or other breach or default under this Agreement or any other Financing Agreement, or any waiver on the part of any of the Funding Agents, the Lenders, the Disbursement Agent or any other Secured Party, of any provision or condition of this Agreement or any other Operative Document, must be in writing and shall be effective only to the extent in such writing specifically set forth. All remedies, either under this Agreement or any other Financing Agreement or by law or otherwise afforded to any of the Funding Agents, the Lenders, the Disbursement Agent or any other Secured Party, shall be cumulative and not alternative.</w:t>
      </w:r>
    </w:p>
    <w:p>
      <w:pPr>
        <w:spacing w:after="0" w:line="193"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i w:val="1"/>
          <w:iCs w:val="1"/>
          <w:color w:val="auto"/>
        </w:rPr>
        <w:t>Additional Security; Right to Set-Off.</w:t>
      </w:r>
      <w:r>
        <w:rPr>
          <w:rFonts w:ascii="Times New Roman" w:cs="Times New Roman" w:eastAsia="Times New Roman" w:hAnsi="Times New Roman"/>
          <w:sz w:val="18"/>
          <w:szCs w:val="18"/>
          <w:color w:val="auto"/>
        </w:rPr>
        <w:t xml:space="preserve"> Any deposits or other sums at any time credited or due from any Secured Party and any securities or other property of the Company in the possession of any Secured Party or the Collateral Agent may at all times be treated as collateral security for the payment of the Obligations, and the Company hereby pledges to each such Secured Party for the benefit of the Project Secured Parties and grants such Secured Party a security interest in and to all such deposits, sums, securities or other property on deposit or in the possession of such Secured Party or the Collateral Agent, as the case may be. Regardless of the adequacy of any other collateral, any Secured Party may execute or realize on its security interest in any such deposits or other sums credited by or due from any such Person to the Company, may apply any such deposits or other sums to or set them off against the Company's obligations to the Project Secured Parties under this Agreement and the other Financing Agreements, subject to the Intercreditor Agreements, at any time after the occurrence and during the continuance of any Event of Default.</w:t>
      </w:r>
    </w:p>
    <w:p>
      <w:pPr>
        <w:spacing w:after="0" w:line="192" w:lineRule="exact"/>
        <w:rPr>
          <w:sz w:val="20"/>
          <w:szCs w:val="20"/>
          <w:color w:val="auto"/>
        </w:rPr>
      </w:pPr>
    </w:p>
    <w:p>
      <w:pPr>
        <w:ind w:right="340" w:firstLine="351"/>
        <w:spacing w:after="0" w:line="26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xml:space="preserve"> This Agreement and any agreement, document or instrument attached hereto or referred to herein integrate all the terms and conditions mentioned herein or incidental hereto and supersede all oral negotiations and prior writings in respect to the subject matter hereof, all of which negotiations and writings are deemed void and of no force and effect.</w:t>
      </w:r>
    </w:p>
    <w:p>
      <w:pPr>
        <w:spacing w:after="0" w:line="179"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xml:space="preserve"> This Agreement shall be governed by the laws of the State of New York of the United States of America and shall for all purposes be governed by and construed in accordance with the laws of such state without regard to the conflict of law rules thereof other than </w:t>
      </w:r>
      <w:r>
        <w:rPr>
          <w:rFonts w:ascii="Times New Roman" w:cs="Times New Roman" w:eastAsia="Times New Roman" w:hAnsi="Times New Roman"/>
          <w:sz w:val="18"/>
          <w:szCs w:val="18"/>
          <w:i w:val="1"/>
          <w:iCs w:val="1"/>
          <w:color w:val="auto"/>
        </w:rPr>
        <w:t>Section 5-1401</w:t>
      </w:r>
      <w:r>
        <w:rPr>
          <w:rFonts w:ascii="Times New Roman" w:cs="Times New Roman" w:eastAsia="Times New Roman" w:hAnsi="Times New Roman"/>
          <w:sz w:val="18"/>
          <w:szCs w:val="18"/>
          <w:color w:val="auto"/>
        </w:rPr>
        <w:t xml:space="preserve"> of the New York General Obligations Law, provided, however, that to the extent any terms of this Agreement are incorporated in and made part of any other Financing Agreement, any such term so incorporated shall for all purposes be governed by and construed in accordance with the law governing the Financing Agreement into which such term is so incorporated.</w:t>
      </w:r>
    </w:p>
    <w:p>
      <w:pPr>
        <w:spacing w:after="0" w:line="188" w:lineRule="exact"/>
        <w:rPr>
          <w:sz w:val="20"/>
          <w:szCs w:val="20"/>
          <w:color w:val="auto"/>
        </w:rPr>
      </w:pPr>
    </w:p>
    <w:p>
      <w:pPr>
        <w:jc w:val="both"/>
        <w:ind w:right="160" w:firstLine="351"/>
        <w:spacing w:after="0" w:line="265"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xml:space="preserve"> In case any one or more of the provisions contained in this Agreement should be invalid, illegal or unenforceable in any respect, 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79" w:lineRule="exact"/>
        <w:rPr>
          <w:sz w:val="20"/>
          <w:szCs w:val="20"/>
          <w:color w:val="auto"/>
        </w:rPr>
      </w:pPr>
    </w:p>
    <w:p>
      <w:pPr>
        <w:ind w:right="600" w:firstLine="351"/>
        <w:spacing w:after="0" w:line="280"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xml:space="preserve"> Paragraph headings have been inserted in this Agreement as a matter of convenience for reference only and it is agreed that such paragraph headings are not a part of this Agreement and shall not be used in the interpretation of any provision of this Agreement.</w:t>
      </w:r>
    </w:p>
    <w:p>
      <w:pPr>
        <w:spacing w:after="0" w:line="165" w:lineRule="exact"/>
        <w:rPr>
          <w:sz w:val="20"/>
          <w:szCs w:val="20"/>
          <w:color w:val="auto"/>
        </w:rPr>
      </w:pPr>
    </w:p>
    <w:p>
      <w:pPr>
        <w:ind w:right="500" w:firstLine="351"/>
        <w:spacing w:after="0" w:line="280"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i w:val="1"/>
          <w:iCs w:val="1"/>
          <w:color w:val="auto"/>
        </w:rPr>
        <w:t>Limitation on Liability.</w:t>
      </w:r>
      <w:r>
        <w:rPr>
          <w:rFonts w:ascii="Times New Roman" w:cs="Times New Roman" w:eastAsia="Times New Roman" w:hAnsi="Times New Roman"/>
          <w:sz w:val="18"/>
          <w:szCs w:val="18"/>
          <w:color w:val="auto"/>
        </w:rPr>
        <w:t xml:space="preserve"> NO CLAIM SHALL BE MADE BY THE COMPANY OR ANY OF ITS AFFILIATES AGAINST THE FUNDING AGENTS, THE LENDERS, THE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DISBURSEMENT AGENT, THE CONTROLLING PERSON OR ANY OTHER SECURED PARTY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THE COMPANY HEREBY WAIVES, RELEASES AND AGREES NOT TO SUE UPON ANY SUCH CLAIM FOR ANY SUCH DAMAGES, WHETHER OR NOT ACCRUED AND WHETHER OR NOT KNOWN OR SUSPECTED TO EXIST IN ITS FAVOR.</w:t>
      </w:r>
    </w:p>
    <w:p>
      <w:pPr>
        <w:spacing w:after="0" w:line="191"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xml:space="preserve"> ALL PARTIES TO THIS AGREEMENT HEREBY KNOWINGLY, VOLUNTARILY, AND INTENTIONALLY WAIVE ANY RIGHT THEY MAY HAVE TO A TRIAL BY JURY IN RESPECT OF ANY LITIGATION BASED HEREON, OR ARISING OUT OF, UNDER, OR IN CONNECTION WITH, THIS AGREEMENT OR ANY OTHER FINANCING AGREEMENTS, OR ANY COURSE OF CONDUCT, COURSE OF DEALING, STATEMENTS (WHETHER VERBAL OR WRITTEN), OR ACTIONS OF ANY PARTY TO THIS AGREEMENT. THIS PROVISION IS A MATERIAL INDUCEMENT FOR THE FUNDING AGENTS, DISBURSEMENT AGENT AND EACH OF THE OTHER LENDERS AND SECURED PARTIES TO ENTER INTO THIS AGREEMENT.</w:t>
      </w:r>
    </w:p>
    <w:p>
      <w:pPr>
        <w:sectPr>
          <w:pgSz w:w="11900" w:h="16838" w:orient="portrait"/>
          <w:cols w:equalWidth="0" w:num="1">
            <w:col w:w="11380"/>
          </w:cols>
          <w:pgMar w:left="240" w:top="121" w:right="279" w:bottom="161" w:gutter="0" w:footer="0" w:header="0"/>
        </w:sectPr>
      </w:pPr>
    </w:p>
    <w:bookmarkStart w:id="54" w:name="page55"/>
    <w:bookmarkEnd w:id="54"/>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b w:val="1"/>
          <w:bCs w:val="1"/>
          <w:i w:val="1"/>
          <w:iCs w:val="1"/>
          <w:color w:val="auto"/>
        </w:rPr>
        <w:t>Consent to Jurisdiction.</w:t>
      </w:r>
      <w:r>
        <w:rPr>
          <w:rFonts w:ascii="Times New Roman" w:cs="Times New Roman" w:eastAsia="Times New Roman" w:hAnsi="Times New Roman"/>
          <w:sz w:val="18"/>
          <w:szCs w:val="18"/>
          <w:color w:val="auto"/>
        </w:rPr>
        <w:t xml:space="preserve"> Any legal action or proceeding by or against the Company or with respect to or arising out of this Agreement may be brought in or removed to the courts of the State of New York, in and for the County of New York, or of the United States of America for the Southern District of New York. By execution and delivery of this Agreement, the Company, accepts, for itself and in respect of its property, generally and unconditionally, the jurisdiction of the aforesaid courts for legal proceedings arising out of or in connection with this Agreement and irrevocably consents to the appointment of the Corporation Service Company as its agent to receive service of process in New York, New York. Nothing herein shall affect the right to serve process in any other manner permitted by law or any right to bring legal action or proceedings in any other competent jurisdiction, including judicial or non-judicial foreclosure of real property interests which are part of the Project Security. The Company further agrees that the aforesaid courts of the State of New York and of the United States of America for the Southern District of New York shall have exclusive jurisdiction with respect to any claim or counterclaim of the Company based upon the assertion that the rate of interest charged by or under this Agreement, or under the other Financing Agreements is usurious. The Company hereby waives any right to stay or dismiss any action or proceeding under or in connection with any or all of the Project, this Agreement or any other Operative Document brought before the foregoing courts on the basis of </w:t>
      </w:r>
      <w:r>
        <w:rPr>
          <w:rFonts w:ascii="Times New Roman" w:cs="Times New Roman" w:eastAsia="Times New Roman" w:hAnsi="Times New Roman"/>
          <w:sz w:val="18"/>
          <w:szCs w:val="18"/>
          <w:i w:val="1"/>
          <w:iCs w:val="1"/>
          <w:color w:val="auto"/>
        </w:rPr>
        <w:t>forum non-conveniens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120" w:firstLine="351"/>
        <w:spacing w:after="0" w:line="280"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Notwithstanding the foregoing, the Company may not assign or otherwise transfer any of its rights under this Agreement.</w:t>
      </w:r>
    </w:p>
    <w:p>
      <w:pPr>
        <w:spacing w:after="0" w:line="165" w:lineRule="exact"/>
        <w:rPr>
          <w:sz w:val="20"/>
          <w:szCs w:val="20"/>
          <w:color w:val="auto"/>
        </w:rPr>
      </w:pPr>
    </w:p>
    <w:p>
      <w:pPr>
        <w:ind w:right="80" w:firstLine="351"/>
        <w:spacing w:after="0" w:line="260"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b w:val="1"/>
          <w:bCs w:val="1"/>
          <w:i w:val="1"/>
          <w:iCs w:val="1"/>
          <w:color w:val="auto"/>
        </w:rPr>
        <w:t>Reinstatement.</w:t>
      </w:r>
      <w:r>
        <w:rPr>
          <w:rFonts w:ascii="Times New Roman" w:cs="Times New Roman" w:eastAsia="Times New Roman" w:hAnsi="Times New Roman"/>
          <w:sz w:val="18"/>
          <w:szCs w:val="18"/>
          <w:color w:val="auto"/>
        </w:rPr>
        <w:t xml:space="preserve"> This Agreement shall continue to be effective or be reinstated, as the case may be, if at any time payment and performance of the Company's obligations hereunder or under the other Financing Agreements, or any part thereof, is, pursuant to applicable law, rescinded or reduced in amount, or must otherwise be restored or returned by the Secured Parties. In the event that any payment or any part thereof is so rescinded, reduced, restored or returned, such obligations shall be reinstated and deemed reduced only by such amount paid and not so rescinded, reduced, restored or returned.</w:t>
      </w:r>
    </w:p>
    <w:p>
      <w:pPr>
        <w:spacing w:after="0" w:line="183" w:lineRule="exact"/>
        <w:rPr>
          <w:sz w:val="20"/>
          <w:szCs w:val="20"/>
          <w:color w:val="auto"/>
        </w:rPr>
      </w:pPr>
    </w:p>
    <w:p>
      <w:pPr>
        <w:ind w:right="220" w:firstLine="351"/>
        <w:spacing w:after="0" w:line="280"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b w:val="1"/>
          <w:bCs w:val="1"/>
          <w:i w:val="1"/>
          <w:iCs w:val="1"/>
          <w:color w:val="auto"/>
        </w:rPr>
        <w:t>No Partnership; Etc.</w:t>
      </w:r>
      <w:r>
        <w:rPr>
          <w:rFonts w:ascii="Times New Roman" w:cs="Times New Roman" w:eastAsia="Times New Roman" w:hAnsi="Times New Roman"/>
          <w:sz w:val="18"/>
          <w:szCs w:val="18"/>
          <w:color w:val="auto"/>
        </w:rPr>
        <w:t xml:space="preserve"> The Secured Parties and the Company intend that the relationship between them shall be solely that of creditor and debtor. Nothing contained in this Agreement or in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of the other Financing Agreements shall be deemed or construed to create a partnership, tenancy-in-common, joint tenancy, joint venture or co-ownership by or between the Secured Parties and the Company or any other Person. The Secured Parties shall not be in any way responsible or liable for the debts, losses, obligations or duties of the Company or any other Person with respect to the Project or otherwise. All obligations to pay real property or other taxes, assessments, insurance premiums, and all other fees and charges arising from the ownership, operation or occupancy of the Project and to perform all obligations under the agreements and contracts relating to the Project shall be the sole responsibility of the Company.</w:t>
      </w:r>
    </w:p>
    <w:p>
      <w:pPr>
        <w:spacing w:after="0" w:line="189"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6"/>
          <w:szCs w:val="16"/>
          <w:b w:val="1"/>
          <w:bCs w:val="1"/>
          <w:i w:val="1"/>
          <w:iCs w:val="1"/>
          <w:color w:val="auto"/>
        </w:rPr>
        <w:t>Costs and Expenses.</w:t>
      </w:r>
    </w:p>
    <w:p>
      <w:pPr>
        <w:spacing w:after="0" w:line="227" w:lineRule="exact"/>
        <w:rPr>
          <w:sz w:val="20"/>
          <w:szCs w:val="20"/>
          <w:color w:val="auto"/>
        </w:rPr>
      </w:pPr>
    </w:p>
    <w:p>
      <w:pPr>
        <w:ind w:left="540" w:right="40" w:firstLine="351"/>
        <w:spacing w:after="0" w:line="287" w:lineRule="auto"/>
        <w:rPr>
          <w:sz w:val="20"/>
          <w:szCs w:val="20"/>
          <w:color w:val="auto"/>
        </w:rPr>
      </w:pPr>
      <w:r>
        <w:rPr>
          <w:rFonts w:ascii="Times New Roman" w:cs="Times New Roman" w:eastAsia="Times New Roman" w:hAnsi="Times New Roman"/>
          <w:sz w:val="16"/>
          <w:szCs w:val="16"/>
          <w:color w:val="auto"/>
        </w:rPr>
        <w:t xml:space="preserve">11.15.1 </w:t>
      </w:r>
      <w:r>
        <w:rPr>
          <w:rFonts w:ascii="Times New Roman" w:cs="Times New Roman" w:eastAsia="Times New Roman" w:hAnsi="Times New Roman"/>
          <w:sz w:val="16"/>
          <w:szCs w:val="16"/>
          <w:i w:val="1"/>
          <w:iCs w:val="1"/>
          <w:color w:val="auto"/>
        </w:rPr>
        <w:t>Reimbursement of Costs.</w:t>
      </w:r>
      <w:r>
        <w:rPr>
          <w:rFonts w:ascii="Times New Roman" w:cs="Times New Roman" w:eastAsia="Times New Roman" w:hAnsi="Times New Roman"/>
          <w:sz w:val="16"/>
          <w:szCs w:val="16"/>
          <w:color w:val="auto"/>
        </w:rPr>
        <w:t xml:space="preserve"> The Company shall (subject to the limitations set forth herein and, with respect to each Funding Agent and the Collateral Agent, to the express provisions of the Financing Agreements or any other fee letters or engagement letters to which such Funding Agent or Collateral Agent is a party) pay the reasonable legal, engineering, other professional and all other fees and costs of the Funding Agents, the Collateral Agent and the Disbursement Agent and their consultants and advisors, the reasonable travel expenses and other out-of-pocket costs incurred by each of them in connection with the preparation, negotiation, execution and delivery, and where appropriate, registration of the Operative Documents (and all matters incidental thereto), the syndication of the Loans, the administration of the transactions contemplated by the Operative Documents (including, without limitation, the administration of this Agreement, the other Operative Documents and the Security Documents) and the preservation or enforcement of any of their respective rights or in connection with any amendments, waivers or consents required under the Financing Agreements or the Operative Documents. The Funding Agents and the Collateral Agent will reasonably consult with the Company on a regular basis with respect to on-going costs of such Persons' consultants and advisors and unless a Potential Event of Default or Event of Default shall have occurred and be continuing, if requested by the Company, the Funding Agents and the Collateral Agent may agree with the Company that such costs be subject to a reasonable fee cap.</w:t>
      </w:r>
    </w:p>
    <w:p>
      <w:pPr>
        <w:spacing w:after="0" w:line="173" w:lineRule="exact"/>
        <w:rPr>
          <w:sz w:val="20"/>
          <w:szCs w:val="20"/>
          <w:color w:val="auto"/>
        </w:rPr>
      </w:pPr>
    </w:p>
    <w:p>
      <w:pPr>
        <w:ind w:left="540" w:firstLine="351"/>
        <w:spacing w:after="0" w:line="252" w:lineRule="auto"/>
        <w:rPr>
          <w:sz w:val="20"/>
          <w:szCs w:val="20"/>
          <w:color w:val="auto"/>
        </w:rPr>
      </w:pPr>
      <w:r>
        <w:rPr>
          <w:rFonts w:ascii="Times New Roman" w:cs="Times New Roman" w:eastAsia="Times New Roman" w:hAnsi="Times New Roman"/>
          <w:sz w:val="18"/>
          <w:szCs w:val="18"/>
          <w:color w:val="auto"/>
        </w:rPr>
        <w:t xml:space="preserve">11.15.2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xml:space="preserve"> The Company shall indemnify, defend and hold harmless the Bank Agent, the Bank Lenders, the FF&amp;E Agent, the FF&amp;E Lenders, the Indenture Trustee, the Second Mortgage Notes Holders, the Insurance Advisor, the Construction Consultant, the Controlling Person, the Disbursement Agent, the Collateral Agent, each of their respective affiliates and each of their respective officers, directors, partners, trustees, employers, affiliates, shareholders, advisors, agents, attorneys, attorneys-in-fact, representatives and "controlling persons" (within the meaning of the Securities Act of 1933, as amended, and the Securities Exchange Act of 1934, as amended), (collectively, the "</w:t>
      </w:r>
      <w:r>
        <w:rPr>
          <w:rFonts w:ascii="Times New Roman" w:cs="Times New Roman" w:eastAsia="Times New Roman" w:hAnsi="Times New Roman"/>
          <w:sz w:val="18"/>
          <w:szCs w:val="18"/>
          <w:i w:val="1"/>
          <w:iCs w:val="1"/>
          <w:color w:val="auto"/>
        </w:rPr>
        <w:t>Indemnitees</w:t>
      </w:r>
      <w:r>
        <w:rPr>
          <w:rFonts w:ascii="Times New Roman" w:cs="Times New Roman" w:eastAsia="Times New Roman" w:hAnsi="Times New Roman"/>
          <w:sz w:val="18"/>
          <w:szCs w:val="18"/>
          <w:color w:val="auto"/>
        </w:rPr>
        <w:t>") from and against and reimburse the Indemnitees for any and all present and future claims, expenses, obligations, liabilities, losses, damages, injuries (to person, property, or natural resources), penalties, stamp or other similar taxes, actions, suits, judgments, reasonable costs and expenses (including any legal or other expenses reasonably incurred by them in connection with the investigating, preparing to defend or defending, or providing evidence in or preparing to serve or serving as witness with respect to, any lawsuits, investigations, claims or other proceedings (whether or not such Indemnitee is a formal party thereto) of whatever kind or nature, whether or not well founded, meritorious or unmeritorious, demanded, asserted or claimed against any such Indemnitee including any liability resulting from any delay or omission to pay any such tax (collectively,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arising in any manner out of or in connection with this Agreement, the Financing Documents or any other Operative Documents, the use of proceeds therefrom, the development, construction, ownership and operation of the Project the transactions contemplated by this Agreement or any other Operative Document, any other transaction related hereto or thereto of any claim, litigation, investigation or proceeding relating to any of the foregoing (regardless of whether any Indemnitee is a party hereto or thereto) including without limitation (a) any and all Claims arising in connection with the release or presence of any Hazardous Substances at the Site or the Project, whether foreseeable or unforeseeable, including</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20"/>
        <w:spacing w:after="0" w:line="293" w:lineRule="auto"/>
        <w:rPr>
          <w:sz w:val="20"/>
          <w:szCs w:val="20"/>
          <w:color w:val="auto"/>
        </w:rPr>
      </w:pPr>
      <w:r>
        <w:rPr>
          <w:rFonts w:ascii="Times New Roman" w:cs="Times New Roman" w:eastAsia="Times New Roman" w:hAnsi="Times New Roman"/>
          <w:sz w:val="16"/>
          <w:szCs w:val="16"/>
          <w:color w:val="auto"/>
        </w:rPr>
        <w:t>all costs of removal and disposal of such Hazardous Substances, all reasonable costs required to be incurred in (i) determining whether the Project is in compliance and (ii) causing the Project to be in compliance, with all applicable Legal Requirements, all reasonable costs associated with claims for damages to persons or property, and reasonable attorneys' and consultants' fees and court costs, (b) any and all Claims arising out of or based upon any untrue statement or alleged untrue statement of material fact contained in any preliminary or final prospectus or any other similar disclosure document or in any amendment or supplement thereto, any omission or alleged omission to state in any preliminary or final prospectus or any other similar disclosure document or in any amendment or supplement thereto any material fact required to be stated therein or necessary to make the statements therein not</w:t>
      </w:r>
    </w:p>
    <w:p>
      <w:pPr>
        <w:sectPr>
          <w:pgSz w:w="11900" w:h="16838" w:orient="portrait"/>
          <w:cols w:equalWidth="0" w:num="1">
            <w:col w:w="11420"/>
          </w:cols>
          <w:pgMar w:left="240" w:top="121" w:right="239" w:bottom="0" w:gutter="0" w:footer="0" w:header="0"/>
        </w:sectPr>
      </w:pPr>
    </w:p>
    <w:bookmarkStart w:id="55" w:name="page56"/>
    <w:bookmarkEnd w:id="55"/>
    <w:p>
      <w:pPr>
        <w:ind w:left="180" w:right="40"/>
        <w:spacing w:after="0" w:line="258" w:lineRule="auto"/>
        <w:rPr>
          <w:sz w:val="20"/>
          <w:szCs w:val="20"/>
          <w:color w:val="auto"/>
        </w:rPr>
      </w:pPr>
      <w:r>
        <w:rPr>
          <w:rFonts w:ascii="Times New Roman" w:cs="Times New Roman" w:eastAsia="Times New Roman" w:hAnsi="Times New Roman"/>
          <w:sz w:val="18"/>
          <w:szCs w:val="18"/>
          <w:color w:val="auto"/>
        </w:rPr>
        <w:t>misleading or (c) any and all Claims arising in any matter out of, relating to or in connection with any conduct by any Loan Party or their respective employees or agents or any action or failure to act undertaken by any book-running manager under the Facility Agreements at any Loan Party's request or with any Loan Party's consent. No Indemnitee shall be liable for any damages arising from the use by unauthorized Persons of information or other materials sent through electronic, telecommunication or other information transmission systems that are intercepted by other Persons.</w:t>
      </w:r>
    </w:p>
    <w:p>
      <w:pPr>
        <w:spacing w:after="0" w:line="188" w:lineRule="exact"/>
        <w:rPr>
          <w:sz w:val="20"/>
          <w:szCs w:val="20"/>
          <w:color w:val="auto"/>
        </w:rPr>
      </w:pPr>
    </w:p>
    <w:p>
      <w:pPr>
        <w:ind w:left="180"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11.15.3 </w:t>
      </w:r>
      <w:r>
        <w:rPr>
          <w:rFonts w:ascii="Times New Roman" w:cs="Times New Roman" w:eastAsia="Times New Roman" w:hAnsi="Times New Roman"/>
          <w:sz w:val="18"/>
          <w:szCs w:val="18"/>
          <w:i w:val="1"/>
          <w:iCs w:val="1"/>
          <w:color w:val="auto"/>
        </w:rPr>
        <w:t>Gross Negligence.</w:t>
      </w:r>
      <w:r>
        <w:rPr>
          <w:rFonts w:ascii="Times New Roman" w:cs="Times New Roman" w:eastAsia="Times New Roman" w:hAnsi="Times New Roman"/>
          <w:sz w:val="18"/>
          <w:szCs w:val="18"/>
          <w:color w:val="auto"/>
        </w:rPr>
        <w:t xml:space="preserve"> The indemnity obligation of the Company pursuant to this </w:t>
      </w:r>
      <w:r>
        <w:rPr>
          <w:rFonts w:ascii="Times New Roman" w:cs="Times New Roman" w:eastAsia="Times New Roman" w:hAnsi="Times New Roman"/>
          <w:sz w:val="18"/>
          <w:szCs w:val="18"/>
          <w:i w:val="1"/>
          <w:iCs w:val="1"/>
          <w:color w:val="auto"/>
        </w:rPr>
        <w:t>Section 11.15</w:t>
      </w:r>
      <w:r>
        <w:rPr>
          <w:rFonts w:ascii="Times New Roman" w:cs="Times New Roman" w:eastAsia="Times New Roman" w:hAnsi="Times New Roman"/>
          <w:sz w:val="18"/>
          <w:szCs w:val="18"/>
          <w:color w:val="auto"/>
        </w:rPr>
        <w:t xml:space="preserve"> shall not apply with respect to an Indemnitee, to the extent arising as a result of the fraud, bad faith, gross negligence or willful misconduct of such Indemnitee, as finally judicially determined by a court of competent jurisdiction, but shall continue to apply to other Indemnitees.</w:t>
      </w:r>
    </w:p>
    <w:p>
      <w:pPr>
        <w:spacing w:after="0" w:line="181" w:lineRule="exact"/>
        <w:rPr>
          <w:sz w:val="20"/>
          <w:szCs w:val="20"/>
          <w:color w:val="auto"/>
        </w:rPr>
      </w:pPr>
    </w:p>
    <w:p>
      <w:pPr>
        <w:jc w:val="both"/>
        <w:ind w:left="180" w:right="1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11.15.4 </w:t>
      </w:r>
      <w:r>
        <w:rPr>
          <w:rFonts w:ascii="Times New Roman" w:cs="Times New Roman" w:eastAsia="Times New Roman" w:hAnsi="Times New Roman"/>
          <w:sz w:val="18"/>
          <w:szCs w:val="18"/>
          <w:i w:val="1"/>
          <w:iCs w:val="1"/>
          <w:color w:val="auto"/>
        </w:rPr>
        <w:t>Unenforceability.</w:t>
      </w:r>
      <w:r>
        <w:rPr>
          <w:rFonts w:ascii="Times New Roman" w:cs="Times New Roman" w:eastAsia="Times New Roman" w:hAnsi="Times New Roman"/>
          <w:sz w:val="18"/>
          <w:szCs w:val="18"/>
          <w:color w:val="auto"/>
        </w:rPr>
        <w:t xml:space="preserve"> To the extent that the undertaking in the preceding paragraphs of this </w:t>
      </w:r>
      <w:r>
        <w:rPr>
          <w:rFonts w:ascii="Times New Roman" w:cs="Times New Roman" w:eastAsia="Times New Roman" w:hAnsi="Times New Roman"/>
          <w:sz w:val="18"/>
          <w:szCs w:val="18"/>
          <w:i w:val="1"/>
          <w:iCs w:val="1"/>
          <w:color w:val="auto"/>
        </w:rPr>
        <w:t>Section 11.15</w:t>
      </w:r>
      <w:r>
        <w:rPr>
          <w:rFonts w:ascii="Times New Roman" w:cs="Times New Roman" w:eastAsia="Times New Roman" w:hAnsi="Times New Roman"/>
          <w:sz w:val="18"/>
          <w:szCs w:val="18"/>
          <w:color w:val="auto"/>
        </w:rPr>
        <w:t xml:space="preserve"> may be unenforceable because it is violative of any law or public policy, the Company will contribute the maximum portion that it is permitted to pay and satisfy under applicable law to the payment and satisfaction of such undertakings.</w:t>
      </w:r>
    </w:p>
    <w:p>
      <w:pPr>
        <w:spacing w:after="0" w:line="181" w:lineRule="exact"/>
        <w:rPr>
          <w:sz w:val="20"/>
          <w:szCs w:val="20"/>
          <w:color w:val="auto"/>
        </w:rPr>
      </w:pPr>
    </w:p>
    <w:p>
      <w:pPr>
        <w:ind w:left="180" w:right="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11.15.5 </w:t>
      </w:r>
      <w:r>
        <w:rPr>
          <w:rFonts w:ascii="Times New Roman" w:cs="Times New Roman" w:eastAsia="Times New Roman" w:hAnsi="Times New Roman"/>
          <w:sz w:val="18"/>
          <w:szCs w:val="18"/>
          <w:i w:val="1"/>
          <w:iCs w:val="1"/>
          <w:color w:val="auto"/>
        </w:rPr>
        <w:t>Foreclosure.</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i w:val="1"/>
          <w:iCs w:val="1"/>
          <w:color w:val="auto"/>
        </w:rPr>
        <w:t>Section 11.15</w:t>
      </w:r>
      <w:r>
        <w:rPr>
          <w:rFonts w:ascii="Times New Roman" w:cs="Times New Roman" w:eastAsia="Times New Roman" w:hAnsi="Times New Roman"/>
          <w:sz w:val="18"/>
          <w:szCs w:val="18"/>
          <w:color w:val="auto"/>
        </w:rPr>
        <w:t xml:space="preserve"> shall survive foreclosure of the Security Documents and satisfaction or discharge of the Company's obligations hereunder, and shall be in addition to any other rights and remedies of any Indemnitee.</w:t>
      </w:r>
    </w:p>
    <w:p>
      <w:pPr>
        <w:spacing w:after="0" w:line="170" w:lineRule="exact"/>
        <w:rPr>
          <w:sz w:val="20"/>
          <w:szCs w:val="20"/>
          <w:color w:val="auto"/>
        </w:rPr>
      </w:pPr>
    </w:p>
    <w:p>
      <w:pPr>
        <w:ind w:left="540"/>
        <w:spacing w:after="0"/>
        <w:tabs>
          <w:tab w:leader="none" w:pos="1220" w:val="left"/>
          <w:tab w:leader="none" w:pos="2820" w:val="left"/>
        </w:tabs>
        <w:rPr>
          <w:sz w:val="20"/>
          <w:szCs w:val="20"/>
          <w:color w:val="auto"/>
        </w:rPr>
      </w:pPr>
      <w:r>
        <w:rPr>
          <w:rFonts w:ascii="Times New Roman" w:cs="Times New Roman" w:eastAsia="Times New Roman" w:hAnsi="Times New Roman"/>
          <w:sz w:val="18"/>
          <w:szCs w:val="18"/>
          <w:color w:val="auto"/>
        </w:rPr>
        <w:t>11.15.6</w:t>
      </w:r>
      <w:r>
        <w:rPr>
          <w:sz w:val="20"/>
          <w:szCs w:val="20"/>
          <w:color w:val="auto"/>
        </w:rPr>
        <w:tab/>
      </w:r>
      <w:r>
        <w:rPr>
          <w:rFonts w:ascii="Times New Roman" w:cs="Times New Roman" w:eastAsia="Times New Roman" w:hAnsi="Times New Roman"/>
          <w:sz w:val="18"/>
          <w:szCs w:val="18"/>
          <w:i w:val="1"/>
          <w:iCs w:val="1"/>
          <w:color w:val="auto"/>
        </w:rPr>
        <w:t>Payment Due Dates.</w:t>
      </w:r>
      <w:r>
        <w:rPr>
          <w:sz w:val="20"/>
          <w:szCs w:val="20"/>
          <w:color w:val="auto"/>
        </w:rPr>
        <w:tab/>
      </w:r>
      <w:r>
        <w:rPr>
          <w:rFonts w:ascii="Times New Roman" w:cs="Times New Roman" w:eastAsia="Times New Roman" w:hAnsi="Times New Roman"/>
          <w:sz w:val="16"/>
          <w:szCs w:val="16"/>
          <w:color w:val="auto"/>
        </w:rPr>
        <w:t xml:space="preserve">Any amounts payable by the Company pursuant to this </w:t>
      </w:r>
      <w:r>
        <w:rPr>
          <w:rFonts w:ascii="Times New Roman" w:cs="Times New Roman" w:eastAsia="Times New Roman" w:hAnsi="Times New Roman"/>
          <w:sz w:val="16"/>
          <w:szCs w:val="16"/>
          <w:i w:val="1"/>
          <w:iCs w:val="1"/>
          <w:color w:val="auto"/>
        </w:rPr>
        <w:t>Section 11.15</w:t>
      </w:r>
      <w:r>
        <w:rPr>
          <w:rFonts w:ascii="Times New Roman" w:cs="Times New Roman" w:eastAsia="Times New Roman" w:hAnsi="Times New Roman"/>
          <w:sz w:val="16"/>
          <w:szCs w:val="16"/>
          <w:color w:val="auto"/>
        </w:rPr>
        <w:t xml:space="preserve"> shall be payable within the later to occur of</w:t>
      </w:r>
    </w:p>
    <w:p>
      <w:pPr>
        <w:spacing w:after="0" w:line="23" w:lineRule="exact"/>
        <w:rPr>
          <w:sz w:val="20"/>
          <w:szCs w:val="20"/>
          <w:color w:val="auto"/>
        </w:rPr>
      </w:pPr>
    </w:p>
    <w:p>
      <w:pPr>
        <w:ind w:left="180" w:right="60" w:firstLine="8"/>
        <w:spacing w:after="0" w:line="254" w:lineRule="auto"/>
        <w:tabs>
          <w:tab w:leader="none" w:pos="4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Banking Days after the Company receives an invoice for such amounts from any applicable Indemnitee or (b) five (5) Banking Days prior to the date on which such Indemnitee reasonably expects to pay such costs on account of which the Company's indemnity hereunder is payable, and if not paid by such applicable date shall bear interest at the highest default rate set forth in any of the Financing Agreements from and after such applicable date until paid in full in immediately available funds.</w:t>
      </w:r>
    </w:p>
    <w:p>
      <w:pPr>
        <w:spacing w:after="0" w:line="190" w:lineRule="exact"/>
        <w:rPr>
          <w:sz w:val="20"/>
          <w:szCs w:val="20"/>
          <w:color w:val="auto"/>
        </w:rPr>
      </w:pPr>
    </w:p>
    <w:p>
      <w:pPr>
        <w:ind w:left="180" w:right="40" w:firstLine="351"/>
        <w:spacing w:after="0" w:line="284" w:lineRule="auto"/>
        <w:rPr>
          <w:sz w:val="20"/>
          <w:szCs w:val="20"/>
          <w:color w:val="auto"/>
        </w:rPr>
      </w:pPr>
      <w:r>
        <w:rPr>
          <w:rFonts w:ascii="Times New Roman" w:cs="Times New Roman" w:eastAsia="Times New Roman" w:hAnsi="Times New Roman"/>
          <w:sz w:val="16"/>
          <w:szCs w:val="16"/>
          <w:color w:val="auto"/>
        </w:rPr>
        <w:t xml:space="preserve">11.15.7 </w:t>
      </w:r>
      <w:r>
        <w:rPr>
          <w:rFonts w:ascii="Times New Roman" w:cs="Times New Roman" w:eastAsia="Times New Roman" w:hAnsi="Times New Roman"/>
          <w:sz w:val="16"/>
          <w:szCs w:val="16"/>
          <w:i w:val="1"/>
          <w:iCs w:val="1"/>
          <w:color w:val="auto"/>
        </w:rPr>
        <w:t>Actions; Counsel.</w:t>
      </w:r>
      <w:r>
        <w:rPr>
          <w:rFonts w:ascii="Times New Roman" w:cs="Times New Roman" w:eastAsia="Times New Roman" w:hAnsi="Times New Roman"/>
          <w:sz w:val="16"/>
          <w:szCs w:val="16"/>
          <w:color w:val="auto"/>
        </w:rPr>
        <w:t xml:space="preserve"> In case any action or proceeding shall be instituted involving any Indemnitee for which indemnification is to be sought hereunder by such Indemnitee, then such Indemnitee shall promptly notify the Company of the commencement of any action or proceeding;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failure so to notify the Company shall not relieve the Company from any liability that the Company may have to such Indemnitee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pursuant to </w:t>
      </w:r>
      <w:r>
        <w:rPr>
          <w:rFonts w:ascii="Times New Roman" w:cs="Times New Roman" w:eastAsia="Times New Roman" w:hAnsi="Times New Roman"/>
          <w:sz w:val="16"/>
          <w:szCs w:val="16"/>
          <w:i w:val="1"/>
          <w:iCs w:val="1"/>
          <w:color w:val="auto"/>
        </w:rPr>
        <w:t>Section 11.15.2</w:t>
      </w:r>
      <w:r>
        <w:rPr>
          <w:rFonts w:ascii="Times New Roman" w:cs="Times New Roman" w:eastAsia="Times New Roman" w:hAnsi="Times New Roman"/>
          <w:sz w:val="16"/>
          <w:szCs w:val="16"/>
          <w:color w:val="auto"/>
        </w:rPr>
        <w:t xml:space="preserve"> or from any liability that the Company may have to such Indemnitee other than pursuant to </w:t>
      </w:r>
      <w:r>
        <w:rPr>
          <w:rFonts w:ascii="Times New Roman" w:cs="Times New Roman" w:eastAsia="Times New Roman" w:hAnsi="Times New Roman"/>
          <w:sz w:val="16"/>
          <w:szCs w:val="16"/>
          <w:i w:val="1"/>
          <w:iCs w:val="1"/>
          <w:color w:val="auto"/>
        </w:rPr>
        <w:t>Section 11.15.2</w:t>
      </w:r>
      <w:r>
        <w:rPr>
          <w:rFonts w:ascii="Times New Roman" w:cs="Times New Roman" w:eastAsia="Times New Roman" w:hAnsi="Times New Roman"/>
          <w:sz w:val="16"/>
          <w:szCs w:val="16"/>
          <w:color w:val="auto"/>
        </w:rPr>
        <w:t>. Notwithstanding the above, following such notification, the Company may elect in writing to assume the defense of such action or proceeding, and, upon such election, the Company shall not be liable for any legal costs subsequently incurred by such Indemnitee (other than reasonable costs of investigation and providing evidence) in connection therewith, unless (i) the Company has failed to provide counsel reasonably satisfactory to such Indemnitee in a timely manner,</w:t>
      </w:r>
    </w:p>
    <w:p>
      <w:pPr>
        <w:spacing w:after="0" w:line="3" w:lineRule="exact"/>
        <w:rPr>
          <w:sz w:val="20"/>
          <w:szCs w:val="20"/>
          <w:color w:val="auto"/>
        </w:rPr>
      </w:pPr>
    </w:p>
    <w:p>
      <w:pPr>
        <w:ind w:left="440" w:hanging="252"/>
        <w:spacing w:after="0"/>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provided by the Company reasonably determines that its representation of such Indemnitee would present it with a conflict of interest or</w:t>
      </w:r>
    </w:p>
    <w:p>
      <w:pPr>
        <w:spacing w:after="0" w:line="9" w:lineRule="exact"/>
        <w:rPr>
          <w:rFonts w:ascii="Times New Roman" w:cs="Times New Roman" w:eastAsia="Times New Roman" w:hAnsi="Times New Roman"/>
          <w:sz w:val="18"/>
          <w:szCs w:val="18"/>
          <w:color w:val="auto"/>
        </w:rPr>
      </w:pPr>
    </w:p>
    <w:p>
      <w:pPr>
        <w:ind w:left="180" w:firstLine="8"/>
        <w:spacing w:after="0" w:line="261" w:lineRule="auto"/>
        <w:tabs>
          <w:tab w:leader="none" w:pos="4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reasonably determines, on the advice of counsel, that there may be legal defenses available to it which are different from or in addition to those available to the Company. In connection with any one action</w:t>
      </w:r>
    </w:p>
    <w:p>
      <w:pPr>
        <w:spacing w:after="0" w:line="1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320"/>
        <w:spacing w:after="0" w:line="275" w:lineRule="auto"/>
        <w:rPr>
          <w:sz w:val="20"/>
          <w:szCs w:val="20"/>
          <w:color w:val="auto"/>
        </w:rPr>
      </w:pPr>
      <w:r>
        <w:rPr>
          <w:rFonts w:ascii="Times New Roman" w:cs="Times New Roman" w:eastAsia="Times New Roman" w:hAnsi="Times New Roman"/>
          <w:sz w:val="18"/>
          <w:szCs w:val="18"/>
          <w:color w:val="auto"/>
        </w:rPr>
        <w:t>or proceeding, the Company shall not be responsible for the fees and expenses of more than one separate law firm (in addition to local counsel) for all Indemnitees under each Facility.</w:t>
      </w:r>
    </w:p>
    <w:p>
      <w:pPr>
        <w:spacing w:after="0" w:line="172" w:lineRule="exact"/>
        <w:rPr>
          <w:sz w:val="20"/>
          <w:szCs w:val="20"/>
          <w:color w:val="auto"/>
        </w:rPr>
      </w:pPr>
    </w:p>
    <w:p>
      <w:pPr>
        <w:ind w:left="1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11.15.8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xml:space="preserve"> The Company shall report promptly to such Indemnitee on the status of such action, suit or proceeding as material developments shall occur and from time to time as requested by such Indemnitee. The Company shall deliver to such Indemnitee a copy of each document filed or served on any party in such action, suit or proceeding, and each material document which the Company possesses relating to such action, suit or proceeding.</w:t>
      </w:r>
    </w:p>
    <w:p>
      <w:pPr>
        <w:spacing w:after="0" w:line="187" w:lineRule="exact"/>
        <w:rPr>
          <w:sz w:val="20"/>
          <w:szCs w:val="20"/>
          <w:color w:val="auto"/>
        </w:rPr>
      </w:pPr>
    </w:p>
    <w:p>
      <w:pPr>
        <w:ind w:left="180" w:right="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11.15.9 </w:t>
      </w:r>
      <w:r>
        <w:rPr>
          <w:rFonts w:ascii="Times New Roman" w:cs="Times New Roman" w:eastAsia="Times New Roman" w:hAnsi="Times New Roman"/>
          <w:sz w:val="18"/>
          <w:szCs w:val="18"/>
          <w:i w:val="1"/>
          <w:iCs w:val="1"/>
          <w:color w:val="auto"/>
        </w:rPr>
        <w:t>Unconditional Release.</w:t>
      </w:r>
      <w:r>
        <w:rPr>
          <w:rFonts w:ascii="Times New Roman" w:cs="Times New Roman" w:eastAsia="Times New Roman" w:hAnsi="Times New Roman"/>
          <w:sz w:val="18"/>
          <w:szCs w:val="18"/>
          <w:color w:val="auto"/>
        </w:rPr>
        <w:t xml:space="preserve"> The Company shall not consent to the terms of any compromise or settlement of any action defended by the Company in accordance with the foregoing without the prior consent of the Indemnitee, unless such compromise or settlement (a) includes an unconditional release of the Indemnitee from all liability arising out of such action or claim and (b) does not include a statement as to, or an admission of, fault, culpability or a failure to act by or on behalf of the Indemnitee.</w:t>
      </w:r>
    </w:p>
    <w:p>
      <w:pPr>
        <w:spacing w:after="0" w:line="187" w:lineRule="exact"/>
        <w:rPr>
          <w:sz w:val="20"/>
          <w:szCs w:val="20"/>
          <w:color w:val="auto"/>
        </w:rPr>
      </w:pPr>
    </w:p>
    <w:p>
      <w:pPr>
        <w:ind w:left="1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11.15.10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xml:space="preserve"> Any Indemnitee against whom any Claim is made shall be entitled, after consultation with the Company and upon consultation with legal counsel wherein such Indemnitee is advised that such Claim is reasonably meritorious, to compromise or settle any such Claim if such Indemnitee determines in its reasonable discretion that failure to compromise or settle such Claim could reasonably subject such Indemnitee to criminal liability or is reasonably likely to have a material adverse effect on such Indemnitee, the Company, the Project or such Indemnitee's interest in the Project. Any such compromise or settlement shall be binding upon the Company for purposes of this </w:t>
      </w:r>
      <w:r>
        <w:rPr>
          <w:rFonts w:ascii="Times New Roman" w:cs="Times New Roman" w:eastAsia="Times New Roman" w:hAnsi="Times New Roman"/>
          <w:sz w:val="18"/>
          <w:szCs w:val="18"/>
          <w:i w:val="1"/>
          <w:iCs w:val="1"/>
          <w:color w:val="auto"/>
        </w:rPr>
        <w:t>Section 11.15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80" w:firstLine="351"/>
        <w:spacing w:after="0" w:line="302" w:lineRule="auto"/>
        <w:rPr>
          <w:sz w:val="20"/>
          <w:szCs w:val="20"/>
          <w:color w:val="auto"/>
        </w:rPr>
      </w:pPr>
      <w:r>
        <w:rPr>
          <w:rFonts w:ascii="Times New Roman" w:cs="Times New Roman" w:eastAsia="Times New Roman" w:hAnsi="Times New Roman"/>
          <w:sz w:val="16"/>
          <w:szCs w:val="16"/>
          <w:color w:val="auto"/>
        </w:rPr>
        <w:t xml:space="preserve">11.15.11 </w:t>
      </w:r>
      <w:r>
        <w:rPr>
          <w:rFonts w:ascii="Times New Roman" w:cs="Times New Roman" w:eastAsia="Times New Roman" w:hAnsi="Times New Roman"/>
          <w:sz w:val="16"/>
          <w:szCs w:val="16"/>
          <w:i w:val="1"/>
          <w:iCs w:val="1"/>
          <w:color w:val="auto"/>
        </w:rPr>
        <w:t>Subrogation.</w:t>
      </w:r>
      <w:r>
        <w:rPr>
          <w:rFonts w:ascii="Times New Roman" w:cs="Times New Roman" w:eastAsia="Times New Roman" w:hAnsi="Times New Roman"/>
          <w:sz w:val="16"/>
          <w:szCs w:val="16"/>
          <w:color w:val="auto"/>
        </w:rPr>
        <w:t xml:space="preserve"> Upon payment of any Claim by the Company pursuant to this </w:t>
      </w:r>
      <w:r>
        <w:rPr>
          <w:rFonts w:ascii="Times New Roman" w:cs="Times New Roman" w:eastAsia="Times New Roman" w:hAnsi="Times New Roman"/>
          <w:sz w:val="16"/>
          <w:szCs w:val="16"/>
          <w:i w:val="1"/>
          <w:iCs w:val="1"/>
          <w:color w:val="auto"/>
        </w:rPr>
        <w:t>Section 11.15</w:t>
      </w:r>
      <w:r>
        <w:rPr>
          <w:rFonts w:ascii="Times New Roman" w:cs="Times New Roman" w:eastAsia="Times New Roman" w:hAnsi="Times New Roman"/>
          <w:sz w:val="16"/>
          <w:szCs w:val="16"/>
          <w:color w:val="auto"/>
        </w:rPr>
        <w:t xml:space="preserve"> or other similar indemnity provisions contained herein to or on behalf of an Indemnitee, the Company, without any further action, shall be subrogated to any and all claims that such Indemnitee may have relating thereto, and such Indemnitee shall at the request and expense of the Company cooperate with the Company and give at the request and expense of the Company such further assurances as are reasonably necessary or advisable to enable the Company vigorously to pursue such claims.</w:t>
      </w:r>
    </w:p>
    <w:p>
      <w:pPr>
        <w:spacing w:after="0" w:line="1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6"/>
          <w:szCs w:val="16"/>
          <w:b w:val="1"/>
          <w:bCs w:val="1"/>
          <w:i w:val="1"/>
          <w:iCs w:val="1"/>
          <w:color w:val="auto"/>
        </w:rPr>
        <w:t>Agreements Among Funding Agents and Other Secured Parties.</w:t>
      </w:r>
    </w:p>
    <w:p>
      <w:pPr>
        <w:spacing w:after="0" w:line="227" w:lineRule="exact"/>
        <w:rPr>
          <w:sz w:val="20"/>
          <w:szCs w:val="20"/>
          <w:color w:val="auto"/>
        </w:rPr>
      </w:pPr>
    </w:p>
    <w:p>
      <w:pPr>
        <w:ind w:left="180" w:right="60" w:firstLine="351"/>
        <w:spacing w:after="0" w:line="287" w:lineRule="auto"/>
        <w:rPr>
          <w:sz w:val="20"/>
          <w:szCs w:val="20"/>
          <w:color w:val="auto"/>
        </w:rPr>
      </w:pPr>
      <w:r>
        <w:rPr>
          <w:rFonts w:ascii="Times New Roman" w:cs="Times New Roman" w:eastAsia="Times New Roman" w:hAnsi="Times New Roman"/>
          <w:sz w:val="16"/>
          <w:szCs w:val="16"/>
          <w:color w:val="auto"/>
        </w:rPr>
        <w:t xml:space="preserve">11.16.1 </w:t>
      </w:r>
      <w:r>
        <w:rPr>
          <w:rFonts w:ascii="Times New Roman" w:cs="Times New Roman" w:eastAsia="Times New Roman" w:hAnsi="Times New Roman"/>
          <w:sz w:val="16"/>
          <w:szCs w:val="16"/>
          <w:i w:val="1"/>
          <w:iCs w:val="1"/>
          <w:color w:val="auto"/>
        </w:rPr>
        <w:t>Intercreditor Agreements.</w:t>
      </w:r>
      <w:r>
        <w:rPr>
          <w:rFonts w:ascii="Times New Roman" w:cs="Times New Roman" w:eastAsia="Times New Roman" w:hAnsi="Times New Roman"/>
          <w:sz w:val="16"/>
          <w:szCs w:val="16"/>
          <w:color w:val="auto"/>
        </w:rPr>
        <w:t xml:space="preserve"> The Company acknowledges that (a) the Bank Agent and the Indenture Trustee have entered into the Project Lenders Intercreditor Agreement and (b) the Bank Agent, the Indenture Trustee and the FF&amp;E Agent have entered into the FF&amp;E Intercreditor Agreement, and agrees that the agreements set forth therein do not violate the Bank Agent's, the FF&amp;E Agent's or the Indenture Trustee's obligations to the Company under the Financing Agreements. The Company agrees not to take any action to invalidate or challenge the validity of, or assert in writing the invalidity of any provisions of the Intercreditor Agreements. Notwithstanding anything to the contrary contained herein or in any other Financing Agreement, (a) at such time that all Obligations under the Bank Credit Facility or under the Second Mortgage Notes Indenture have been indefeasibly paid or otherwise satisfied in full in immediately available funds and all Commitments thereunder have been terminated, each reference to the Project Lenders Intercreditor Agreement shall be of no further force or effect and (b) at such time as all Obligations under either (i) the Bank Credit Facility and the Second Mortgage Notes Indenture or (ii) the FF&amp;E Facility have been indefeasibly paid or otherwise satisfied in full in immediately available funds and all Commitments thereunder have been terminated, each reference to the FF&amp;E Intercreditor Agreement shall be of no further force or effect. Notwithstanding any other provision in this Agreement to the contrary, as among the Secured Parties, no provision hereof shall be deemed to relieve or in</w:t>
      </w:r>
    </w:p>
    <w:p>
      <w:pPr>
        <w:sectPr>
          <w:pgSz w:w="11900" w:h="16838" w:orient="portrait"/>
          <w:cols w:equalWidth="0" w:num="1">
            <w:col w:w="11040"/>
          </w:cols>
          <w:pgMar w:left="600" w:top="125" w:right="259" w:bottom="0" w:gutter="0" w:footer="0" w:header="0"/>
        </w:sectPr>
      </w:pPr>
    </w:p>
    <w:bookmarkStart w:id="56" w:name="page57"/>
    <w:bookmarkEnd w:id="56"/>
    <w:p>
      <w:pPr>
        <w:ind w:left="540" w:right="180"/>
        <w:spacing w:after="0" w:line="275" w:lineRule="auto"/>
        <w:rPr>
          <w:sz w:val="20"/>
          <w:szCs w:val="20"/>
          <w:color w:val="auto"/>
        </w:rPr>
      </w:pPr>
      <w:r>
        <w:rPr>
          <w:rFonts w:ascii="Times New Roman" w:cs="Times New Roman" w:eastAsia="Times New Roman" w:hAnsi="Times New Roman"/>
          <w:sz w:val="18"/>
          <w:szCs w:val="18"/>
          <w:color w:val="auto"/>
        </w:rPr>
        <w:t>any way affect the Secured Parties' respective obligations or liabilities under the Intercreditor Agreements. The Company is not a third party beneficiary of the Intercreditor Agreements and shall have no right to enforce the same against any party.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11.16.2 </w:t>
      </w: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xml:space="preserve"> Each Funding Agent agrees with each of the other Funding Agents that it will, upon request, provide such information to the other Funding Agents and the Disbursement Agent as may be necessary to enable them to make any calculation required under the Financing Agreements.</w:t>
      </w:r>
    </w:p>
    <w:p>
      <w:pPr>
        <w:spacing w:after="0" w:line="181" w:lineRule="exact"/>
        <w:rPr>
          <w:sz w:val="20"/>
          <w:szCs w:val="20"/>
          <w:color w:val="auto"/>
        </w:rPr>
      </w:pPr>
    </w:p>
    <w:p>
      <w:pPr>
        <w:ind w:left="540" w:right="3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11.16.3 </w:t>
      </w:r>
      <w:r>
        <w:rPr>
          <w:rFonts w:ascii="Times New Roman" w:cs="Times New Roman" w:eastAsia="Times New Roman" w:hAnsi="Times New Roman"/>
          <w:sz w:val="18"/>
          <w:szCs w:val="18"/>
          <w:i w:val="1"/>
          <w:iCs w:val="1"/>
          <w:color w:val="auto"/>
        </w:rPr>
        <w:t>Termination of Commitments.</w:t>
      </w:r>
      <w:r>
        <w:rPr>
          <w:rFonts w:ascii="Times New Roman" w:cs="Times New Roman" w:eastAsia="Times New Roman" w:hAnsi="Times New Roman"/>
          <w:sz w:val="18"/>
          <w:szCs w:val="18"/>
          <w:color w:val="auto"/>
        </w:rPr>
        <w:t xml:space="preserve"> Each of the Bank Agent and the FF&amp;E Agent agree with each of the other Funding Agents that it will provide notice to each other Funding Agent and the Disbursement Agent of any termination of their respective Commitments within three (3) Banking Days of such termination.</w:t>
      </w:r>
    </w:p>
    <w:p>
      <w:pPr>
        <w:spacing w:after="0" w:line="179" w:lineRule="exact"/>
        <w:rPr>
          <w:sz w:val="20"/>
          <w:szCs w:val="20"/>
          <w:color w:val="auto"/>
        </w:rPr>
      </w:pPr>
    </w:p>
    <w:p>
      <w:pPr>
        <w:ind w:right="440" w:firstLine="351"/>
        <w:spacing w:after="0" w:line="280"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xml:space="preserve"> This Agreement may be executed in one or more duplicate counterparts (including by facsimile) and when signed by all of the parties listed below shall constitute a single binding agreement.</w:t>
      </w:r>
    </w:p>
    <w:p>
      <w:pPr>
        <w:spacing w:after="0" w:line="165" w:lineRule="exact"/>
        <w:rPr>
          <w:sz w:val="20"/>
          <w:szCs w:val="20"/>
          <w:color w:val="auto"/>
        </w:rPr>
      </w:pPr>
    </w:p>
    <w:p>
      <w:pPr>
        <w:ind w:right="300" w:firstLine="351"/>
        <w:spacing w:after="0" w:line="265" w:lineRule="auto"/>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xml:space="preserve"> This Agreement shall, subject to </w:t>
      </w:r>
      <w:r>
        <w:rPr>
          <w:rFonts w:ascii="Times New Roman" w:cs="Times New Roman" w:eastAsia="Times New Roman" w:hAnsi="Times New Roman"/>
          <w:sz w:val="18"/>
          <w:szCs w:val="18"/>
          <w:i w:val="1"/>
          <w:iCs w:val="1"/>
          <w:color w:val="auto"/>
        </w:rPr>
        <w:t>Section 11.13</w:t>
      </w:r>
      <w:r>
        <w:rPr>
          <w:rFonts w:ascii="Times New Roman" w:cs="Times New Roman" w:eastAsia="Times New Roman" w:hAnsi="Times New Roman"/>
          <w:sz w:val="18"/>
          <w:szCs w:val="18"/>
          <w:color w:val="auto"/>
        </w:rPr>
        <w:t xml:space="preserve"> and to the next sentence, terminate and be of no further force or effect upon completion of the transfer and release of funds contemplated by </w:t>
      </w:r>
      <w:r>
        <w:rPr>
          <w:rFonts w:ascii="Times New Roman" w:cs="Times New Roman" w:eastAsia="Times New Roman" w:hAnsi="Times New Roman"/>
          <w:sz w:val="18"/>
          <w:szCs w:val="18"/>
          <w:i w:val="1"/>
          <w:iCs w:val="1"/>
          <w:color w:val="auto"/>
        </w:rPr>
        <w:t>Section 2.9</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i w:val="1"/>
          <w:iCs w:val="1"/>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11.15</w:t>
      </w:r>
      <w:r>
        <w:rPr>
          <w:rFonts w:ascii="Times New Roman" w:cs="Times New Roman" w:eastAsia="Times New Roman" w:hAnsi="Times New Roman"/>
          <w:sz w:val="18"/>
          <w:szCs w:val="18"/>
          <w:color w:val="auto"/>
        </w:rPr>
        <w:t xml:space="preserve"> shall survive the termination of this Agreement.</w:t>
      </w:r>
    </w:p>
    <w:p>
      <w:pPr>
        <w:spacing w:after="0" w:line="181"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6"/>
          <w:szCs w:val="16"/>
          <w:i w:val="1"/>
          <w:iCs w:val="1"/>
          <w:color w:val="auto"/>
        </w:rPr>
        <w:t>Amendments.</w:t>
      </w:r>
    </w:p>
    <w:p>
      <w:pPr>
        <w:spacing w:after="0" w:line="227" w:lineRule="exact"/>
        <w:rPr>
          <w:sz w:val="20"/>
          <w:szCs w:val="20"/>
          <w:color w:val="auto"/>
        </w:rPr>
      </w:pPr>
    </w:p>
    <w:p>
      <w:pPr>
        <w:ind w:right="20" w:firstLine="351"/>
        <w:spacing w:after="0" w:line="283" w:lineRule="auto"/>
        <w:rPr>
          <w:sz w:val="20"/>
          <w:szCs w:val="20"/>
          <w:color w:val="auto"/>
        </w:rPr>
      </w:pPr>
      <w:r>
        <w:rPr>
          <w:rFonts w:ascii="Times New Roman" w:cs="Times New Roman" w:eastAsia="Times New Roman" w:hAnsi="Times New Roman"/>
          <w:sz w:val="16"/>
          <w:szCs w:val="16"/>
          <w:color w:val="auto"/>
        </w:rPr>
        <w:t xml:space="preserve">From and after the initial Advance under the Bank Credit Facility, the Bank Agent, acting at the direction of the Bank Lenders (and without the consent of the Indenture Trustee or the FF&amp;E Agent), may from time to time agree with the Company to amend the requirements set forth on </w:t>
      </w:r>
      <w:r>
        <w:rPr>
          <w:rFonts w:ascii="Times New Roman" w:cs="Times New Roman" w:eastAsia="Times New Roman" w:hAnsi="Times New Roman"/>
          <w:sz w:val="16"/>
          <w:szCs w:val="16"/>
          <w:i w:val="1"/>
          <w:iCs w:val="1"/>
          <w:color w:val="auto"/>
        </w:rPr>
        <w:t>Exhibit X-1</w:t>
      </w:r>
      <w:r>
        <w:rPr>
          <w:rFonts w:ascii="Times New Roman" w:cs="Times New Roman" w:eastAsia="Times New Roman" w:hAnsi="Times New Roman"/>
          <w:sz w:val="16"/>
          <w:szCs w:val="16"/>
          <w:color w:val="auto"/>
        </w:rPr>
        <w:t xml:space="preserve">; provided, however, that no such amendment shall cause the standards set forth in </w:t>
      </w:r>
      <w:r>
        <w:rPr>
          <w:rFonts w:ascii="Times New Roman" w:cs="Times New Roman" w:eastAsia="Times New Roman" w:hAnsi="Times New Roman"/>
          <w:sz w:val="16"/>
          <w:szCs w:val="16"/>
          <w:i w:val="1"/>
          <w:iCs w:val="1"/>
          <w:color w:val="auto"/>
        </w:rPr>
        <w:t>Exhibit X-1</w:t>
      </w:r>
      <w:r>
        <w:rPr>
          <w:rFonts w:ascii="Times New Roman" w:cs="Times New Roman" w:eastAsia="Times New Roman" w:hAnsi="Times New Roman"/>
          <w:sz w:val="16"/>
          <w:szCs w:val="16"/>
          <w:color w:val="auto"/>
        </w:rPr>
        <w:t xml:space="preserve"> to be lower than the standards set forth in </w:t>
      </w:r>
      <w:r>
        <w:rPr>
          <w:rFonts w:ascii="Times New Roman" w:cs="Times New Roman" w:eastAsia="Times New Roman" w:hAnsi="Times New Roman"/>
          <w:sz w:val="16"/>
          <w:szCs w:val="16"/>
          <w:i w:val="1"/>
          <w:iCs w:val="1"/>
          <w:color w:val="auto"/>
        </w:rPr>
        <w:t>Exhibit X-2</w:t>
      </w:r>
      <w:r>
        <w:rPr>
          <w:rFonts w:ascii="Times New Roman" w:cs="Times New Roman" w:eastAsia="Times New Roman" w:hAnsi="Times New Roman"/>
          <w:sz w:val="16"/>
          <w:szCs w:val="16"/>
          <w:color w:val="auto"/>
        </w:rPr>
        <w:t xml:space="preserve">. From and after the initial Advance under the Bank Credit Facility, the Bank Agent and the FF&amp;E Agent may, without the consent of the Indenture Trustee, amend the Disbursement Agreement or waive any Potential Event of Default or Event of Default by or with respect to the Company or any Loan Party; provided, however, that without the consent of the holders of a majority (in aggregate principal amount) of the Second Mortgage Notes, (i) such waiver of any Potential Event of Default or Event of Default must be made not later than one hundred eighty (180) days following the applicable date notice of such Potential Event of Default or Event of Default was delivered to the Disbursement Agent pursuant to </w:t>
      </w:r>
      <w:r>
        <w:rPr>
          <w:rFonts w:ascii="Times New Roman" w:cs="Times New Roman" w:eastAsia="Times New Roman" w:hAnsi="Times New Roman"/>
          <w:sz w:val="16"/>
          <w:szCs w:val="16"/>
          <w:i w:val="1"/>
          <w:iCs w:val="1"/>
          <w:color w:val="auto"/>
        </w:rPr>
        <w:t>Section 5.7.1</w:t>
      </w:r>
      <w:r>
        <w:rPr>
          <w:rFonts w:ascii="Times New Roman" w:cs="Times New Roman" w:eastAsia="Times New Roman" w:hAnsi="Times New Roman"/>
          <w:sz w:val="16"/>
          <w:szCs w:val="16"/>
          <w:color w:val="auto"/>
        </w:rPr>
        <w:t>, or, if no such notice was delivered, the date of occurrence of such Potential Event of Default or Event of Default, (ii) neither the Bank Agent nor the FF&amp;E Agent shall waive any Potential Event of Default or Event of Default which otherwise independently (not by cross-default or cross-reference to another agreement) constitutes a default or event of default under the Second Mortgage Notes Indenture,</w:t>
      </w:r>
    </w:p>
    <w:p>
      <w:pPr>
        <w:spacing w:after="0" w:line="4" w:lineRule="exact"/>
        <w:rPr>
          <w:sz w:val="20"/>
          <w:szCs w:val="20"/>
          <w:color w:val="auto"/>
        </w:rPr>
      </w:pPr>
    </w:p>
    <w:p>
      <w:pPr>
        <w:ind w:firstLine="8"/>
        <w:spacing w:after="0" w:line="254" w:lineRule="auto"/>
        <w:tabs>
          <w:tab w:leader="none" w:pos="30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Bank Agent nor the FF&amp;E Agent shall amend the definition of or the conditions or circumstances requiring a Required Scope Change Approval nor waive any Potential Event of Default or Event of Default resulting from, or any condition relating to, implementation of a Scope Change for which a Required Scope Change Approval is required pursuant to </w:t>
      </w:r>
      <w:r>
        <w:rPr>
          <w:rFonts w:ascii="Times New Roman" w:cs="Times New Roman" w:eastAsia="Times New Roman" w:hAnsi="Times New Roman"/>
          <w:sz w:val="18"/>
          <w:szCs w:val="18"/>
          <w:i w:val="1"/>
          <w:iCs w:val="1"/>
          <w:color w:val="auto"/>
        </w:rPr>
        <w:t>Section 6.2.1</w:t>
      </w:r>
      <w:r>
        <w:rPr>
          <w:rFonts w:ascii="Times New Roman" w:cs="Times New Roman" w:eastAsia="Times New Roman" w:hAnsi="Times New Roman"/>
          <w:sz w:val="18"/>
          <w:szCs w:val="18"/>
          <w:color w:val="auto"/>
        </w:rPr>
        <w:t xml:space="preserve"> or (iv) amend or waive any Potential Event of Default or Event of Default under </w:t>
      </w:r>
      <w:r>
        <w:rPr>
          <w:rFonts w:ascii="Times New Roman" w:cs="Times New Roman" w:eastAsia="Times New Roman" w:hAnsi="Times New Roman"/>
          <w:sz w:val="18"/>
          <w:szCs w:val="18"/>
          <w:i w:val="1"/>
          <w:iCs w:val="1"/>
          <w:color w:val="auto"/>
        </w:rPr>
        <w:t>Section 7.1.2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Section 7.1.11 </w:t>
      </w:r>
      <w:r>
        <w:rPr>
          <w:rFonts w:ascii="Times New Roman" w:cs="Times New Roman" w:eastAsia="Times New Roman" w:hAnsi="Times New Roman"/>
          <w:sz w:val="18"/>
          <w:szCs w:val="18"/>
          <w:color w:val="auto"/>
        </w:rPr>
        <w:t>or amend or waive any provision so as to effect an amendment or waiver of such Sections.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(a) Except as otherwise provided in clause (a) above, any amendment to this Agreement must be in writing and must be signed by each party hereto.</w:t>
      </w:r>
    </w:p>
    <w:p>
      <w:pPr>
        <w:spacing w:after="0" w:line="244"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11.20 </w:t>
      </w:r>
      <w:r>
        <w:rPr>
          <w:rFonts w:ascii="Times New Roman" w:cs="Times New Roman" w:eastAsia="Times New Roman" w:hAnsi="Times New Roman"/>
          <w:sz w:val="18"/>
          <w:szCs w:val="18"/>
          <w:b w:val="1"/>
          <w:bCs w:val="1"/>
          <w:i w:val="1"/>
          <w:iCs w:val="1"/>
          <w:color w:val="auto"/>
        </w:rPr>
        <w:t>Suretyship Waivers.</w:t>
      </w:r>
      <w:r>
        <w:rPr>
          <w:rFonts w:ascii="Times New Roman" w:cs="Times New Roman" w:eastAsia="Times New Roman" w:hAnsi="Times New Roman"/>
          <w:sz w:val="18"/>
          <w:szCs w:val="18"/>
          <w:color w:val="auto"/>
        </w:rPr>
        <w:t xml:space="preserve"> Each of Wynn Las Vegas Capital Corp. and Wynn Design hereby waives any and all defenses available to a surety or guarantor, whether arising as a result of the joint and several liability hereunder or otherwise. Without limiting the generality of the foregoing, the waivers of the guarantors under Section 2.5 of the Bank Guarantee and Collateral Agreement and the "FF&amp;E Guaranty" (as defined in the FF&amp;E Facility Agreement) are hereby incorporated herein by this reference mutatis mutandis and such waivers shall be deemed to be made by Wynn Las Vegas Capital Corp. and Wynn Design hereunder as if such waivers had been expressly set forth 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officers thereunto duly authorized as of the day and year first above written.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Wynn Resorts Holdings, LLC,</w:t>
            </w:r>
          </w:p>
        </w:tc>
        <w:tc>
          <w:tcPr>
            <w:tcW w:w="37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3740" w:type="dxa"/>
            <w:vAlign w:val="bottom"/>
          </w:tcPr>
          <w:p>
            <w:pPr>
              <w:spacing w:after="0"/>
              <w:rPr>
                <w:sz w:val="18"/>
                <w:szCs w:val="18"/>
                <w:color w:val="auto"/>
              </w:rPr>
            </w:pPr>
          </w:p>
        </w:tc>
      </w:tr>
      <w:tr>
        <w:trPr>
          <w:trHeight w:val="228"/>
        </w:trPr>
        <w:tc>
          <w:tcPr>
            <w:tcW w:w="600" w:type="dxa"/>
            <w:vAlign w:val="bottom"/>
          </w:tcPr>
          <w:p>
            <w:pPr>
              <w:spacing w:after="0"/>
              <w:rPr>
                <w:sz w:val="19"/>
                <w:szCs w:val="19"/>
                <w:color w:val="auto"/>
              </w:rPr>
            </w:pP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its sole member</w:t>
            </w:r>
          </w:p>
        </w:tc>
        <w:tc>
          <w:tcPr>
            <w:tcW w:w="12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20"/>
        </w:trPr>
        <w:tc>
          <w:tcPr>
            <w:tcW w:w="60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Valvino Lamore, LLC,</w:t>
            </w:r>
          </w:p>
        </w:tc>
        <w:tc>
          <w:tcPr>
            <w:tcW w:w="37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 Nevada limited liability company,</w:t>
            </w:r>
          </w:p>
        </w:tc>
      </w:tr>
      <w:tr>
        <w:trPr>
          <w:trHeight w:val="228"/>
        </w:trPr>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its sole member</w:t>
            </w:r>
          </w:p>
        </w:tc>
        <w:tc>
          <w:tcPr>
            <w:tcW w:w="3740" w:type="dxa"/>
            <w:vAlign w:val="bottom"/>
          </w:tcPr>
          <w:p>
            <w:pPr>
              <w:spacing w:after="0"/>
              <w:rPr>
                <w:sz w:val="19"/>
                <w:szCs w:val="19"/>
                <w:color w:val="auto"/>
              </w:rPr>
            </w:pPr>
          </w:p>
        </w:tc>
      </w:tr>
      <w:tr>
        <w:trPr>
          <w:trHeight w:val="420"/>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6"/>
        </w:trPr>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228"/>
        </w:trPr>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32"/>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r>
      <w:tr>
        <w:trPr>
          <w:trHeight w:val="31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120"/>
        </w:trPr>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r>
      <w:tr>
        <w:trPr>
          <w:trHeight w:val="319"/>
        </w:trPr>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0"/>
        </w:trPr>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-597535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-597535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-306070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-306070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7" w:name="page58"/>
    <w:bookmarkEnd w:id="57"/>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LAS VEGAS CAPITAL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920" w:type="dxa"/>
            <w:vAlign w:val="bottom"/>
          </w:tcPr>
          <w:p>
            <w:pPr>
              <w:spacing w:after="0"/>
              <w:rPr>
                <w:sz w:val="10"/>
                <w:szCs w:val="10"/>
                <w:color w:val="auto"/>
              </w:rPr>
            </w:pPr>
          </w:p>
        </w:tc>
        <w:tc>
          <w:tcPr>
            <w:tcW w:w="1740" w:type="dxa"/>
            <w:vAlign w:val="bottom"/>
            <w:tcBorders>
              <w:bottom w:val="single" w:sz="8" w:color="808080"/>
            </w:tcBorders>
            <w:gridSpan w:val="2"/>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740" w:type="dxa"/>
            <w:vAlign w:val="bottom"/>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Stephen A. Wynn</w:t>
            </w:r>
          </w:p>
        </w:tc>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20"/>
        </w:trPr>
        <w:tc>
          <w:tcPr>
            <w:tcW w:w="920" w:type="dxa"/>
            <w:vAlign w:val="bottom"/>
          </w:tcPr>
          <w:p>
            <w:pPr>
              <w:spacing w:after="0"/>
              <w:rPr>
                <w:sz w:val="10"/>
                <w:szCs w:val="10"/>
                <w:color w:val="auto"/>
              </w:rPr>
            </w:pPr>
          </w:p>
        </w:tc>
        <w:tc>
          <w:tcPr>
            <w:tcW w:w="1740" w:type="dxa"/>
            <w:vAlign w:val="bottom"/>
            <w:tcBorders>
              <w:bottom w:val="single" w:sz="8" w:color="808080"/>
            </w:tcBorders>
            <w:gridSpan w:val="2"/>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740" w:type="dxa"/>
            <w:vAlign w:val="bottom"/>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w:t>
            </w:r>
          </w:p>
        </w:tc>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gridSpan w:val="3"/>
          </w:tcPr>
          <w:p>
            <w:pPr>
              <w:spacing w:after="0"/>
              <w:rPr>
                <w:sz w:val="10"/>
                <w:szCs w:val="10"/>
                <w:color w:val="auto"/>
              </w:rPr>
            </w:pPr>
          </w:p>
        </w:tc>
        <w:tc>
          <w:tcPr>
            <w:tcW w:w="3740" w:type="dxa"/>
            <w:vAlign w:val="bottom"/>
          </w:tcPr>
          <w:p>
            <w:pPr>
              <w:spacing w:after="0"/>
              <w:rPr>
                <w:sz w:val="10"/>
                <w:szCs w:val="10"/>
                <w:color w:val="auto"/>
              </w:rPr>
            </w:pPr>
          </w:p>
        </w:tc>
      </w:tr>
      <w:tr>
        <w:trPr>
          <w:trHeight w:val="550"/>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WYNN DESIGN &amp; DEVELOPMENT, LLC,</w:t>
            </w:r>
          </w:p>
        </w:tc>
      </w:tr>
      <w:tr>
        <w:trPr>
          <w:trHeight w:val="228"/>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9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2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Valvino Lamore, LLC,</w:t>
            </w:r>
          </w:p>
        </w:tc>
        <w:tc>
          <w:tcPr>
            <w:tcW w:w="9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r>
      <w:tr>
        <w:trPr>
          <w:trHeight w:val="228"/>
        </w:trPr>
        <w:tc>
          <w:tcPr>
            <w:tcW w:w="92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9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20"/>
        </w:trPr>
        <w:tc>
          <w:tcPr>
            <w:tcW w:w="9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228"/>
        </w:trPr>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32"/>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60" w:type="dxa"/>
            <w:vAlign w:val="bottom"/>
            <w:tcBorders>
              <w:bottom w:val="single" w:sz="8" w:color="808080"/>
            </w:tcBorders>
            <w:gridSpan w:val="2"/>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120"/>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60" w:type="dxa"/>
            <w:vAlign w:val="bottom"/>
            <w:tcBorders>
              <w:bottom w:val="single" w:sz="8" w:color="808080"/>
            </w:tcBorders>
            <w:gridSpan w:val="2"/>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0"/>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-3135630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-3135630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-2844165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-2844165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-2552700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-2552700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-597535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-597535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-306070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-306070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AGENT: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GEORGE REYNOLDS</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George Reynolds</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-597535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-597535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-306070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-306070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MICHAEL G. SLADE</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Michael G. Slade</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Trust Officer</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-597535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-597535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-306070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-306070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DISBURSEMENT AGENT: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GEORGE REYNOLDS</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George Reynolds</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-597535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-597535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-306070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-306070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FF&amp;E AGENT: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BANK NEVADA, NATIONAL ASSOCIATION,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 SCOTT NIELSEN</w:t>
            </w:r>
          </w:p>
        </w:tc>
      </w:tr>
      <w:tr>
        <w:trPr>
          <w:trHeight w:val="120"/>
        </w:trPr>
        <w:tc>
          <w:tcPr>
            <w:tcW w:w="920" w:type="dxa"/>
            <w:vAlign w:val="bottom"/>
          </w:tcPr>
          <w:p>
            <w:pPr>
              <w:spacing w:after="0"/>
              <w:rPr>
                <w:sz w:val="10"/>
                <w:szCs w:val="10"/>
                <w:color w:val="auto"/>
              </w:rPr>
            </w:pPr>
          </w:p>
        </w:tc>
        <w:tc>
          <w:tcPr>
            <w:tcW w:w="2660" w:type="dxa"/>
            <w:vAlign w:val="bottom"/>
            <w:tcBorders>
              <w:bottom w:val="single" w:sz="8" w:color="808080"/>
            </w:tcBorders>
            <w:gridSpan w:val="2"/>
          </w:tcPr>
          <w:p>
            <w:pPr>
              <w:spacing w:after="0"/>
              <w:rPr>
                <w:sz w:val="10"/>
                <w:szCs w:val="1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 Scott Nielsen</w:t>
            </w:r>
          </w:p>
        </w:tc>
      </w:tr>
      <w:tr>
        <w:trPr>
          <w:trHeight w:val="120"/>
        </w:trPr>
        <w:tc>
          <w:tcPr>
            <w:tcW w:w="9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-306070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-306070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0219"/>
          </w:cols>
          <w:pgMar w:left="240" w:top="366" w:right="1440" w:bottom="0" w:gutter="0" w:footer="0" w:header="0"/>
        </w:sectPr>
      </w:pPr>
    </w:p>
    <w:bookmarkStart w:id="58" w:name="page59"/>
    <w:bookmarkEnd w:id="58"/>
    <w:p>
      <w:pPr>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81280</wp:posOffset>
            </wp:positionV>
            <wp:extent cx="169354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935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 to the</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Disbursement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"Additional Contract Certificate" means an Additional Contract Certificate in the form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"Additional Land" shall have the meaning given in the Bank Credit Agreement.</w:t>
      </w:r>
    </w:p>
    <w:p>
      <w:pPr>
        <w:spacing w:after="0" w:line="225"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"Additional Project Document" means any other document or agreement entered into after the Closing Date, relating to the development, construction, maintenance or operation of the Project (other than the Financing Agreements but including, without limitation, any lease or license of any portion of the Project).</w:t>
      </w:r>
    </w:p>
    <w:p>
      <w:pPr>
        <w:spacing w:after="0" w:line="128"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 xml:space="preserve">"Advance" means (a) with respect to the Bank Credit Facility, an advance of Loans deposited in the Disbursement Account or a transfer of funds from the Bank Proceeds Account to the Disbursement Account or the issuance of a Letter of Credit, (b) with respect to the Second Mortgage Notes, a transfer of funds from the Second Mortgage Notes Proceeds Account to the Disbursement Account or for the payment of Debt Service on the Second Mortgage Notes as provided in </w:t>
      </w:r>
      <w:r>
        <w:rPr>
          <w:rFonts w:ascii="Times New Roman" w:cs="Times New Roman" w:eastAsia="Times New Roman" w:hAnsi="Times New Roman"/>
          <w:sz w:val="18"/>
          <w:szCs w:val="18"/>
          <w:i w:val="1"/>
          <w:iCs w:val="1"/>
          <w:color w:val="auto"/>
        </w:rPr>
        <w:t>Section 2.5.6</w:t>
      </w:r>
      <w:r>
        <w:rPr>
          <w:rFonts w:ascii="Times New Roman" w:cs="Times New Roman" w:eastAsia="Times New Roman" w:hAnsi="Times New Roman"/>
          <w:sz w:val="18"/>
          <w:szCs w:val="18"/>
          <w:color w:val="auto"/>
        </w:rPr>
        <w:t xml:space="preserve">, (c) with respect to the FF&amp;E Facility, (i) an advance of Loans deposited in the FF&amp;E Proceeds Account (or with respect to the FF&amp;E Reimbursement Advance, deposited in the Company's Funds Account), (ii) the advance of Loans in the amount of $38,000,000 to refinance the purchase of the Aircraft and (iii) the advance of Loans in the amount of up to $10,000,000 to finance the cost of the replacement Aircraft pursuant to </w:t>
      </w:r>
      <w:r>
        <w:rPr>
          <w:rFonts w:ascii="Times New Roman" w:cs="Times New Roman" w:eastAsia="Times New Roman" w:hAnsi="Times New Roman"/>
          <w:sz w:val="18"/>
          <w:szCs w:val="18"/>
          <w:i w:val="1"/>
          <w:iCs w:val="1"/>
          <w:color w:val="auto"/>
        </w:rPr>
        <w:t>Section 7.5(p)</w:t>
      </w:r>
      <w:r>
        <w:rPr>
          <w:rFonts w:ascii="Times New Roman" w:cs="Times New Roman" w:eastAsia="Times New Roman" w:hAnsi="Times New Roman"/>
          <w:sz w:val="18"/>
          <w:szCs w:val="18"/>
          <w:color w:val="auto"/>
        </w:rPr>
        <w:t xml:space="preserve"> of the FF&amp;E Facility Agreement to the extent such cost exceeds the proceeds from the sale of the existing Aircraft, and (d) with respect to amounts on deposit in the Company's Funds Account, a release of funds from the Company's Funds Account and (e) a transfer of funds from the Completion Guaranty Deposit Account pursuant to </w:t>
      </w:r>
      <w:r>
        <w:rPr>
          <w:rFonts w:ascii="Times New Roman" w:cs="Times New Roman" w:eastAsia="Times New Roman" w:hAnsi="Times New Roman"/>
          <w:sz w:val="18"/>
          <w:szCs w:val="18"/>
          <w:i w:val="1"/>
          <w:iCs w:val="1"/>
          <w:color w:val="auto"/>
        </w:rPr>
        <w:t>Section 2.5.4(d)</w:t>
      </w:r>
      <w:r>
        <w:rPr>
          <w:rFonts w:ascii="Times New Roman" w:cs="Times New Roman" w:eastAsia="Times New Roman" w:hAnsi="Times New Roman"/>
          <w:sz w:val="18"/>
          <w:szCs w:val="18"/>
          <w:color w:val="auto"/>
        </w:rPr>
        <w:t xml:space="preserve">, in each case, made pursuant to </w:t>
      </w:r>
      <w:r>
        <w:rPr>
          <w:rFonts w:ascii="Times New Roman" w:cs="Times New Roman" w:eastAsia="Times New Roman" w:hAnsi="Times New Roman"/>
          <w:sz w:val="18"/>
          <w:szCs w:val="18"/>
          <w:i w:val="1"/>
          <w:iCs w:val="1"/>
          <w:color w:val="auto"/>
        </w:rPr>
        <w:t>Article 2</w:t>
      </w:r>
      <w:r>
        <w:rPr>
          <w:rFonts w:ascii="Times New Roman" w:cs="Times New Roman" w:eastAsia="Times New Roman" w:hAnsi="Times New Roman"/>
          <w:sz w:val="18"/>
          <w:szCs w:val="18"/>
          <w:color w:val="auto"/>
        </w:rPr>
        <w:t xml:space="preserve"> of the Disbursement Agreement and (except with respect to funds on deposit in the Company's Funds Account) the applicable Facility Agreements under which all or any part of such Advance is requested.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"Advance Confirmation Notice" has the meaning given in </w:t>
      </w:r>
      <w:r>
        <w:rPr>
          <w:rFonts w:ascii="Times New Roman" w:cs="Times New Roman" w:eastAsia="Times New Roman" w:hAnsi="Times New Roman"/>
          <w:sz w:val="18"/>
          <w:szCs w:val="18"/>
          <w:i w:val="1"/>
          <w:iCs w:val="1"/>
          <w:color w:val="auto"/>
        </w:rPr>
        <w:t>Section 2.4.3(a)(i)</w:t>
      </w:r>
      <w:r>
        <w:rPr>
          <w:rFonts w:ascii="Times New Roman" w:cs="Times New Roman" w:eastAsia="Times New Roman" w:hAnsi="Times New Roman"/>
          <w:sz w:val="18"/>
          <w:szCs w:val="18"/>
          <w:color w:val="auto"/>
        </w:rPr>
        <w:t xml:space="preserve"> of the Disbursement Agreement.</w:t>
      </w:r>
    </w:p>
    <w:p>
      <w:pPr>
        <w:spacing w:after="0" w:line="225"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"Advance Date" means the date on which an Advance is required to be deposited in the Disbursement Account pursuant to </w:t>
      </w:r>
      <w:r>
        <w:rPr>
          <w:rFonts w:ascii="Times New Roman" w:cs="Times New Roman" w:eastAsia="Times New Roman" w:hAnsi="Times New Roman"/>
          <w:sz w:val="18"/>
          <w:szCs w:val="18"/>
          <w:i w:val="1"/>
          <w:iCs w:val="1"/>
          <w:color w:val="auto"/>
        </w:rPr>
        <w:t>Section 2.4.4(a)(ii)</w:t>
      </w:r>
      <w:r>
        <w:rPr>
          <w:rFonts w:ascii="Times New Roman" w:cs="Times New Roman" w:eastAsia="Times New Roman" w:hAnsi="Times New Roman"/>
          <w:sz w:val="18"/>
          <w:szCs w:val="18"/>
          <w:color w:val="auto"/>
        </w:rPr>
        <w:t xml:space="preserve"> of the Disbursement Agreement.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"Advance Request" means an advance request and certificate in the form of </w:t>
      </w:r>
      <w:r>
        <w:rPr>
          <w:rFonts w:ascii="Times New Roman" w:cs="Times New Roman" w:eastAsia="Times New Roman" w:hAnsi="Times New Roman"/>
          <w:sz w:val="18"/>
          <w:szCs w:val="18"/>
          <w:i w:val="1"/>
          <w:iCs w:val="1"/>
          <w:color w:val="auto"/>
        </w:rPr>
        <w:t>Exhibit C-1</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"Affiliate"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93"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"Affiliate Real Estate Agreements" means, collectively, the Golf Course Lease, the Driving Range Lease, the Parking Facility Lease, the Shuttle Easement, the Building Lease, the Art Gallery Lease and the Dealership Lease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"Aircraft" has the meaning given in the FF&amp;E Facility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"Anticipated Cost Report" means a cost report in the format of the Summary Anticipated Cost Report but which, instead of setting forth the indicated information for each Line Item Category, sets forth the indicated information for each Line Item.</w:t>
      </w:r>
    </w:p>
    <w:p>
      <w:pPr>
        <w:spacing w:after="0" w:line="174"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"Anticipated Earnings" means, at any time, with respect to the Second Mortgage Notes Proceeds Account, the Company's Funds Account, the Completion Guaranty Deposit Account and the Project Liquidity Reserve Account, respectively, the amount of investment income which the Company reasonably determines with the concurrence of the Disbursement Agent (acting in its sole discretion exercised in good faith) will accrue on the funds in each such Company Account through the anticipated Completion Date, taking into account the current and future anticipated rates of return on Permitted Investments in such Company Accounts and the anticipated times and amounts of draws from each such Company Account for the payment of Project Costs.</w:t>
      </w:r>
    </w:p>
    <w:p>
      <w:pPr>
        <w:spacing w:after="0" w:line="193"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"Appraisal" means any appraisal of the FF&amp;E Component received by the FF&amp;E Agent pursuant to clause (d) of the definition of "Completion" from Tech EquipLease, Inc., or such other Person as the FF&amp;E Agent may select.</w:t>
      </w:r>
    </w:p>
    <w:p>
      <w:pPr>
        <w:spacing w:after="0" w:line="174"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"Aqua Theater Design Services Agreement" means that certain Professional Design Services Agreement dated as of October 12, 2001 between the Aqua Theater Designer and Wynn Las Vegas.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"Aqua Theater Designer" means Marnell Architecture, a Professional Corporation, a Nevada corporation (fka AA Marnell II, Chtd.).</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"Aqua Theater Designer's Advance Certificate" means a certificate in the form of </w:t>
      </w:r>
      <w:r>
        <w:rPr>
          <w:rFonts w:ascii="Times New Roman" w:cs="Times New Roman" w:eastAsia="Times New Roman" w:hAnsi="Times New Roman"/>
          <w:sz w:val="18"/>
          <w:szCs w:val="18"/>
          <w:i w:val="1"/>
          <w:iCs w:val="1"/>
          <w:color w:val="auto"/>
        </w:rPr>
        <w:t>Exhibit C-6</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"Art Gallery Lease Agreement" means that certain Lease Agreement between Valvino and Wynn Resorts Holdings dated as of November 1, 2001.</w:t>
      </w:r>
    </w:p>
    <w:p>
      <w:pPr>
        <w:spacing w:after="0" w:line="22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"Availability Period" shall mean the period commencing on the Closing Date and ending on the earlier to occur of (a) the Final Completion Date and (b) the Outside Completion Deadline.</w:t>
      </w:r>
    </w:p>
    <w:p>
      <w:pPr>
        <w:sectPr>
          <w:pgSz w:w="11900" w:h="16838" w:orient="portrait"/>
          <w:cols w:equalWidth="0" w:num="1">
            <w:col w:w="11420"/>
          </w:cols>
          <w:pgMar w:left="240" w:top="193" w:right="239" w:bottom="0" w:gutter="0" w:footer="0" w:header="0"/>
        </w:sectPr>
      </w:pPr>
    </w:p>
    <w:bookmarkStart w:id="59" w:name="page60"/>
    <w:bookmarkEnd w:id="59"/>
    <w:p>
      <w:pPr>
        <w:spacing w:after="0" w:line="60"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"Available Funds" means, from time to time, the sum of (i) (A) $968,490,525 million less the aggregate of Advances made under the Bank Credit Facility (specifically excluding Advances under the Bank Revolving Debt Service Commitment Portion),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until the Completion Date, (B) the lesser of (1) the aggregate of the unutilized Bank Revolving Debt Service Commitment Portion and (2) the aggregate amount of Debt Service due and payable during the period commencing on April 30, 2005 and ending on the Scheduled Completion Date then in effect,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then undrawn and unexpired amount of the Letters of Credit then outstanding under the Bank Credit Facility,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aggregate of the amounts on deposit in the Company's Funds Account (excluding funds transferred from the Completion Guaranty Deposit Account to the Company's Funds Account pursuant to </w:t>
      </w:r>
      <w:r>
        <w:rPr>
          <w:rFonts w:ascii="Times New Roman" w:cs="Times New Roman" w:eastAsia="Times New Roman" w:hAnsi="Times New Roman"/>
          <w:sz w:val="18"/>
          <w:szCs w:val="18"/>
          <w:i w:val="1"/>
          <w:iCs w:val="1"/>
          <w:color w:val="auto"/>
        </w:rPr>
        <w:t>Section 5.8.1</w:t>
      </w:r>
      <w:r>
        <w:rPr>
          <w:rFonts w:ascii="Times New Roman" w:cs="Times New Roman" w:eastAsia="Times New Roman" w:hAnsi="Times New Roman"/>
          <w:sz w:val="18"/>
          <w:szCs w:val="18"/>
          <w:color w:val="auto"/>
        </w:rPr>
        <w:t xml:space="preserve"> of the Disbursement Agreement to the extent such funds would not count as Available Funds under clause (iv) hereof had such funds remained on deposit in the Completion Guaranty Deposit Account) and the Second Mortgage Notes Proceeds Account and all Anticipated Earnings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the aggregate amount which the Company is entitled to withdraw from the Completion Guaranty Deposit Account and the Project Liquidity Reserve Account pursuant to </w:t>
      </w:r>
      <w:r>
        <w:rPr>
          <w:rFonts w:ascii="Times New Roman" w:cs="Times New Roman" w:eastAsia="Times New Roman" w:hAnsi="Times New Roman"/>
          <w:sz w:val="18"/>
          <w:szCs w:val="18"/>
          <w:i w:val="1"/>
          <w:iCs w:val="1"/>
          <w:color w:val="auto"/>
        </w:rPr>
        <w:t>Section 5.8.3(i)</w:t>
      </w:r>
      <w:r>
        <w:rPr>
          <w:rFonts w:ascii="Times New Roman" w:cs="Times New Roman" w:eastAsia="Times New Roman" w:hAnsi="Times New Roman"/>
          <w:sz w:val="18"/>
          <w:szCs w:val="18"/>
          <w:color w:val="auto"/>
        </w:rPr>
        <w:t xml:space="preserve"> of the Disbursement Agreement but which it has not withdrawn from such Company Accounts,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all Anticipated Earnings on the Completion Guaranty Deposit Account and the Project Liquidity Reserve Account,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 the aggregate of the amounts on deposit in the Bank Proceeds Account, the Soft Costs Cash Management Account, the Hard Costs Cash Management Account, the Operating Account and the Interest Payment Account (after giving effect to any transfers of earnings thereon to the Company's Funds Account as contemplated in the Disbursement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(vii) the lesser of (A) the aggregate of (x) the unutilized "Gaming Equipment Commitment" specified in the FF&amp;E Facility permitted under the FF&amp;E Facility Agreement to be applied towards acquisition of Eligible FF&amp;E Equipment consisting of "Gaming Equipment" or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"Transaction Costs" associated with Gaming Equipment (each as defined in the FF&amp;E Facility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amounts on deposit in the FF&amp;E Proceeds Account, and (B) the aggregate amount of Remaining Costs for Line Items allocated to Eligible FF&amp;E Equipment consisting of "Gaming Equipment" or "Transaction Costs" associated with Gaming Equipment (each as defined in the FF&amp;E Facility Agreement) which has not yet been 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(viii) the lesser of (A) the aggregate of (x) the unutilized "Non-Gaming Equipment Commitment" specified in the FF&amp;E Facility permitted under the FF&amp;E Facility Agreement to be applied towards acquisition of Eligible FF&amp;E Equipment consisting of "Non-Gaming Equipment" or "Transaction Costs" associated with Non-Gaming Equipment (each as defined in the FF&amp;E Facility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amounts on deposit in the FF&amp;E Proceeds Account (excluding amounts on deposit in the FF&amp;E Proceeds Account counted in clause (vii)(y) above), and (B) the aggregate amount of Remaining Costs for Line Items allocated to Eligible FF&amp;E Equipment consisting of "Non-Gaming Equipment" or "Transaction Costs" associated with Non-Gaming Equipment (each as defined in the FF&amp;E Facility Agreement) which has not yet been 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(ix) the lesser of (A) the aggregate amount of Project Costs which the Construction Guarantor and/or the Prime Contractor has agreed or confirmed in writing, to the reasonable satisfaction of the Disbursement Agent, that it is responsible for paying (on a timely basis relative to the Project's cash needs) from its own funds but which it has not yet paid, but only to the extent that such funds have been deposited in an account which is subject to a perfected first priority security interest in favor of the Disbursement Agent on behalf of the Project Secured Parties and (B) the aggregate amount of Remaining Costs for the "Marnell Corrao GMP" Line Item Category.</w:t>
      </w:r>
    </w:p>
    <w:p>
      <w:pPr>
        <w:spacing w:after="0" w:line="20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"Bank Agent" means Deutsche Bank Trust Company Americas in its capacity as Administrative Agent under the Bank Credit Agreement and its successors in such capacity.</w:t>
      </w:r>
    </w:p>
    <w:p>
      <w:pPr>
        <w:spacing w:after="0" w:line="174"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"Bank Agent Fee Letter" means that certain Second Amended and Restated Administrative Agent Fee Letter dated as of October 30, 2002 among Wynn Las Vegas, Deutsche Bank Securities, Inc. and the Bank Agent.</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"Bank Company Collateral Account Agreement" means that certain Bank Company Collateral Account Agreement dated as of October 30, 2002 among the Company, the Bank Agent, the Disbursement Agent and the Securities Intermediary.</w:t>
      </w:r>
    </w:p>
    <w:p>
      <w:pPr>
        <w:spacing w:after="0" w:line="174"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"Bank Completion Guaranty Collateral Account Agreement" means that certain Bank Completion Guaranty Collateral Account Agreement dated as of October 30, 2002 among the Completion Guarantor, the Bank Agent, the Disbursement Agent and the Securities Intermediary.</w:t>
      </w:r>
    </w:p>
    <w:p>
      <w:pPr>
        <w:spacing w:after="0" w:line="174"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"Bank Credit Agreement" means that certain Credit Agreement dated as of October 30, 2002 among Wynn Las Vegas, the Bank Agent, Deutsche Bank Securities, Inc., as advisor, lead arranger and joint book running manager, Banc of America Securities LLC, as advisor, lead arranger, joint book running manager and syndication agent, Bear, Stearns &amp; Co. Inc., as advisor, arranger and joint book running manager, Bear Stearns Corporate Lending Inc., as joint documentation agent, Dresdner Bank AG, New York and Grand Cayman Branches, as arranger and joint documentation agent, JP Morgan Chase Bank, as joint documentation agent, and the Bank Lenders, or any permitted refinancings thereof.</w:t>
      </w:r>
    </w:p>
    <w:p>
      <w:pPr>
        <w:spacing w:after="0" w:line="193"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"Bank Credit Facility" means, collectively, the delay draw term loan credit facility and the revolving facility described in and made available from time to time to Wynn Las Vegas by the Bank Lenders under the Bank Credit Agreement.</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"Bank Deeds of Trust" means, collectively, the Bank Golf Course Deed of Trust, the Bank Hotel/Casino Deed of Trust, the Bank Phase II Deed of Trust, the Bank Palo Deed of Trust and the Bank DIIC Deed of Trust.</w:t>
      </w:r>
    </w:p>
    <w:p>
      <w:pPr>
        <w:spacing w:after="0" w:line="172"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"Bank DIIC Deed of Trust" means that certain Deed of Trust to be entered into pursuant to </w:t>
      </w:r>
      <w:r>
        <w:rPr>
          <w:rFonts w:ascii="Times New Roman" w:cs="Times New Roman" w:eastAsia="Times New Roman" w:hAnsi="Times New Roman"/>
          <w:sz w:val="18"/>
          <w:szCs w:val="18"/>
          <w:i w:val="1"/>
          <w:iCs w:val="1"/>
          <w:color w:val="auto"/>
        </w:rPr>
        <w:t>Section 3.3.22</w:t>
      </w:r>
      <w:r>
        <w:rPr>
          <w:rFonts w:ascii="Times New Roman" w:cs="Times New Roman" w:eastAsia="Times New Roman" w:hAnsi="Times New Roman"/>
          <w:sz w:val="18"/>
          <w:szCs w:val="18"/>
          <w:color w:val="auto"/>
        </w:rPr>
        <w:t xml:space="preserve"> of the Disbursement Agreement between Desert Inn Improvement as trustor, and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Nevada Title Company as trustee, for the benefit of the Bank Agent as beneficiary, substantially in the form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to the Bank Credit Agreement.</w:t>
      </w:r>
    </w:p>
    <w:p>
      <w:pPr>
        <w:spacing w:after="0" w:line="227"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"Bank Fee Letter" the Amended and Restated Credit Facilities Fee Letter, dated June 14, 2002, among Valvino, Wynn Resorts Holdings, Wynn Las Vegas, Deutsche Bank Trust Company Americas, Bank of America, N.A., Bear, Sterns &amp; Co., Inc., and those certain initial agents, arrangers and managers party thereto.</w:t>
      </w:r>
    </w:p>
    <w:p>
      <w:pPr>
        <w:spacing w:after="0" w:line="128"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"Bank Golf Course Deed of Trust" means that certain Deed of Trust dated as of October 30, 2002 between Wynn Resorts Holdings as trustor, and Nevada Title Company as trustee, for the benefit of the Bank Agent as beneficiary.</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"Bank Guarantee and Collateral Agreement" means that certain Guarantee and Collateral Agreement dated as of October 30, 2002 executed by Wynn Las Vegas and each other Loan Party, in favor of the Bank Agent.</w:t>
      </w:r>
    </w:p>
    <w:p>
      <w:pPr>
        <w:sectPr>
          <w:pgSz w:w="11900" w:h="16898" w:orient="portrait"/>
          <w:cols w:equalWidth="0" w:num="1">
            <w:col w:w="11420"/>
          </w:cols>
          <w:pgMar w:left="240" w:top="125" w:right="239" w:bottom="0" w:gutter="0" w:footer="0" w:header="0"/>
        </w:sectPr>
      </w:pPr>
    </w:p>
    <w:bookmarkStart w:id="60" w:name="page61"/>
    <w:bookmarkEnd w:id="60"/>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"Bank Hotel/Casino Deed of Trust" means that certain Deed of Trust dated as of October 30, 2002 between Wynn Las Vegas as trustor, and Nevada Title Company as trustee, for the benefit of the Bank Agent as beneficiary.</w:t>
      </w:r>
    </w:p>
    <w:p>
      <w:pPr>
        <w:spacing w:after="0" w:line="174"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"Bank IP Security Agreement" means that certain Bank Intellectual Property Security Agreement dated as of October 30, 2002 made by the Wynn Las Vegas for the benefit of the Bank Agent.</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"Bank Lenders" means (a) the financial institutions which are now, or may in the future become, parties to the Bank Credit Agreement and (b) the counterparties to Interest Rate Agreements that are permitted to be secured by the Bank Security Documents, in each case, or their successors or assignees in such capacity as lenders or counterparties, as the case may be, under the Bank Credit Agreement.</w:t>
      </w:r>
    </w:p>
    <w:p>
      <w:pPr>
        <w:spacing w:after="0" w:line="186" w:lineRule="exact"/>
        <w:rPr>
          <w:sz w:val="20"/>
          <w:szCs w:val="20"/>
          <w:color w:val="auto"/>
        </w:rPr>
      </w:pPr>
    </w:p>
    <w:p>
      <w:pPr>
        <w:jc w:val="both"/>
        <w:ind w:right="40" w:firstLine="351"/>
        <w:spacing w:after="0" w:line="310" w:lineRule="auto"/>
        <w:rPr>
          <w:sz w:val="20"/>
          <w:szCs w:val="20"/>
          <w:color w:val="auto"/>
        </w:rPr>
      </w:pPr>
      <w:r>
        <w:rPr>
          <w:rFonts w:ascii="Times New Roman" w:cs="Times New Roman" w:eastAsia="Times New Roman" w:hAnsi="Times New Roman"/>
          <w:sz w:val="16"/>
          <w:szCs w:val="16"/>
          <w:color w:val="auto"/>
        </w:rPr>
        <w:t xml:space="preserve">"Bank Local Company Collateral Account Agreement(s)" means one or more control agreements with respect to the Soft Costs Cash Management Account, the Hard Costs Cash Management Account, the Company's Payment Account and the Operating Account substantially in the form of </w:t>
      </w:r>
      <w:r>
        <w:rPr>
          <w:rFonts w:ascii="Times New Roman" w:cs="Times New Roman" w:eastAsia="Times New Roman" w:hAnsi="Times New Roman"/>
          <w:sz w:val="16"/>
          <w:szCs w:val="16"/>
          <w:i w:val="1"/>
          <w:iCs w:val="1"/>
          <w:color w:val="auto"/>
        </w:rPr>
        <w:t>Exhibit Z-1</w:t>
      </w:r>
      <w:r>
        <w:rPr>
          <w:rFonts w:ascii="Times New Roman" w:cs="Times New Roman" w:eastAsia="Times New Roman" w:hAnsi="Times New Roman"/>
          <w:sz w:val="16"/>
          <w:szCs w:val="16"/>
          <w:color w:val="auto"/>
        </w:rPr>
        <w:t xml:space="preserve"> and entered into by a bank that is reasonably acceptable to the Disbursement Agent pursuant to </w:t>
      </w:r>
      <w:r>
        <w:rPr>
          <w:rFonts w:ascii="Times New Roman" w:cs="Times New Roman" w:eastAsia="Times New Roman" w:hAnsi="Times New Roman"/>
          <w:sz w:val="16"/>
          <w:szCs w:val="16"/>
          <w:i w:val="1"/>
          <w:iCs w:val="1"/>
          <w:color w:val="auto"/>
        </w:rPr>
        <w:t>Sections 2.3.4, 2.3.8 and 2.3.9</w:t>
      </w:r>
      <w:r>
        <w:rPr>
          <w:rFonts w:ascii="Times New Roman" w:cs="Times New Roman" w:eastAsia="Times New Roman" w:hAnsi="Times New Roman"/>
          <w:sz w:val="16"/>
          <w:szCs w:val="16"/>
          <w:color w:val="auto"/>
        </w:rPr>
        <w:t xml:space="preserve"> of the Disbursement Agreement.</w:t>
      </w:r>
    </w:p>
    <w:p>
      <w:pPr>
        <w:spacing w:after="0" w:line="151"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"Bank Palo Deed of Trust" means that certain Deed of Trust dated as of October 30, 2002 between Palo as trustor, and Nevada Title Company as trustee, for the benefit of the Bank Agent as beneficiary.</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"Bank Parent Guarantee" means that certain Parent Guarantee dated as of October 30, 2002 entered into by Wynn Resorts Limited for the benefit of the Bank Agent and the Bank Lenders.</w:t>
      </w:r>
    </w:p>
    <w:p>
      <w:pPr>
        <w:spacing w:after="0" w:line="174"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"Bank Phase II Deed of Trust" means that certain Deed of Trust dated as of October 30, 2002 between Valvino as trustor, and Nevada Title Company as trustee, for the benefit of the Bank Agent as beneficiary.</w:t>
      </w:r>
    </w:p>
    <w:p>
      <w:pPr>
        <w:spacing w:after="0" w:line="172"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"Bank Proceeds Account" means the account referenced in </w:t>
      </w:r>
      <w:r>
        <w:rPr>
          <w:rFonts w:ascii="Times New Roman" w:cs="Times New Roman" w:eastAsia="Times New Roman" w:hAnsi="Times New Roman"/>
          <w:sz w:val="18"/>
          <w:szCs w:val="18"/>
          <w:i w:val="1"/>
          <w:iCs w:val="1"/>
          <w:color w:val="auto"/>
        </w:rPr>
        <w:t>Section 2.3.6</w:t>
      </w:r>
      <w:r>
        <w:rPr>
          <w:rFonts w:ascii="Times New Roman" w:cs="Times New Roman" w:eastAsia="Times New Roman" w:hAnsi="Times New Roman"/>
          <w:sz w:val="18"/>
          <w:szCs w:val="18"/>
          <w:color w:val="auto"/>
        </w:rPr>
        <w:t xml:space="preserve"> of the Disbursement Agreement and established pursuant to the Bank Company Collateral Account Agreement.</w:t>
      </w:r>
    </w:p>
    <w:p>
      <w:pPr>
        <w:spacing w:after="0" w:line="172" w:lineRule="exact"/>
        <w:rPr>
          <w:sz w:val="20"/>
          <w:szCs w:val="20"/>
          <w:color w:val="auto"/>
        </w:rPr>
      </w:pPr>
    </w:p>
    <w:p>
      <w:pPr>
        <w:ind w:right="460" w:firstLine="351"/>
        <w:spacing w:after="0" w:line="339" w:lineRule="auto"/>
        <w:rPr>
          <w:sz w:val="20"/>
          <w:szCs w:val="20"/>
          <w:color w:val="auto"/>
        </w:rPr>
      </w:pPr>
      <w:r>
        <w:rPr>
          <w:rFonts w:ascii="Times New Roman" w:cs="Times New Roman" w:eastAsia="Times New Roman" w:hAnsi="Times New Roman"/>
          <w:sz w:val="16"/>
          <w:szCs w:val="16"/>
          <w:color w:val="auto"/>
        </w:rPr>
        <w:t xml:space="preserve">"Bank Revolver Debt Service Commitment Portion" means the portion of the Bank Revolving Facility made available to Wynn Las Vegas by the Bank Lenders solely after the Scheduled Completion Date for the purpose of paying Debt Service under </w:t>
      </w:r>
      <w:r>
        <w:rPr>
          <w:rFonts w:ascii="Times New Roman" w:cs="Times New Roman" w:eastAsia="Times New Roman" w:hAnsi="Times New Roman"/>
          <w:sz w:val="16"/>
          <w:szCs w:val="16"/>
          <w:i w:val="1"/>
          <w:iCs w:val="1"/>
          <w:color w:val="auto"/>
        </w:rPr>
        <w:t>Section 6.11(a)(ii)</w:t>
      </w:r>
      <w:r>
        <w:rPr>
          <w:rFonts w:ascii="Times New Roman" w:cs="Times New Roman" w:eastAsia="Times New Roman" w:hAnsi="Times New Roman"/>
          <w:sz w:val="16"/>
          <w:szCs w:val="16"/>
          <w:color w:val="auto"/>
        </w:rPr>
        <w:t xml:space="preserve"> of the Bank Credit Agreement.</w:t>
      </w:r>
    </w:p>
    <w:p>
      <w:pPr>
        <w:spacing w:after="0" w:line="128"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"Bank Revolving Facility" means the portion of the revolving loan credit facility described in and made available from time to time to Wynn Las Vegas by the Bank Lenders under the Bank Credit Agreement.</w:t>
      </w:r>
    </w:p>
    <w:p>
      <w:pPr>
        <w:spacing w:after="0" w:line="174"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"Bank Security Documents" means the Bank Deeds of Trust, the Bank Guarantee and Collateral Agreement, the Bank Parent Guarantee, the Collateral Agency Agreement, the Bank IP Security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Agreement, the Bank Company Collateral Account Agreement, the Bank Completion Guaranty Collateral Account Agreement, the Bank Local Company Collateral Account Agreements, the Completion Guaranty and any other guaranties, deeds of trust, security agreements or collateral account agreements executed from time to time by any Loan Party and/or any of their direct or indirect Affiliates in favor of the Bank Agent or the Bank Lenders to guaranty or secure the obligations under the Bank Credit Facility.</w:t>
      </w:r>
    </w:p>
    <w:p>
      <w:pPr>
        <w:spacing w:after="0" w:line="190" w:lineRule="exact"/>
        <w:rPr>
          <w:sz w:val="20"/>
          <w:szCs w:val="20"/>
          <w:color w:val="auto"/>
        </w:rPr>
      </w:pPr>
    </w:p>
    <w:p>
      <w:pPr>
        <w:ind w:right="80" w:firstLine="351"/>
        <w:spacing w:after="0" w:line="296" w:lineRule="auto"/>
        <w:rPr>
          <w:sz w:val="20"/>
          <w:szCs w:val="20"/>
          <w:color w:val="auto"/>
        </w:rPr>
      </w:pPr>
      <w:r>
        <w:rPr>
          <w:rFonts w:ascii="Times New Roman" w:cs="Times New Roman" w:eastAsia="Times New Roman" w:hAnsi="Times New Roman"/>
          <w:sz w:val="16"/>
          <w:szCs w:val="16"/>
          <w:color w:val="auto"/>
        </w:rPr>
        <w:t>"Banking Day" means (a) for all purposes other than as covered by clause (b) below, any day excluding Saturday, Sunday and any day which is a legal holiday under the laws of the State of New York, Nevada or Utah or is a day on which banking institutions located in either such state are authorized or required by law or other governmental action to close, and (b) with respect to all notices, determinations, fundings and payments in connection with the "Eurodollar Rate" (as defined in the Bank Credit Agreement) or any "Eurodollar Loans" (as defined in the Bank Credit Agreement"), any day that is a Banking Day described in clause (a) above and that is also a day for trading by and between banks in Dollar deposits in the London, England interbank market.</w:t>
      </w:r>
    </w:p>
    <w:p>
      <w:pPr>
        <w:spacing w:after="0" w:line="162"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"Bankruptcy" means, with respect to any Person, that (i) a court having jurisdiction over any Project Security shall have entered a decree or order for relief in respect of such Person in an involuntary case under the Bankruptcy Code or under any other applicable bankruptcy, insolvency or similar law now or hereafter in effect, which decree or order has not been stayed; or any other similar relief shall have been granted under any applicable federal or state law; or (ii) an involuntary case shall be commenced against such Person, under the Bankruptcy Code or under any other applicable bankruptcy, insolvency or similar law now or hereafter in effect; or a decree or order of a court having jurisdiction over any Project Security for the appointment of a receiver, liquidator, sequestrator, trustee, custodian or other officer having similar powers over such Person, or over all or a substantial part of its property, shall have been entered; or there shall have occurred the involuntary appointment of an interim receiver, trustee or other custodian of such Person, for all or a substantial part of its property; or a warrant of attachment, execution or similar process shall have been issued against any substantial part of the property of such Person, and any such event described in this clause (ii) shall continue for 60 days unless dismissed, bonded or discharged; or (iii) such Person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such Person shall make any assignment for the benefit of creditors, or shall fail generally, or shall admit in writing its inability, to pay its debts as such debts become due and payable or if the fair market value of its assets does not exceed its aggregate liabilities; or (iv) such Person shall, or the board of directors, manager or managing member of such Person (or any committee thereof) shall, adopt any resolution or otherwise authorize any action to approve any of the actions referred to in clause (iii) above.</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"Bankruptcy Code" means Title 11 of the United Sates Code entitled "Bankruptcy," as now and hereafter in effect, or any successor statute thereto.</w:t>
      </w:r>
    </w:p>
    <w:p>
      <w:pPr>
        <w:spacing w:after="0" w:line="225"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"Base Rate Loans" means (a) with respect to Loans under the Bank Credit Facility, "Base Rate Loans" as defined in the Bank Credit Agreement and (b) with respect to Loans under the FF&amp;E Facility, Loans in respect of which interest is payable at the "Base Rate" as defined in the FF&amp;E Facility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"Building Department" means the Clark County Building Department.</w:t>
      </w:r>
    </w:p>
    <w:p>
      <w:pPr>
        <w:spacing w:after="0" w:line="225"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"Building Lease" means, that certain Lease Agreement, dated as of October 21, 2002 by and between Valvino, as lessor, and Wynn Las Vegas, as lessee, with respect to the lease of space in the Phase II Land Building.</w:t>
      </w:r>
    </w:p>
    <w:p>
      <w:pPr>
        <w:sectPr>
          <w:pgSz w:w="11900" w:h="16838" w:orient="portrait"/>
          <w:cols w:equalWidth="0" w:num="1">
            <w:col w:w="11420"/>
          </w:cols>
          <w:pgMar w:left="240" w:top="125" w:right="239" w:bottom="0" w:gutter="0" w:footer="0" w:header="0"/>
        </w:sectPr>
      </w:pPr>
    </w:p>
    <w:bookmarkStart w:id="61" w:name="page62"/>
    <w:bookmarkEnd w:id="61"/>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"Business Plan" shall have the meaning given in </w:t>
      </w:r>
      <w:r>
        <w:rPr>
          <w:rFonts w:ascii="Times New Roman" w:cs="Times New Roman" w:eastAsia="Times New Roman" w:hAnsi="Times New Roman"/>
          <w:sz w:val="18"/>
          <w:szCs w:val="18"/>
          <w:i w:val="1"/>
          <w:iCs w:val="1"/>
          <w:color w:val="auto"/>
        </w:rPr>
        <w:t>Section 3.1.9</w:t>
      </w:r>
      <w:r>
        <w:rPr>
          <w:rFonts w:ascii="Times New Roman" w:cs="Times New Roman" w:eastAsia="Times New Roman" w:hAnsi="Times New Roman"/>
          <w:sz w:val="18"/>
          <w:szCs w:val="18"/>
          <w:color w:val="auto"/>
        </w:rPr>
        <w:t xml:space="preserve"> in the Disbursement Agreement.</w:t>
      </w:r>
    </w:p>
    <w:p>
      <w:pPr>
        <w:spacing w:after="0" w:line="227"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"Buy-Sell Agreement" means that certain Buy-Sell Agreement dated as of June 13, 2002 among Stephen A. Wynn, an individual, Kazuo Okada, an individual, Aruze USA, Inc., a Nevada corporation, and Aruze Corp., a Japanese public corporation.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"Capital Corp." means Wynn Las Vegas Capital Corp., a Nevada corporation.</w:t>
      </w:r>
    </w:p>
    <w:p>
      <w:pPr>
        <w:spacing w:after="0" w:line="225"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"Capital Stock"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84"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"Casino Land" means the approximately 55-acre tract of land owned by Wynn Las Vegas as more particularly described in </w:t>
      </w:r>
      <w:r>
        <w:rPr>
          <w:rFonts w:ascii="Times New Roman" w:cs="Times New Roman" w:eastAsia="Times New Roman" w:hAnsi="Times New Roman"/>
          <w:sz w:val="18"/>
          <w:szCs w:val="18"/>
          <w:i w:val="1"/>
          <w:iCs w:val="1"/>
          <w:color w:val="auto"/>
        </w:rPr>
        <w:t>Exhibit T-4</w:t>
      </w:r>
      <w:r>
        <w:rPr>
          <w:rFonts w:ascii="Times New Roman" w:cs="Times New Roman" w:eastAsia="Times New Roman" w:hAnsi="Times New Roman"/>
          <w:sz w:val="18"/>
          <w:szCs w:val="18"/>
          <w:color w:val="auto"/>
        </w:rPr>
        <w:t xml:space="preserve"> to the Disbursement Agreement.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"Claims" has the meaning given in </w:t>
      </w:r>
      <w:r>
        <w:rPr>
          <w:rFonts w:ascii="Times New Roman" w:cs="Times New Roman" w:eastAsia="Times New Roman" w:hAnsi="Times New Roman"/>
          <w:sz w:val="18"/>
          <w:szCs w:val="18"/>
          <w:i w:val="1"/>
          <w:iCs w:val="1"/>
          <w:color w:val="auto"/>
        </w:rPr>
        <w:t>Section 11.15.2</w:t>
      </w:r>
      <w:r>
        <w:rPr>
          <w:rFonts w:ascii="Times New Roman" w:cs="Times New Roman" w:eastAsia="Times New Roman" w:hAnsi="Times New Roman"/>
          <w:sz w:val="18"/>
          <w:szCs w:val="18"/>
          <w:color w:val="auto"/>
        </w:rPr>
        <w:t xml:space="preserve"> of the Disbursement Agreement.</w:t>
      </w:r>
    </w:p>
    <w:p>
      <w:pPr>
        <w:spacing w:after="0" w:line="225"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"Closing Date" means the first date on which each of the conditions precedent listed in </w:t>
      </w:r>
      <w:r>
        <w:rPr>
          <w:rFonts w:ascii="Times New Roman" w:cs="Times New Roman" w:eastAsia="Times New Roman" w:hAnsi="Times New Roman"/>
          <w:sz w:val="18"/>
          <w:szCs w:val="18"/>
          <w:i w:val="1"/>
          <w:iCs w:val="1"/>
          <w:color w:val="auto"/>
        </w:rPr>
        <w:t>Section 3.1</w:t>
      </w:r>
      <w:r>
        <w:rPr>
          <w:rFonts w:ascii="Times New Roman" w:cs="Times New Roman" w:eastAsia="Times New Roman" w:hAnsi="Times New Roman"/>
          <w:sz w:val="18"/>
          <w:szCs w:val="18"/>
          <w:color w:val="auto"/>
        </w:rPr>
        <w:t xml:space="preserve"> of the Disbursement Agreement have been satisfied or waived.</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"Closing Financing Agreements" has the meaning given in </w:t>
      </w:r>
      <w:r>
        <w:rPr>
          <w:rFonts w:ascii="Times New Roman" w:cs="Times New Roman" w:eastAsia="Times New Roman" w:hAnsi="Times New Roman"/>
          <w:sz w:val="18"/>
          <w:szCs w:val="18"/>
          <w:i w:val="1"/>
          <w:iCs w:val="1"/>
          <w:color w:val="auto"/>
        </w:rPr>
        <w:t>Section 3.1.1(a)</w:t>
      </w:r>
      <w:r>
        <w:rPr>
          <w:rFonts w:ascii="Times New Roman" w:cs="Times New Roman" w:eastAsia="Times New Roman" w:hAnsi="Times New Roman"/>
          <w:sz w:val="18"/>
          <w:szCs w:val="18"/>
          <w:color w:val="auto"/>
        </w:rPr>
        <w:t xml:space="preserve"> of the Disbursement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"Closing Payments" has the meaning given in </w:t>
      </w:r>
      <w:r>
        <w:rPr>
          <w:rFonts w:ascii="Times New Roman" w:cs="Times New Roman" w:eastAsia="Times New Roman" w:hAnsi="Times New Roman"/>
          <w:sz w:val="18"/>
          <w:szCs w:val="18"/>
          <w:i w:val="1"/>
          <w:iCs w:val="1"/>
          <w:color w:val="auto"/>
        </w:rPr>
        <w:t>Section 3.1.25</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"Collateral Account Agreements" means, collectively, the Company Collateral Account Agreements, the FF&amp;E Collateral Account Agreement, the Completion Guaranty Collateral Account Agreements and any other collateral account agreement entered into on or after the Closing Date granting any one or more of the Lenders a security interest in any account.</w:t>
      </w:r>
    </w:p>
    <w:p>
      <w:pPr>
        <w:spacing w:after="0" w:line="186"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"Collateral Agent" means Bank of America, N.A. in its capacity as collateral agent under the Collateral Agency Agreement and its successors in such capacity.</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"Collateral Agency Agreement" means that certain Collateral Agency Agreement dated as of October 30, 2002 among the Bank Agent, the Indenture Trustee and the Collateral Agent.</w:t>
      </w:r>
    </w:p>
    <w:p>
      <w:pPr>
        <w:spacing w:after="0" w:line="174"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"Commitment" means, (a) with respect to the Bank Credit Facility, the aggregate principal amount of all Loans to the Company which may be made under such Facility for the purpose of financing Project Costs and (b) with respect to each other Facility, the aggregate principal amount of all Loans or other advances to the Company which may be made under such Facility, as specified in the applicable Facility Agreement.</w:t>
      </w:r>
    </w:p>
    <w:p>
      <w:pPr>
        <w:spacing w:after="0" w:line="186"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"Commitment Letter" means that certain Amended and Restated Commitment Letter dated June 14, 2002, among Valvino, Wynn Resorts Holdings, Wynn Las Vegas, Deutsche Bank Trust Company Americas, Bank of America, N.A., Bear, Sterns &amp; Co., Inc., and those certain initial agents, arrangers and managers party thereto.</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 means Wynn Las Vegas, Capital Corp. and Wynn Design, jointly and severally.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"Company Accounts Collateral" has the meaning given in </w:t>
      </w:r>
      <w:r>
        <w:rPr>
          <w:rFonts w:ascii="Times New Roman" w:cs="Times New Roman" w:eastAsia="Times New Roman" w:hAnsi="Times New Roman"/>
          <w:sz w:val="18"/>
          <w:szCs w:val="18"/>
          <w:i w:val="1"/>
          <w:iCs w:val="1"/>
          <w:color w:val="auto"/>
        </w:rPr>
        <w:t>Section 10.3</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"Company Accounts" means the Company's Funds Account, the Second Mortgage Notes Proceeds Account, the Disbursement Account, the Soft Costs Cash Management Account, the Hard Costs Cash Management Account, the Company's Payment Account, the Interest Payment Account, the Bank Proceeds Account, the FF&amp;E Proceeds Account, the Operating Account, the Completion Guaranty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Account, the Project Liquidity Reserve Account and any other accounts or sub-accounts established pursuant to the Collateral Account Agreements.</w:t>
      </w:r>
    </w:p>
    <w:p>
      <w:pPr>
        <w:spacing w:after="0" w:line="225"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"Company Collateral Account Agreements" means, collectively, the Bank Company Collateral Account Agreement and the Second Mortgage Notes Company Collateral Account Agreement, the Bank Local Company Collateral Account Agreements, the Second Mortgage Notes Local Company Collateral Account Agreements.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"Company's Closing Certificate" means a Closing Certificate in the form of </w:t>
      </w:r>
      <w:r>
        <w:rPr>
          <w:rFonts w:ascii="Times New Roman" w:cs="Times New Roman" w:eastAsia="Times New Roman" w:hAnsi="Times New Roman"/>
          <w:sz w:val="18"/>
          <w:szCs w:val="18"/>
          <w:i w:val="1"/>
          <w:iCs w:val="1"/>
          <w:color w:val="auto"/>
        </w:rPr>
        <w:t>Exhibit B-1</w:t>
      </w:r>
      <w:r>
        <w:rPr>
          <w:rFonts w:ascii="Times New Roman" w:cs="Times New Roman" w:eastAsia="Times New Roman" w:hAnsi="Times New Roman"/>
          <w:sz w:val="18"/>
          <w:szCs w:val="18"/>
          <w:color w:val="auto"/>
        </w:rPr>
        <w:t xml:space="preserve"> to the Disbursement Agreement.</w:t>
      </w:r>
    </w:p>
    <w:p>
      <w:pPr>
        <w:spacing w:after="0" w:line="225" w:lineRule="exact"/>
        <w:rPr>
          <w:sz w:val="20"/>
          <w:szCs w:val="20"/>
          <w:color w:val="auto"/>
        </w:rPr>
      </w:pPr>
    </w:p>
    <w:p>
      <w:pPr>
        <w:ind w:right="5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"Company's Funds Account" means the account referenced in </w:t>
      </w:r>
      <w:r>
        <w:rPr>
          <w:rFonts w:ascii="Times New Roman" w:cs="Times New Roman" w:eastAsia="Times New Roman" w:hAnsi="Times New Roman"/>
          <w:sz w:val="18"/>
          <w:szCs w:val="18"/>
          <w:i w:val="1"/>
          <w:iCs w:val="1"/>
          <w:color w:val="auto"/>
        </w:rPr>
        <w:t>Section 2.3.1</w:t>
      </w:r>
      <w:r>
        <w:rPr>
          <w:rFonts w:ascii="Times New Roman" w:cs="Times New Roman" w:eastAsia="Times New Roman" w:hAnsi="Times New Roman"/>
          <w:sz w:val="18"/>
          <w:szCs w:val="18"/>
          <w:color w:val="auto"/>
        </w:rPr>
        <w:t xml:space="preserve"> of the Disbursement Agreement and established pursuant to the Company Collateral Account Agreements.</w:t>
      </w:r>
    </w:p>
    <w:p>
      <w:pPr>
        <w:spacing w:after="0" w:line="170"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"Company's Payment Account" means the account referenced in </w:t>
      </w:r>
      <w:r>
        <w:rPr>
          <w:rFonts w:ascii="Times New Roman" w:cs="Times New Roman" w:eastAsia="Times New Roman" w:hAnsi="Times New Roman"/>
          <w:sz w:val="18"/>
          <w:szCs w:val="18"/>
          <w:i w:val="1"/>
          <w:iCs w:val="1"/>
          <w:color w:val="auto"/>
        </w:rPr>
        <w:t>Section 2.3.9</w:t>
      </w:r>
      <w:r>
        <w:rPr>
          <w:rFonts w:ascii="Times New Roman" w:cs="Times New Roman" w:eastAsia="Times New Roman" w:hAnsi="Times New Roman"/>
          <w:sz w:val="18"/>
          <w:szCs w:val="18"/>
          <w:color w:val="auto"/>
        </w:rPr>
        <w:t xml:space="preserve"> of the Disbursement Agreement and established pursuant to the Local Account Company Collateral Account Agreements.</w:t>
      </w:r>
    </w:p>
    <w:p>
      <w:pPr>
        <w:spacing w:after="0" w:line="17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"Company's FF&amp;E Payment Account" means the account referenced in </w:t>
      </w:r>
      <w:r>
        <w:rPr>
          <w:rFonts w:ascii="Times New Roman" w:cs="Times New Roman" w:eastAsia="Times New Roman" w:hAnsi="Times New Roman"/>
          <w:sz w:val="18"/>
          <w:szCs w:val="18"/>
          <w:i w:val="1"/>
          <w:iCs w:val="1"/>
          <w:color w:val="auto"/>
        </w:rPr>
        <w:t>Section 2.3.10</w:t>
      </w:r>
      <w:r>
        <w:rPr>
          <w:rFonts w:ascii="Times New Roman" w:cs="Times New Roman" w:eastAsia="Times New Roman" w:hAnsi="Times New Roman"/>
          <w:sz w:val="18"/>
          <w:szCs w:val="18"/>
          <w:color w:val="auto"/>
        </w:rPr>
        <w:t xml:space="preserve"> of the Disbursement Agreement and established pursuant to the FF&amp;E Local Company Collateral Account Agreement.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"Completion" means that each of the following has occurred:</w:t>
      </w:r>
    </w:p>
    <w:p>
      <w:pPr>
        <w:sectPr>
          <w:pgSz w:w="11900" w:h="16847" w:orient="portrait"/>
          <w:cols w:equalWidth="0" w:num="1">
            <w:col w:w="11400"/>
          </w:cols>
          <w:pgMar w:left="240" w:top="125" w:right="259" w:bottom="0" w:gutter="0" w:footer="0" w:header="0"/>
        </w:sectPr>
      </w:pPr>
    </w:p>
    <w:bookmarkStart w:id="62" w:name="page63"/>
    <w:bookmarkEnd w:id="62"/>
    <w:p>
      <w:pPr>
        <w:ind w:left="1180" w:hanging="281"/>
        <w:spacing w:after="0"/>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Opening Date shall have occurred under </w:t>
      </w:r>
      <w:r>
        <w:rPr>
          <w:rFonts w:ascii="Times New Roman" w:cs="Times New Roman" w:eastAsia="Times New Roman" w:hAnsi="Times New Roman"/>
          <w:sz w:val="18"/>
          <w:szCs w:val="18"/>
          <w:i w:val="1"/>
          <w:iCs w:val="1"/>
          <w:color w:val="auto"/>
        </w:rPr>
        <w:t>Section 6.6</w:t>
      </w:r>
      <w:r>
        <w:rPr>
          <w:rFonts w:ascii="Times New Roman" w:cs="Times New Roman" w:eastAsia="Times New Roman" w:hAnsi="Times New Roman"/>
          <w:sz w:val="18"/>
          <w:szCs w:val="18"/>
          <w:color w:val="auto"/>
        </w:rPr>
        <w:t xml:space="preserve"> of the Disbursement Agreement;</w:t>
      </w:r>
    </w:p>
    <w:p>
      <w:pPr>
        <w:spacing w:after="0" w:line="227" w:lineRule="exact"/>
        <w:rPr>
          <w:rFonts w:ascii="Times New Roman" w:cs="Times New Roman" w:eastAsia="Times New Roman" w:hAnsi="Times New Roman"/>
          <w:sz w:val="18"/>
          <w:szCs w:val="18"/>
          <w:color w:val="auto"/>
        </w:rPr>
      </w:pPr>
    </w:p>
    <w:p>
      <w:pPr>
        <w:ind w:left="540" w:firstLine="359"/>
        <w:spacing w:after="0" w:line="256" w:lineRule="auto"/>
        <w:tabs>
          <w:tab w:leader="none" w:pos="118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Contractors and Subcontractors have been paid in full (other than (A) Retainage Amounts and other amounts that, as of the Completion Date, are being withheld from the Contractors and Subcontractors in accordance with the provisions of the Project Documents, (B) amounts being contested in accordance with the Financing Agreements so long as adequate reserves have been established through an allocation in the Anticipated Cost Report and in accordance with any requirements of such Financing Agreements and (C) amounts payable in respect of Project Punchlist Items to the extent not covered by the foregoing clause (A));</w:t>
      </w:r>
    </w:p>
    <w:p>
      <w:pPr>
        <w:spacing w:after="0" w:line="192"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 Punchlist Items:</w:t>
      </w:r>
    </w:p>
    <w:p>
      <w:pPr>
        <w:spacing w:after="0" w:line="225" w:lineRule="exact"/>
        <w:rPr>
          <w:rFonts w:ascii="Times New Roman" w:cs="Times New Roman" w:eastAsia="Times New Roman" w:hAnsi="Times New Roman"/>
          <w:sz w:val="18"/>
          <w:szCs w:val="18"/>
          <w:color w:val="auto"/>
        </w:rPr>
      </w:pPr>
    </w:p>
    <w:p>
      <w:pPr>
        <w:ind w:left="1080" w:right="80" w:firstLine="447"/>
        <w:spacing w:after="0" w:line="339" w:lineRule="auto"/>
        <w:tabs>
          <w:tab w:leader="none" w:pos="1772"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list of any remaining Project Punchlist Items shall have been delivered to the Construction Consultant and the Disbursement Agent by the Company and approved by the Construction Consultant as a reasonable final punchlist (such approval not to be unreasonably withheld); and</w:t>
      </w:r>
    </w:p>
    <w:p>
      <w:pPr>
        <w:spacing w:after="0" w:line="128" w:lineRule="exact"/>
        <w:rPr>
          <w:rFonts w:ascii="Times New Roman" w:cs="Times New Roman" w:eastAsia="Times New Roman" w:hAnsi="Times New Roman"/>
          <w:sz w:val="16"/>
          <w:szCs w:val="16"/>
          <w:color w:val="auto"/>
        </w:rPr>
      </w:pPr>
    </w:p>
    <w:p>
      <w:pPr>
        <w:ind w:left="1080" w:right="360" w:firstLine="360"/>
        <w:spacing w:after="0" w:line="310" w:lineRule="auto"/>
        <w:tabs>
          <w:tab w:leader="none" w:pos="1734"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written agreement with all Contractors performing work with respect to Project Punchlist Items shall have been entered into by the Company and such Contractors detailing the cost of remaining Project Punchlist Items and shall have been delivered to the Construction Consultant and the Disbursement Agent by the Company and approved by the Construction Consultant and the Disbursement Agent;</w:t>
      </w:r>
    </w:p>
    <w:p>
      <w:pPr>
        <w:spacing w:after="0" w:line="151" w:lineRule="exact"/>
        <w:rPr>
          <w:rFonts w:ascii="Times New Roman" w:cs="Times New Roman" w:eastAsia="Times New Roman" w:hAnsi="Times New Roman"/>
          <w:sz w:val="16"/>
          <w:szCs w:val="16"/>
          <w:color w:val="auto"/>
        </w:rPr>
      </w:pPr>
    </w:p>
    <w:p>
      <w:pPr>
        <w:ind w:left="1200" w:hanging="301"/>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FF&amp;E Component:</w:t>
      </w:r>
    </w:p>
    <w:p>
      <w:pPr>
        <w:spacing w:after="0" w:line="225" w:lineRule="exact"/>
        <w:rPr>
          <w:rFonts w:ascii="Times New Roman" w:cs="Times New Roman" w:eastAsia="Times New Roman" w:hAnsi="Times New Roman"/>
          <w:sz w:val="18"/>
          <w:szCs w:val="18"/>
          <w:color w:val="auto"/>
        </w:rPr>
      </w:pPr>
    </w:p>
    <w:p>
      <w:pPr>
        <w:ind w:left="1080" w:firstLine="447"/>
        <w:spacing w:after="0" w:line="255" w:lineRule="auto"/>
        <w:tabs>
          <w:tab w:leader="none" w:pos="177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at its own cost and expense, caused to be completed and delivered to the FF&amp;E Agent an Appraisal demonstrating the Fair Market Value of the items comprising the FF&amp;E Component (excluding the Aircraft). If the aggregate principal amount of Loans advanced under the FF&amp;E Facility (excluding the amounts advanced pursuant to </w:t>
      </w:r>
      <w:r>
        <w:rPr>
          <w:rFonts w:ascii="Times New Roman" w:cs="Times New Roman" w:eastAsia="Times New Roman" w:hAnsi="Times New Roman"/>
          <w:sz w:val="18"/>
          <w:szCs w:val="18"/>
          <w:i w:val="1"/>
          <w:iCs w:val="1"/>
          <w:color w:val="auto"/>
        </w:rPr>
        <w:t>Sections 2.5.1(b)</w:t>
      </w:r>
      <w:r>
        <w:rPr>
          <w:rFonts w:ascii="Times New Roman" w:cs="Times New Roman" w:eastAsia="Times New Roman" w:hAnsi="Times New Roman"/>
          <w:sz w:val="18"/>
          <w:szCs w:val="18"/>
          <w:color w:val="auto"/>
        </w:rPr>
        <w:t xml:space="preserve"> of the Disbursement Agreement) exceeds 75% of the aggregate Fair Market Value of the FF&amp;E Component as reflected in such Appraisal (excluding the Aircraft), the Company shall promptly cause, with the consent of the FF&amp;E Agent, first (A) additional items of Eligible FF&amp;E Equipment of a particular type or class selected by the Company (and otherwise acceptable to the FF&amp;E Agent) to become part of the FF&amp;E Component and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20"/>
        <w:spacing w:after="0" w:line="254" w:lineRule="auto"/>
        <w:rPr>
          <w:sz w:val="20"/>
          <w:szCs w:val="20"/>
          <w:color w:val="auto"/>
        </w:rPr>
      </w:pPr>
      <w:r>
        <w:rPr>
          <w:rFonts w:ascii="Times New Roman" w:cs="Times New Roman" w:eastAsia="Times New Roman" w:hAnsi="Times New Roman"/>
          <w:sz w:val="18"/>
          <w:szCs w:val="18"/>
          <w:color w:val="auto"/>
        </w:rPr>
        <w:t xml:space="preserve">subject to the first priority security interest of the FF&amp;E Security Documents while the FF&amp;E Agent simultaneously releases another particular type or class of items of Eligible FF&amp;E Equipment currently part of the FF&amp;E Component and subject to the FF&amp;E Security Documents and selected by the FF&amp;E Agent, in order that, in either case, the aggregate principal amount of Loans advanced under the FF&amp;E Facility (excluding the amounts advanced pursuant to </w:t>
      </w:r>
      <w:r>
        <w:rPr>
          <w:rFonts w:ascii="Times New Roman" w:cs="Times New Roman" w:eastAsia="Times New Roman" w:hAnsi="Times New Roman"/>
          <w:sz w:val="18"/>
          <w:szCs w:val="18"/>
          <w:i w:val="1"/>
          <w:iCs w:val="1"/>
          <w:color w:val="auto"/>
        </w:rPr>
        <w:t>Sections 2.5.1(b)</w:t>
      </w:r>
      <w:r>
        <w:rPr>
          <w:rFonts w:ascii="Times New Roman" w:cs="Times New Roman" w:eastAsia="Times New Roman" w:hAnsi="Times New Roman"/>
          <w:sz w:val="18"/>
          <w:szCs w:val="18"/>
          <w:color w:val="auto"/>
        </w:rPr>
        <w:t xml:space="preserve"> of the Disbursement Agreement) does not exceed 75% of the Fair Market Value of the FF&amp;E Component (excluding the Aircraft), and second (B) additional items of Eligible FF&amp;E Equipment of any type or class selected by the Company (and otherwise acceptable to the FF&amp;E Agent) to become part of the FF&amp;E Component and subject to the first priority security interest of the FF&amp;E Security Documents.</w:t>
      </w:r>
    </w:p>
    <w:p>
      <w:pPr>
        <w:spacing w:after="0" w:line="193" w:lineRule="exact"/>
        <w:rPr>
          <w:sz w:val="20"/>
          <w:szCs w:val="20"/>
          <w:color w:val="auto"/>
        </w:rPr>
      </w:pPr>
    </w:p>
    <w:p>
      <w:pPr>
        <w:ind w:left="1080" w:right="280" w:firstLine="360"/>
        <w:spacing w:after="0" w:line="277" w:lineRule="auto"/>
        <w:tabs>
          <w:tab w:leader="none" w:pos="173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final </w:t>
      </w:r>
      <w:r>
        <w:rPr>
          <w:rFonts w:ascii="Times New Roman" w:cs="Times New Roman" w:eastAsia="Times New Roman" w:hAnsi="Times New Roman"/>
          <w:sz w:val="18"/>
          <w:szCs w:val="18"/>
          <w:i w:val="1"/>
          <w:iCs w:val="1"/>
          <w:color w:val="auto"/>
        </w:rPr>
        <w:t>Exhibit T-3</w:t>
      </w:r>
      <w:r>
        <w:rPr>
          <w:rFonts w:ascii="Times New Roman" w:cs="Times New Roman" w:eastAsia="Times New Roman" w:hAnsi="Times New Roman"/>
          <w:sz w:val="18"/>
          <w:szCs w:val="18"/>
          <w:color w:val="auto"/>
        </w:rPr>
        <w:t xml:space="preserve"> listing the fixtures, furniture and equipment that constitutes the FF&amp;E Component shall have been delivered by the Company to the Construction Consultant and the Disbursement Agent.</w:t>
      </w:r>
    </w:p>
    <w:p>
      <w:pPr>
        <w:spacing w:after="0" w:line="172" w:lineRule="exact"/>
        <w:rPr>
          <w:rFonts w:ascii="Times New Roman" w:cs="Times New Roman" w:eastAsia="Times New Roman" w:hAnsi="Times New Roman"/>
          <w:sz w:val="18"/>
          <w:szCs w:val="18"/>
          <w:color w:val="auto"/>
        </w:rPr>
      </w:pPr>
    </w:p>
    <w:p>
      <w:pPr>
        <w:ind w:left="540" w:right="200" w:firstLine="359"/>
        <w:spacing w:after="0" w:line="275" w:lineRule="auto"/>
        <w:tabs>
          <w:tab w:leader="none" w:pos="117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Insurer shall have issued a title insurance endorsement with respect to all work performed by any Contractor or Subcontractor prior to the Completion Date;</w:t>
      </w:r>
    </w:p>
    <w:p>
      <w:pPr>
        <w:spacing w:after="0" w:line="171" w:lineRule="exact"/>
        <w:rPr>
          <w:rFonts w:ascii="Times New Roman" w:cs="Times New Roman" w:eastAsia="Times New Roman" w:hAnsi="Times New Roman"/>
          <w:sz w:val="18"/>
          <w:szCs w:val="18"/>
          <w:color w:val="auto"/>
        </w:rPr>
      </w:pPr>
    </w:p>
    <w:p>
      <w:pPr>
        <w:ind w:left="540" w:firstLine="359"/>
        <w:spacing w:after="0" w:line="264" w:lineRule="auto"/>
        <w:tabs>
          <w:tab w:leader="none" w:pos="124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an update to the Business Plan previously delivered under </w:t>
      </w:r>
      <w:r>
        <w:rPr>
          <w:rFonts w:ascii="Times New Roman" w:cs="Times New Roman" w:eastAsia="Times New Roman" w:hAnsi="Times New Roman"/>
          <w:sz w:val="18"/>
          <w:szCs w:val="18"/>
          <w:i w:val="1"/>
          <w:iCs w:val="1"/>
          <w:color w:val="auto"/>
        </w:rPr>
        <w:t>Section 3.1.9</w:t>
      </w:r>
      <w:r>
        <w:rPr>
          <w:rFonts w:ascii="Times New Roman" w:cs="Times New Roman" w:eastAsia="Times New Roman" w:hAnsi="Times New Roman"/>
          <w:sz w:val="18"/>
          <w:szCs w:val="18"/>
          <w:color w:val="auto"/>
        </w:rPr>
        <w:t xml:space="preserve"> of the Disbursement Agreement and a written analysis of the business and prospects of the Loan Parties, in each case for the period from the Completion Date through the end of the calendar year in which the Completion Date occurs, all in form and substance satisfactory to the Bank Lenders and the FF&amp;E Lenders;</w:t>
      </w:r>
    </w:p>
    <w:p>
      <w:pPr>
        <w:spacing w:after="0" w:line="183" w:lineRule="exact"/>
        <w:rPr>
          <w:rFonts w:ascii="Times New Roman" w:cs="Times New Roman" w:eastAsia="Times New Roman" w:hAnsi="Times New Roman"/>
          <w:sz w:val="18"/>
          <w:szCs w:val="18"/>
          <w:color w:val="auto"/>
        </w:rPr>
      </w:pPr>
    </w:p>
    <w:p>
      <w:pPr>
        <w:ind w:left="540" w:right="120" w:firstLine="359"/>
        <w:spacing w:after="0" w:line="262" w:lineRule="auto"/>
        <w:tabs>
          <w:tab w:leader="none" w:pos="11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Prime Contractor, the Golf Course Contractor and the Parking Structure Contractor each shall have delivered its Completion Certificate certifying, among other things, as to "substantial completion" of the work under its respective Construction Agreement and such certifications shall have been accepted by the Company and the Construction Consultant in accordance with </w:t>
      </w:r>
      <w:r>
        <w:rPr>
          <w:rFonts w:ascii="Times New Roman" w:cs="Times New Roman" w:eastAsia="Times New Roman" w:hAnsi="Times New Roman"/>
          <w:sz w:val="18"/>
          <w:szCs w:val="18"/>
          <w:i w:val="1"/>
          <w:iCs w:val="1"/>
          <w:color w:val="auto"/>
        </w:rPr>
        <w:t>Section 6.2.2</w:t>
      </w:r>
      <w:r>
        <w:rPr>
          <w:rFonts w:ascii="Times New Roman" w:cs="Times New Roman" w:eastAsia="Times New Roman" w:hAnsi="Times New Roman"/>
          <w:sz w:val="18"/>
          <w:szCs w:val="18"/>
          <w:color w:val="auto"/>
        </w:rPr>
        <w:t xml:space="preserve"> of the Disbursement Agreement; and</w:t>
      </w:r>
    </w:p>
    <w:p>
      <w:pPr>
        <w:spacing w:after="0" w:line="184" w:lineRule="exact"/>
        <w:rPr>
          <w:rFonts w:ascii="Times New Roman" w:cs="Times New Roman" w:eastAsia="Times New Roman" w:hAnsi="Times New Roman"/>
          <w:sz w:val="18"/>
          <w:szCs w:val="18"/>
          <w:color w:val="auto"/>
        </w:rPr>
      </w:pPr>
    </w:p>
    <w:p>
      <w:pPr>
        <w:ind w:left="540" w:right="80" w:firstLine="359"/>
        <w:spacing w:after="0" w:line="257" w:lineRule="auto"/>
        <w:tabs>
          <w:tab w:leader="none" w:pos="11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Contract and Subcontract for which a Payment and Performance Bond is required pursuant to </w:t>
      </w:r>
      <w:r>
        <w:rPr>
          <w:rFonts w:ascii="Times New Roman" w:cs="Times New Roman" w:eastAsia="Times New Roman" w:hAnsi="Times New Roman"/>
          <w:sz w:val="18"/>
          <w:szCs w:val="18"/>
          <w:i w:val="1"/>
          <w:iCs w:val="1"/>
          <w:color w:val="auto"/>
        </w:rPr>
        <w:t>Section 5.14</w:t>
      </w:r>
      <w:r>
        <w:rPr>
          <w:rFonts w:ascii="Times New Roman" w:cs="Times New Roman" w:eastAsia="Times New Roman" w:hAnsi="Times New Roman"/>
          <w:sz w:val="18"/>
          <w:szCs w:val="18"/>
          <w:color w:val="auto"/>
        </w:rPr>
        <w:t xml:space="preserve"> of the Disbursement Agreement and for which the Company (or the applicable Contractor) will release retainage as a result of Completion being achieved, the Company shall have delivered from the surety under each such Payment and Performance Bond (i) a "Consent of Surety to Reduction in or Partial Release of Retainage" (AIA form G707A) if a partial release of Retainage Amounts held under such Contract or Subcontract will be made or (ii) a "Consent of Surety to Final Payment" (AIA form G707) if a release of all Retainage Amounts held under such Contract or Subcontract will be made).</w:t>
      </w:r>
    </w:p>
    <w:p>
      <w:pPr>
        <w:spacing w:after="0" w:line="188" w:lineRule="exact"/>
        <w:rPr>
          <w:sz w:val="20"/>
          <w:szCs w:val="20"/>
          <w:color w:val="auto"/>
        </w:rPr>
      </w:pPr>
    </w:p>
    <w:p>
      <w:pPr>
        <w:ind w:right="2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"Completion Certificates" means, collectively, the Completion Certificates in the form of </w:t>
      </w:r>
      <w:r>
        <w:rPr>
          <w:rFonts w:ascii="Times New Roman" w:cs="Times New Roman" w:eastAsia="Times New Roman" w:hAnsi="Times New Roman"/>
          <w:sz w:val="18"/>
          <w:szCs w:val="18"/>
          <w:i w:val="1"/>
          <w:iCs w:val="1"/>
          <w:color w:val="auto"/>
        </w:rPr>
        <w:t>Exhibits W-1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W-8</w:t>
      </w:r>
      <w:r>
        <w:rPr>
          <w:rFonts w:ascii="Times New Roman" w:cs="Times New Roman" w:eastAsia="Times New Roman" w:hAnsi="Times New Roman"/>
          <w:sz w:val="18"/>
          <w:szCs w:val="18"/>
          <w:color w:val="auto"/>
        </w:rPr>
        <w:t xml:space="preserve"> to the Disbursement Agreement to be delivered by the Company, the Construction Consultant, the Project Architect, the Prime Contractor, the Golf Course Designer, the Aqua Theater Designer, the Golf Course Contractor and the Parking Structure Contractor, respectively.</w:t>
      </w:r>
    </w:p>
    <w:p>
      <w:pPr>
        <w:spacing w:after="0" w:line="183"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"Completion Date" means the date on which the Disbursement Agent countersigns the Company's Completion Certificate acknowledging that Completion has occurred.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"Completion Guarantor" means Wynn Completion Guarantor, L.L.C., a Nevada limited liability company.</w:t>
      </w:r>
    </w:p>
    <w:p>
      <w:pPr>
        <w:spacing w:after="0" w:line="225"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"Completion Guaranty" means that certain Completion Guaranty dated as of October 30, 2002 executed by the Completion Guarantor in favor of the Bank Agent (acting on behalf of the Bank Lenders) and the Indenture Trustee (acting on behalf of the Second Mortgage Note Holders).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"Completion Guaranty Collateral Account Agreements" means, collectively, the Bank Completion Guaranty Collateral Account Agreement and the Second Mortgage Notes Completion Guaranty Collateral Account Agreement.</w:t>
      </w:r>
    </w:p>
    <w:p>
      <w:pPr>
        <w:sectPr>
          <w:pgSz w:w="11900" w:h="16838" w:orient="portrait"/>
          <w:cols w:equalWidth="0" w:num="1">
            <w:col w:w="11400"/>
          </w:cols>
          <w:pgMar w:left="240" w:top="123" w:right="259" w:bottom="0" w:gutter="0" w:footer="0" w:header="0"/>
        </w:sectPr>
      </w:pPr>
    </w:p>
    <w:bookmarkStart w:id="63" w:name="page64"/>
    <w:bookmarkEnd w:id="63"/>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"Completion Guaranty Deposit Account" means the account referenced in </w:t>
      </w:r>
      <w:r>
        <w:rPr>
          <w:rFonts w:ascii="Times New Roman" w:cs="Times New Roman" w:eastAsia="Times New Roman" w:hAnsi="Times New Roman"/>
          <w:sz w:val="18"/>
          <w:szCs w:val="18"/>
          <w:i w:val="1"/>
          <w:iCs w:val="1"/>
          <w:color w:val="auto"/>
        </w:rPr>
        <w:t>Section 2.3.11</w:t>
      </w:r>
      <w:r>
        <w:rPr>
          <w:rFonts w:ascii="Times New Roman" w:cs="Times New Roman" w:eastAsia="Times New Roman" w:hAnsi="Times New Roman"/>
          <w:sz w:val="18"/>
          <w:szCs w:val="18"/>
          <w:color w:val="auto"/>
        </w:rPr>
        <w:t xml:space="preserve"> of the Disbursement Agreement and established pursuant to the Completion Guaranty Collateral Account Agreement.</w:t>
      </w:r>
    </w:p>
    <w:p>
      <w:pPr>
        <w:spacing w:after="0" w:line="170"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"Completion Guaranty Release Certificates" means, collectively, the Completion Guaranty Release Certificates in the form of </w:t>
      </w:r>
      <w:r>
        <w:rPr>
          <w:rFonts w:ascii="Times New Roman" w:cs="Times New Roman" w:eastAsia="Times New Roman" w:hAnsi="Times New Roman"/>
          <w:sz w:val="18"/>
          <w:szCs w:val="18"/>
          <w:i w:val="1"/>
          <w:iCs w:val="1"/>
          <w:color w:val="auto"/>
        </w:rPr>
        <w:t>Exhibits V-5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V-6</w:t>
      </w:r>
      <w:r>
        <w:rPr>
          <w:rFonts w:ascii="Times New Roman" w:cs="Times New Roman" w:eastAsia="Times New Roman" w:hAnsi="Times New Roman"/>
          <w:sz w:val="18"/>
          <w:szCs w:val="18"/>
          <w:color w:val="auto"/>
        </w:rPr>
        <w:t xml:space="preserve"> to the Disbursement Agreement to be delivered by the Company and the Construction Consultant, respectively.</w:t>
      </w:r>
    </w:p>
    <w:p>
      <w:pPr>
        <w:spacing w:after="0" w:line="172"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 xml:space="preserve">"Completion Guaranty Release Conditions" means that (a) Completion shall have occurred, (b) 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 (c) the Funding Agents have received final 101.6 endorsements from the Title Insurer insuring the priority of their respective Liens on the Project Security, (d) the Company shall have delivered to the Disbursement Agent, the Bank Agent, the Indenture Trustee and the FF&amp;E Agent its Completion Guaranty Release Certificate certifying that (i) all Project Punchlist Items have been completed other than Punchlist Items with an aggregate value (as reasonably determined by the Construction Consultant) of not more than $17.5 million so long as 150% of the Project Punchlist Completion Amount for such uncompleted Punchlist Items shall have been reserved in the Company's Funds Account, the Bank Proceeds Account, the FF&amp;E Proceeds Account and/or the Completion Guaranty Deposit Account and (ii) the Company has settled with the Contractors all claims for payments and amounts due under the Contracts and the Company has received a final lien release from each Contractor and Subcontractor as required under the Disbursement Agreement, each in the form of </w:t>
      </w:r>
      <w:r>
        <w:rPr>
          <w:rFonts w:ascii="Times New Roman" w:cs="Times New Roman" w:eastAsia="Times New Roman" w:hAnsi="Times New Roman"/>
          <w:sz w:val="16"/>
          <w:szCs w:val="16"/>
          <w:i w:val="1"/>
          <w:iCs w:val="1"/>
          <w:color w:val="auto"/>
        </w:rPr>
        <w:t>Exhibit N</w:t>
      </w:r>
      <w:r>
        <w:rPr>
          <w:rFonts w:ascii="Times New Roman" w:cs="Times New Roman" w:eastAsia="Times New Roman" w:hAnsi="Times New Roman"/>
          <w:sz w:val="16"/>
          <w:szCs w:val="16"/>
          <w:color w:val="auto"/>
        </w:rPr>
        <w:t xml:space="preserve"> to the Prime Construction Contract other than with respect to disputed claims (including claims subject to audit before payment) not exceeding $15.0 million in the aggregate so long as an amount equal to such disputed amounts shall have been reserved in the Company's Funds Account, the Bank Proceeds Account, the FF&amp;E Proceeds Account and/or the Completion Guaranty Deposit Account, (e) the Construction Consultant shall have delivered its Completion Guaranty Release Certificate, and (f) the Company shall have delivered from the surety under each Payment and Performance Bond required pursuant to </w:t>
      </w:r>
      <w:r>
        <w:rPr>
          <w:rFonts w:ascii="Times New Roman" w:cs="Times New Roman" w:eastAsia="Times New Roman" w:hAnsi="Times New Roman"/>
          <w:sz w:val="16"/>
          <w:szCs w:val="16"/>
          <w:i w:val="1"/>
          <w:iCs w:val="1"/>
          <w:color w:val="auto"/>
        </w:rPr>
        <w:t>Section 5.14</w:t>
      </w:r>
      <w:r>
        <w:rPr>
          <w:rFonts w:ascii="Times New Roman" w:cs="Times New Roman" w:eastAsia="Times New Roman" w:hAnsi="Times New Roman"/>
          <w:sz w:val="16"/>
          <w:szCs w:val="16"/>
          <w:color w:val="auto"/>
        </w:rPr>
        <w:t xml:space="preserve"> of the Disbursement Agreement a "Consent of Surety to Final Payment" (AIA form G707) other than with respect to Contracts and Subcontracts which the Company is disputing amounts in accordance with clause (d)(ii) above.</w:t>
      </w:r>
    </w:p>
    <w:p>
      <w:pPr>
        <w:spacing w:after="0" w:line="388"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"Completion Guaranty Release Date" means the date on which the Disbursement Agent countersigns the Company's Completion Guaranty Release Certificate acknowledging that Completion Guaranty Release Conditions have been satisfied.</w:t>
      </w:r>
    </w:p>
    <w:p>
      <w:pPr>
        <w:spacing w:after="0" w:line="172"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"Consents" means consents to the collateral assignment by the Company of Material Project Documents in the form of </w:t>
      </w:r>
      <w:r>
        <w:rPr>
          <w:rFonts w:ascii="Times New Roman" w:cs="Times New Roman" w:eastAsia="Times New Roman" w:hAnsi="Times New Roman"/>
          <w:sz w:val="18"/>
          <w:szCs w:val="18"/>
          <w:i w:val="1"/>
          <w:iCs w:val="1"/>
          <w:color w:val="auto"/>
        </w:rPr>
        <w:t>Exhibit S</w:t>
      </w:r>
      <w:r>
        <w:rPr>
          <w:rFonts w:ascii="Times New Roman" w:cs="Times New Roman" w:eastAsia="Times New Roman" w:hAnsi="Times New Roman"/>
          <w:sz w:val="18"/>
          <w:szCs w:val="18"/>
          <w:color w:val="auto"/>
        </w:rPr>
        <w:t xml:space="preserve"> to the Disbursement Agreement.</w:t>
      </w:r>
    </w:p>
    <w:p>
      <w:pPr>
        <w:spacing w:after="0" w:line="172" w:lineRule="exact"/>
        <w:rPr>
          <w:sz w:val="20"/>
          <w:szCs w:val="20"/>
          <w:color w:val="auto"/>
        </w:rPr>
      </w:pPr>
    </w:p>
    <w:p>
      <w:pPr>
        <w:ind w:right="720" w:firstLine="351"/>
        <w:spacing w:after="0" w:line="275" w:lineRule="auto"/>
        <w:rPr>
          <w:sz w:val="20"/>
          <w:szCs w:val="20"/>
          <w:color w:val="auto"/>
        </w:rPr>
      </w:pPr>
      <w:r>
        <w:rPr>
          <w:rFonts w:ascii="Times New Roman" w:cs="Times New Roman" w:eastAsia="Times New Roman" w:hAnsi="Times New Roman"/>
          <w:sz w:val="18"/>
          <w:szCs w:val="18"/>
          <w:color w:val="auto"/>
        </w:rPr>
        <w:t>"Construction Agreements" means, collectively, the Prime Construction Contract, the Golf Course Construction Contract and the Parking Structure Construction Contract.</w:t>
      </w:r>
    </w:p>
    <w:p>
      <w:pPr>
        <w:spacing w:after="0" w:line="174"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"Construction Consultant" means Inspection &amp; Valuation International, Inc. or any other Person designated from time to time by the Bank Agent, in its sole discretion acting pursuant to the Disbursement Agreement, to serve as the Construction Consultant under the Disbursement Agreement.</w:t>
      </w:r>
    </w:p>
    <w:p>
      <w:pPr>
        <w:spacing w:after="0" w:line="174" w:lineRule="exact"/>
        <w:rPr>
          <w:sz w:val="20"/>
          <w:szCs w:val="20"/>
          <w:color w:val="auto"/>
        </w:rPr>
      </w:pPr>
    </w:p>
    <w:p>
      <w:pPr>
        <w:ind w:right="780" w:firstLine="351"/>
        <w:spacing w:after="0" w:line="339" w:lineRule="auto"/>
        <w:rPr>
          <w:sz w:val="20"/>
          <w:szCs w:val="20"/>
          <w:color w:val="auto"/>
        </w:rPr>
      </w:pPr>
      <w:r>
        <w:rPr>
          <w:rFonts w:ascii="Times New Roman" w:cs="Times New Roman" w:eastAsia="Times New Roman" w:hAnsi="Times New Roman"/>
          <w:sz w:val="16"/>
          <w:szCs w:val="16"/>
          <w:color w:val="auto"/>
        </w:rPr>
        <w:t>"Construction Consultant Engagement Agreement" means that certain engagement letter dated as of July 17, 2002 by and among the Construction Consultant and Deutsche Bank Trust Company Americas, as amended by that certain letter dated as of October 30, 2002 by and among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Consultant, the Representatives of the Underwriters, the Disbursement Agent, the Bank Agent, the Indenture Trustee and the FF&amp;E Agent.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"Construction Consultant's Advance Certificate" means an advance certificate in the form of </w:t>
      </w:r>
      <w:r>
        <w:rPr>
          <w:rFonts w:ascii="Times New Roman" w:cs="Times New Roman" w:eastAsia="Times New Roman" w:hAnsi="Times New Roman"/>
          <w:sz w:val="18"/>
          <w:szCs w:val="18"/>
          <w:i w:val="1"/>
          <w:iCs w:val="1"/>
          <w:color w:val="auto"/>
        </w:rPr>
        <w:t>Exhibit C-2</w:t>
      </w:r>
      <w:r>
        <w:rPr>
          <w:rFonts w:ascii="Times New Roman" w:cs="Times New Roman" w:eastAsia="Times New Roman" w:hAnsi="Times New Roman"/>
          <w:sz w:val="18"/>
          <w:szCs w:val="18"/>
          <w:color w:val="auto"/>
        </w:rPr>
        <w:t xml:space="preserve"> to the Distribution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"Construction Consultant's Closing Certificate" means a closing certificate in the form of </w:t>
      </w:r>
      <w:r>
        <w:rPr>
          <w:rFonts w:ascii="Times New Roman" w:cs="Times New Roman" w:eastAsia="Times New Roman" w:hAnsi="Times New Roman"/>
          <w:sz w:val="18"/>
          <w:szCs w:val="18"/>
          <w:i w:val="1"/>
          <w:iCs w:val="1"/>
          <w:color w:val="auto"/>
        </w:rPr>
        <w:t>Exhibit B-2</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right="100" w:firstLine="351"/>
        <w:spacing w:after="0" w:line="291" w:lineRule="auto"/>
        <w:rPr>
          <w:sz w:val="20"/>
          <w:szCs w:val="20"/>
          <w:color w:val="auto"/>
        </w:rPr>
      </w:pPr>
      <w:r>
        <w:rPr>
          <w:rFonts w:ascii="Times New Roman" w:cs="Times New Roman" w:eastAsia="Times New Roman" w:hAnsi="Times New Roman"/>
          <w:sz w:val="16"/>
          <w:szCs w:val="16"/>
          <w:color w:val="auto"/>
        </w:rPr>
        <w:t xml:space="preserve">"Construction Consultant's Report" means a report or an updated report of the Construction Consultant delivered to the Disbursement Agent, the Bank Agent, the Representatives of the Underwriters and the FF&amp;E Agent pursuant to </w:t>
      </w:r>
      <w:r>
        <w:rPr>
          <w:rFonts w:ascii="Times New Roman" w:cs="Times New Roman" w:eastAsia="Times New Roman" w:hAnsi="Times New Roman"/>
          <w:sz w:val="16"/>
          <w:szCs w:val="16"/>
          <w:i w:val="1"/>
          <w:iCs w:val="1"/>
          <w:color w:val="auto"/>
        </w:rPr>
        <w:t>Section 3.1.11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Section 3.3.25</w:t>
      </w:r>
      <w:r>
        <w:rPr>
          <w:rFonts w:ascii="Times New Roman" w:cs="Times New Roman" w:eastAsia="Times New Roman" w:hAnsi="Times New Roman"/>
          <w:sz w:val="16"/>
          <w:szCs w:val="16"/>
          <w:color w:val="auto"/>
        </w:rPr>
        <w:t xml:space="preserve"> of the Disbursement Agreement and stating, among other things, that (a) the Construction Consultant has reviewed the Material Project Documents, the Plans and Specifications, and other material information deemed necessary by the Construction Consultant for the purpose of evaluating whether the Project can be constructed and completed in the manner contemplated by the Operative Documents, and (b) based on its review of such information, the Construction Consultant is of the opinion that the Project can be constructed in the manner contemplated by the Operative Documents and, in particular, that the Project can be constructed and completed in accordance with the Material Project Documents and the Plans and Specifications within the parameters set by the Project Schedule and the Project Budget.</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"Construction Guarantor" means Austi, Inc., a Nevada corporation.</w:t>
      </w:r>
    </w:p>
    <w:p>
      <w:pPr>
        <w:spacing w:after="0" w:line="225" w:lineRule="exact"/>
        <w:rPr>
          <w:sz w:val="20"/>
          <w:szCs w:val="20"/>
          <w:color w:val="auto"/>
        </w:rPr>
      </w:pPr>
    </w:p>
    <w:p>
      <w:pPr>
        <w:ind w:right="600" w:firstLine="351"/>
        <w:spacing w:after="0" w:line="275" w:lineRule="auto"/>
        <w:rPr>
          <w:sz w:val="20"/>
          <w:szCs w:val="20"/>
          <w:color w:val="auto"/>
        </w:rPr>
      </w:pPr>
      <w:r>
        <w:rPr>
          <w:rFonts w:ascii="Times New Roman" w:cs="Times New Roman" w:eastAsia="Times New Roman" w:hAnsi="Times New Roman"/>
          <w:sz w:val="18"/>
          <w:szCs w:val="18"/>
          <w:color w:val="auto"/>
        </w:rPr>
        <w:t>"Construction Guaranty" means that certain Amended and Restated Continuing Guaranty dated as of October 22, 2002 executed by the Construction Guarantor in favor of Wynn Las Vegas.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"Contract Amendment Certificate" means a Contract Amendment Certificate in the form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"Contractors" means any architects, consultants, designers, contractors, Subcontractors, suppliers, laborers or any other Persons engaged by any Loan Party in connection with the design, engineering, installation and construction of the Project (including the Prime Contractor, the Golf Course Contractor, the Parking Structure Contractor, the Golf Course Designer and the Aqua Theater Designer).</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"Contracts" means, collectively, the contracts entered into, from time to time, between any Loan Party and any Contractor for performance of services or sale of goods in connection with the design, engineering, installation or construction of the Project (including Construction Agreements, each Payment and Performance Bond and the Professional Design Services Agreements).</w:t>
      </w:r>
    </w:p>
    <w:p>
      <w:pPr>
        <w:spacing w:after="0" w:line="186" w:lineRule="exact"/>
        <w:rPr>
          <w:sz w:val="20"/>
          <w:szCs w:val="20"/>
          <w:color w:val="auto"/>
        </w:rPr>
      </w:pPr>
    </w:p>
    <w:p>
      <w:pPr>
        <w:ind w:right="260" w:firstLine="351"/>
        <w:spacing w:after="0" w:line="339" w:lineRule="auto"/>
        <w:rPr>
          <w:sz w:val="20"/>
          <w:szCs w:val="20"/>
          <w:color w:val="auto"/>
        </w:rPr>
      </w:pPr>
      <w:r>
        <w:rPr>
          <w:rFonts w:ascii="Times New Roman" w:cs="Times New Roman" w:eastAsia="Times New Roman" w:hAnsi="Times New Roman"/>
          <w:sz w:val="16"/>
          <w:szCs w:val="16"/>
          <w:color w:val="auto"/>
        </w:rPr>
        <w:t xml:space="preserve">"Controlled Group" means all members of a controlled group of corporations and all trades or businesses (whether or not incorporated) under common control which, together with the Company, are treated as a single employer under </w:t>
      </w:r>
      <w:r>
        <w:rPr>
          <w:rFonts w:ascii="Times New Roman" w:cs="Times New Roman" w:eastAsia="Times New Roman" w:hAnsi="Times New Roman"/>
          <w:sz w:val="16"/>
          <w:szCs w:val="16"/>
          <w:i w:val="1"/>
          <w:iCs w:val="1"/>
          <w:color w:val="auto"/>
        </w:rPr>
        <w:t>Section 414(b)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414(c)</w:t>
      </w:r>
      <w:r>
        <w:rPr>
          <w:rFonts w:ascii="Times New Roman" w:cs="Times New Roman" w:eastAsia="Times New Roman" w:hAnsi="Times New Roman"/>
          <w:sz w:val="16"/>
          <w:szCs w:val="16"/>
          <w:color w:val="auto"/>
        </w:rPr>
        <w:t xml:space="preserve"> of the Internal Revenue Code of 1986, as amended.</w:t>
      </w:r>
    </w:p>
    <w:p>
      <w:pPr>
        <w:spacing w:after="0" w:line="128" w:lineRule="exact"/>
        <w:rPr>
          <w:sz w:val="20"/>
          <w:szCs w:val="20"/>
          <w:color w:val="auto"/>
        </w:rPr>
      </w:pPr>
    </w:p>
    <w:p>
      <w:pPr>
        <w:ind w:right="60" w:firstLine="351"/>
        <w:spacing w:after="0" w:line="339" w:lineRule="auto"/>
        <w:rPr>
          <w:sz w:val="20"/>
          <w:szCs w:val="20"/>
          <w:color w:val="auto"/>
        </w:rPr>
      </w:pPr>
      <w:r>
        <w:rPr>
          <w:rFonts w:ascii="Times New Roman" w:cs="Times New Roman" w:eastAsia="Times New Roman" w:hAnsi="Times New Roman"/>
          <w:sz w:val="16"/>
          <w:szCs w:val="16"/>
          <w:color w:val="auto"/>
        </w:rPr>
        <w:t>"Controlling Person" means (a) until the initial Advance under the Bank Credit Facility, the Indenture Trustee and (b) from and after the initial Advance under the Bank Credit Facility, (i) in connection with the exercise of remedies with respect to, or disbursement of funds from, the FF&amp;E Proceeds Account or the</w:t>
      </w:r>
    </w:p>
    <w:p>
      <w:pPr>
        <w:sectPr>
          <w:pgSz w:w="11900" w:h="16838" w:orient="portrait"/>
          <w:cols w:equalWidth="0" w:num="1">
            <w:col w:w="11400"/>
          </w:cols>
          <w:pgMar w:left="240" w:top="123" w:right="259" w:bottom="0" w:gutter="0" w:footer="0" w:header="0"/>
        </w:sectPr>
      </w:pPr>
    </w:p>
    <w:bookmarkStart w:id="64" w:name="page65"/>
    <w:bookmarkEnd w:id="64"/>
    <w:p>
      <w:pPr>
        <w:ind w:right="240"/>
        <w:spacing w:after="0" w:line="258" w:lineRule="auto"/>
        <w:rPr>
          <w:sz w:val="20"/>
          <w:szCs w:val="20"/>
          <w:color w:val="auto"/>
        </w:rPr>
      </w:pPr>
      <w:r>
        <w:rPr>
          <w:rFonts w:ascii="Times New Roman" w:cs="Times New Roman" w:eastAsia="Times New Roman" w:hAnsi="Times New Roman"/>
          <w:sz w:val="18"/>
          <w:szCs w:val="18"/>
          <w:color w:val="auto"/>
        </w:rPr>
        <w:t>Company's FF&amp;E Payment Account during a Potential Event of Default or Event of Default, the FF&amp;E Agent; (ii) from and after the funding of the FF&amp;E Reimbursement Advance by the FF&amp;E Lenders, in connection with the exercise of remedies with respect to the FF&amp;E Component during a Potential Event of Default or Event of Default or any other matter relating exclusively to the FF&amp;E Component, the FF&amp;E Agent; and (iii) in connection with any matter not specifically addressed in clauses (b)(i) and (ii) above, the Bank Agent.</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"Dealership Lease Agreement" means that certain Lease Agreement to be entered into by Wynn Las Vegas, as lessor, and an Affiliate of Wynn Las Vegas, as lessee, with respect to the lease of space at the Casino Land for the development and operation of a Ferrari and Maserati automobile dealership.</w:t>
      </w:r>
    </w:p>
    <w:p>
      <w:pPr>
        <w:spacing w:after="0" w:line="174"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"Debt Service" means all principal repayments, interest or premium, if any, and other amounts payable or accrued from time to time under any of the Bank Credit Agreement, the Second Mortgage Notes, or the FF&amp;E Facility.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"Deeds of Trust" means, collectively, the Bank Deeds of Trust and the Second Mortgage Notes Deeds of Trust.</w:t>
      </w:r>
    </w:p>
    <w:p>
      <w:pPr>
        <w:spacing w:after="0" w:line="223"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"De Minimis Scope Change(s)" means any Scope Change which does not increase or decrease the amount of Project Costs by more than $250,000;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absolute value of all such De Minimis Scope Changes may not exceed $10,000,000, in the aggregate.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"Delivery Requirement" has the meaning given to such term in the Bank Credit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"Desert Inn Improvement"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"Desert Inn Water" means Desert Inn Water Company, LLC, a Nevada limited liability company.</w:t>
      </w:r>
    </w:p>
    <w:p>
      <w:pPr>
        <w:spacing w:after="0" w:line="225"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"Development Agreements" means collectively, that certain Restrictive Covenant Running with the Land by and between Clark County, Nevada and Sheraton Desert Inn Corporation, dated as of December 9, 1999, that certain Dedication Agreement by and between Clark County, Nevada and Hotel A LLC, a Nevada limited liability company, dated as of May 21, 2002 and any other agreements relating to the construction of the Project entered into between the Company and a Governmental Authority.</w:t>
      </w:r>
    </w:p>
    <w:p>
      <w:pPr>
        <w:spacing w:after="0" w:line="188" w:lineRule="exact"/>
        <w:rPr>
          <w:sz w:val="20"/>
          <w:szCs w:val="20"/>
          <w:color w:val="auto"/>
        </w:rPr>
      </w:pPr>
    </w:p>
    <w:p>
      <w:pPr>
        <w:jc w:val="center"/>
        <w:ind w:right="120"/>
        <w:spacing w:after="0" w:line="342" w:lineRule="auto"/>
        <w:rPr>
          <w:sz w:val="20"/>
          <w:szCs w:val="20"/>
          <w:color w:val="auto"/>
        </w:rPr>
      </w:pPr>
      <w:r>
        <w:rPr>
          <w:rFonts w:ascii="Times New Roman" w:cs="Times New Roman" w:eastAsia="Times New Roman" w:hAnsi="Times New Roman"/>
          <w:sz w:val="16"/>
          <w:szCs w:val="16"/>
          <w:color w:val="auto"/>
        </w:rPr>
        <w:t xml:space="preserve">"DIIC Permitted Encumbrances" means the exceptions set forth on </w:t>
      </w:r>
      <w:r>
        <w:rPr>
          <w:rFonts w:ascii="Times New Roman" w:cs="Times New Roman" w:eastAsia="Times New Roman" w:hAnsi="Times New Roman"/>
          <w:sz w:val="16"/>
          <w:szCs w:val="16"/>
          <w:i w:val="1"/>
          <w:iCs w:val="1"/>
          <w:color w:val="auto"/>
        </w:rPr>
        <w:t>Exhibit N-5</w:t>
      </w:r>
      <w:r>
        <w:rPr>
          <w:rFonts w:ascii="Times New Roman" w:cs="Times New Roman" w:eastAsia="Times New Roman" w:hAnsi="Times New Roman"/>
          <w:sz w:val="16"/>
          <w:szCs w:val="16"/>
          <w:color w:val="auto"/>
        </w:rPr>
        <w:t xml:space="preserve"> to the Disbursement Agreement and a standard A.L.T.A. exception for mechanics liens; provided that any mechanic's or materialmen's lien that has been actually filed or recorded shall not constitute a DIIC Permitted Encumbrance.</w:t>
      </w:r>
    </w:p>
    <w:p>
      <w:pPr>
        <w:spacing w:after="0" w:line="124"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"Disbursement Account" means the account referenced in </w:t>
      </w:r>
      <w:r>
        <w:rPr>
          <w:rFonts w:ascii="Times New Roman" w:cs="Times New Roman" w:eastAsia="Times New Roman" w:hAnsi="Times New Roman"/>
          <w:sz w:val="18"/>
          <w:szCs w:val="18"/>
          <w:i w:val="1"/>
          <w:iCs w:val="1"/>
          <w:color w:val="auto"/>
        </w:rPr>
        <w:t>Section 2.3.3</w:t>
      </w:r>
      <w:r>
        <w:rPr>
          <w:rFonts w:ascii="Times New Roman" w:cs="Times New Roman" w:eastAsia="Times New Roman" w:hAnsi="Times New Roman"/>
          <w:sz w:val="18"/>
          <w:szCs w:val="18"/>
          <w:color w:val="auto"/>
        </w:rPr>
        <w:t xml:space="preserve"> of the Disbursement Agreement and established pursuant to the Company Collateral Account Agreements.</w:t>
      </w:r>
    </w:p>
    <w:p>
      <w:pPr>
        <w:spacing w:after="0" w:line="172"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"Disbursement Agent" means Deutsche Bank Trust Company Americas, in its capacity as the disbursement agent under the Disbursement Agreement and its successors in such capacity.</w:t>
      </w:r>
    </w:p>
    <w:p>
      <w:pPr>
        <w:spacing w:after="0" w:line="174"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"Disbursement Agent Fee Letter" means that certain Disbursement Agent Fee Letter dated October 30, 2002 among the Company, Deutsche Bank Securities, Inc. and the Disbursement Agent.</w:t>
      </w:r>
    </w:p>
    <w:p>
      <w:pPr>
        <w:spacing w:after="0" w:line="174"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"Disbursement Agreement" means that certain Master Disbursement Agreement dated as of October 30, 2002 among the Company, the Bank Agent, the Indenture Trustee, the FF&amp;E Agent and the Disbursement Agent.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"Disposition" has the meaning given in the Bank Credit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"Dollar" and "$" means dollars in lawful currency of the United States of America.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"Driving Range Lease" means that certain Driving Range Lease dated as of October 21, 2002 between Valvino, as landlord, and Wynn Las Vegas, as tenant.</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"Eligible FF&amp;E Equipment" means the fixtures, furniture and equipment eligible to be financed under the FF&amp;E Facility and described on </w:t>
      </w:r>
      <w:r>
        <w:rPr>
          <w:rFonts w:ascii="Times New Roman" w:cs="Times New Roman" w:eastAsia="Times New Roman" w:hAnsi="Times New Roman"/>
          <w:sz w:val="18"/>
          <w:szCs w:val="18"/>
          <w:i w:val="1"/>
          <w:iCs w:val="1"/>
          <w:color w:val="auto"/>
        </w:rPr>
        <w:t>Exhibit T-2</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"Environmental Claim" means any and all obligations, liabilities, losses, administrative, regulatory or judicial actions, suits, demands, decrees, claims, liens, judgments, warning notices, notices of</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noncompliance or violation, investigations, proceedings, removal or remedial actions or orders, or damages (foreseeable and unforeseeable, including consequential and punitive damages), penalties, fees, out-of-pocket costs, expenses, disbursements, attorneys' or consultants' fees, relating in any way to any Environmental Law or any Permit issued under any such Environmental Law (hereafter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including (a) any and all Claims by Governmental Authorities for enforcement, cleanup, removal, response, remedial or other actions or damages pursuant to any applicable Environmental Law, and (b) any and all Claims by any third party seeking damages, contribution, indemnification, cost recovery, compensation or injunctive relief resulting from Hazardous Substances or arising from alleged injury or threat of injury to health, safety or the environment.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"Environmental Law" means any of:</w:t>
      </w:r>
    </w:p>
    <w:p>
      <w:pPr>
        <w:spacing w:after="0" w:line="223" w:lineRule="exact"/>
        <w:rPr>
          <w:sz w:val="20"/>
          <w:szCs w:val="20"/>
          <w:color w:val="auto"/>
        </w:rPr>
      </w:pPr>
    </w:p>
    <w:p>
      <w:pPr>
        <w:ind w:left="540" w:right="820" w:firstLine="359"/>
        <w:spacing w:after="0" w:line="277" w:lineRule="auto"/>
        <w:tabs>
          <w:tab w:leader="none" w:pos="11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Comprehensive Environmental Response, Compensation, and Liability Act of 1980, as amended (42 U.S.C. Section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CERCLA</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Water Pollution Control Act (33 U.S.C. Section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Clean Water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CWA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Resource Conservation and Recovery Act (42 U.S.C. Section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RCRA</w:t>
      </w:r>
      <w:r>
        <w:rPr>
          <w:rFonts w:ascii="Times New Roman" w:cs="Times New Roman" w:eastAsia="Times New Roman" w:hAnsi="Times New Roman"/>
          <w:sz w:val="18"/>
          <w:szCs w:val="18"/>
          <w:color w:val="auto"/>
        </w:rPr>
        <w:t>");</w:t>
      </w:r>
    </w:p>
    <w:p>
      <w:pPr>
        <w:sectPr>
          <w:pgSz w:w="11900" w:h="16838" w:orient="portrait"/>
          <w:cols w:equalWidth="0" w:num="1">
            <w:col w:w="11360"/>
          </w:cols>
          <w:pgMar w:left="240" w:top="125" w:right="299" w:bottom="0" w:gutter="0" w:footer="0" w:header="0"/>
        </w:sectPr>
      </w:pPr>
    </w:p>
    <w:bookmarkStart w:id="65" w:name="page66"/>
    <w:bookmarkEnd w:id="65"/>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Atomic Energy Act of 1954 (42 U.S.C. Section 2011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AEA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20" w:hanging="281"/>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Clean Air Act (42 U.S.C. Section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361"/>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Emergency Planning and Community Right to Know Act (42 U.S.C. Section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EPCRA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Insecticide, Fungicide, and Rodenticide Act (7 U.S.C. Section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FIFRA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Oil Pollution Act of 1990 (P.L. 101-380, 104 Stat. 486);</w:t>
      </w:r>
    </w:p>
    <w:p>
      <w:pPr>
        <w:spacing w:after="0" w:line="223" w:lineRule="exact"/>
        <w:rPr>
          <w:rFonts w:ascii="Times New Roman" w:cs="Times New Roman" w:eastAsia="Times New Roman" w:hAnsi="Times New Roman"/>
          <w:sz w:val="18"/>
          <w:szCs w:val="18"/>
          <w:color w:val="auto"/>
        </w:rPr>
      </w:pPr>
    </w:p>
    <w:p>
      <w:pPr>
        <w:ind w:left="880" w:hanging="341"/>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Safe Drinking Water Act (42 U.S.C. Sections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SDWA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341"/>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Surface Mining Control and Reclamation Act of 1974 (30 U.S.C. Sections 1201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SMCRA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Toxic Substances Control Act (15 U.S.C. Section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TSCA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341"/>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Hazardous Materials Transportation Act (49 U.S.C. Section 1801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HMTA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341"/>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Uranium Mill Tailings Radiation Control Act of 1978 (42 U.S.C. Section 7901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UMTRCA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Occupational Safety and Health Act (29 U.S.C. Section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OSHA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Hazardous Materials law (NRS Chapter 459);</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Collection and Disposal of Solid Waste law (NRS Chapter 444);</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Water Controls/Pollution law (NRS Chapter 445A);</w:t>
      </w:r>
    </w:p>
    <w:p>
      <w:pPr>
        <w:spacing w:after="0" w:line="225" w:lineRule="exact"/>
        <w:rPr>
          <w:rFonts w:ascii="Times New Roman" w:cs="Times New Roman" w:eastAsia="Times New Roman" w:hAnsi="Times New Roman"/>
          <w:sz w:val="18"/>
          <w:szCs w:val="18"/>
          <w:color w:val="auto"/>
        </w:rPr>
      </w:pPr>
    </w:p>
    <w:p>
      <w:pPr>
        <w:ind w:left="800" w:hanging="261"/>
        <w:spacing w:after="0"/>
        <w:tabs>
          <w:tab w:leader="none" w:pos="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Air Pollution law (NRS Chapter 445B);</w:t>
      </w:r>
    </w:p>
    <w:p>
      <w:pPr>
        <w:spacing w:after="0" w:line="225" w:lineRule="exact"/>
        <w:rPr>
          <w:rFonts w:ascii="Times New Roman" w:cs="Times New Roman" w:eastAsia="Times New Roman" w:hAnsi="Times New Roman"/>
          <w:sz w:val="18"/>
          <w:szCs w:val="18"/>
          <w:color w:val="auto"/>
        </w:rPr>
      </w:pPr>
    </w:p>
    <w:p>
      <w:pPr>
        <w:ind w:left="820" w:hanging="281"/>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Cleanup of Discharged Petroleum law (NRS 590.700 to 590.920, inclusive);</w:t>
      </w:r>
    </w:p>
    <w:p>
      <w:pPr>
        <w:spacing w:after="0" w:line="225" w:lineRule="exact"/>
        <w:rPr>
          <w:rFonts w:ascii="Times New Roman" w:cs="Times New Roman" w:eastAsia="Times New Roman" w:hAnsi="Times New Roman"/>
          <w:sz w:val="18"/>
          <w:szCs w:val="18"/>
          <w:color w:val="auto"/>
        </w:rPr>
      </w:pPr>
    </w:p>
    <w:p>
      <w:pPr>
        <w:ind w:left="880" w:hanging="341"/>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Control of Asbestos law (NRS 618.750 to 618.850);</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Appropriation of Public Waters law (NRS 533.437 to 533.4377, inclusive);</w:t>
      </w:r>
    </w:p>
    <w:p>
      <w:pPr>
        <w:spacing w:after="0" w:line="225"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Artificial Water Body Development Permit law (NRS 502.390);</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40" w:hanging="301"/>
        <w:spacing w:after="0"/>
        <w:tabs>
          <w:tab w:leader="none" w:pos="8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Nevada Protection of Endangered Species, Endangered Wildlife Permit (NRS 503.585) and Endangered Flora Permit law (NRS 527.270);</w:t>
      </w:r>
    </w:p>
    <w:p>
      <w:pPr>
        <w:spacing w:after="0" w:line="248" w:lineRule="exact"/>
        <w:rPr>
          <w:rFonts w:ascii="Times New Roman" w:cs="Times New Roman" w:eastAsia="Times New Roman" w:hAnsi="Times New Roman"/>
          <w:sz w:val="16"/>
          <w:szCs w:val="16"/>
          <w:color w:val="auto"/>
        </w:rPr>
      </w:pPr>
    </w:p>
    <w:p>
      <w:pPr>
        <w:ind w:left="840" w:hanging="301"/>
        <w:spacing w:after="0"/>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Environmental Requirements Law, NRS 445C.010 to NRS 445C.120, inclusive;</w:t>
      </w:r>
    </w:p>
    <w:p>
      <w:pPr>
        <w:spacing w:after="0" w:line="225" w:lineRule="exact"/>
        <w:rPr>
          <w:rFonts w:ascii="Times New Roman" w:cs="Times New Roman" w:eastAsia="Times New Roman" w:hAnsi="Times New Roman"/>
          <w:sz w:val="18"/>
          <w:szCs w:val="18"/>
          <w:color w:val="auto"/>
        </w:rPr>
      </w:pPr>
    </w:p>
    <w:p>
      <w:pPr>
        <w:ind w:left="820" w:hanging="281"/>
        <w:spacing w:after="0"/>
        <w:tabs>
          <w:tab w:leader="none" w:pos="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Regarding the Authority of the Nevada State Fire Marshall Division, NRS 477.010 to 477.250, inclusive;</w:t>
      </w:r>
    </w:p>
    <w:p>
      <w:pPr>
        <w:spacing w:after="0" w:line="225" w:lineRule="exact"/>
        <w:rPr>
          <w:sz w:val="20"/>
          <w:szCs w:val="20"/>
          <w:color w:val="auto"/>
        </w:rPr>
      </w:pPr>
    </w:p>
    <w:p>
      <w:pPr>
        <w:ind w:left="860" w:hanging="321"/>
        <w:spacing w:after="0"/>
        <w:tabs>
          <w:tab w:leader="none" w:pos="8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Nevada Occupational Safety and Health Act, NRS 618.005 to 618.900, inclusive; and</w:t>
      </w:r>
    </w:p>
    <w:p>
      <w:pPr>
        <w:spacing w:after="0" w:line="225" w:lineRule="exact"/>
        <w:rPr>
          <w:rFonts w:ascii="Times New Roman" w:cs="Times New Roman" w:eastAsia="Times New Roman" w:hAnsi="Times New Roman"/>
          <w:sz w:val="18"/>
          <w:szCs w:val="18"/>
          <w:color w:val="auto"/>
        </w:rPr>
      </w:pPr>
    </w:p>
    <w:p>
      <w:pPr>
        <w:ind w:left="180" w:right="320" w:firstLine="359"/>
        <w:spacing w:after="0" w:line="275" w:lineRule="auto"/>
        <w:tabs>
          <w:tab w:leader="none" w:pos="8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all other Federal, state and local Legal Requirements which govern Hazardous Substances, and the regulations adopted and publications promulgated pursuant to all such foregoing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 means any:</w:t>
      </w:r>
    </w:p>
    <w:p>
      <w:pPr>
        <w:spacing w:after="0" w:line="225" w:lineRule="exact"/>
        <w:rPr>
          <w:sz w:val="20"/>
          <w:szCs w:val="20"/>
          <w:color w:val="auto"/>
        </w:rPr>
      </w:pPr>
    </w:p>
    <w:p>
      <w:pPr>
        <w:ind w:left="180" w:right="680" w:firstLine="359"/>
        <w:spacing w:after="0" w:line="275" w:lineRule="auto"/>
        <w:tabs>
          <w:tab w:leader="none" w:pos="81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emission, entry or introduction into the air including, without limitation, the air within buildings and other natural or man-made structures above ground;</w:t>
      </w:r>
    </w:p>
    <w:p>
      <w:pPr>
        <w:spacing w:after="0" w:line="173" w:lineRule="exact"/>
        <w:rPr>
          <w:rFonts w:ascii="Times New Roman" w:cs="Times New Roman" w:eastAsia="Times New Roman" w:hAnsi="Times New Roman"/>
          <w:sz w:val="18"/>
          <w:szCs w:val="18"/>
          <w:color w:val="auto"/>
        </w:rPr>
      </w:pPr>
    </w:p>
    <w:p>
      <w:pPr>
        <w:ind w:left="180" w:right="40" w:firstLine="359"/>
        <w:spacing w:after="0" w:line="262" w:lineRule="auto"/>
        <w:tabs>
          <w:tab w:leader="none" w:pos="8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186" w:lineRule="exact"/>
        <w:rPr>
          <w:rFonts w:ascii="Times New Roman" w:cs="Times New Roman" w:eastAsia="Times New Roman" w:hAnsi="Times New Roman"/>
          <w:sz w:val="18"/>
          <w:szCs w:val="18"/>
          <w:color w:val="auto"/>
        </w:rPr>
      </w:pPr>
    </w:p>
    <w:p>
      <w:pPr>
        <w:ind w:left="180" w:right="240" w:firstLine="359"/>
        <w:spacing w:after="0" w:line="256" w:lineRule="auto"/>
        <w:tabs>
          <w:tab w:leader="none" w:pos="81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disposal, keeping, treatment, importation, exportation, production, transportation, handling, processing, carrying, manufacture, collection, sorting or presence of any Hazardous Substance (including, without limitation, in the case of waste, any substance which constitutes a scrap material or an effluent or other unwanted surplus substance arising from the application of any process or activity (including making it re-usable or reclaiming substances from it) and any substance or article which is required to be disposed of as being broken, worn out, contaminated or otherwise spoiled);</w:t>
      </w:r>
    </w:p>
    <w:p>
      <w:pPr>
        <w:spacing w:after="0" w:line="192" w:lineRule="exact"/>
        <w:rPr>
          <w:rFonts w:ascii="Times New Roman" w:cs="Times New Roman" w:eastAsia="Times New Roman" w:hAnsi="Times New Roman"/>
          <w:sz w:val="18"/>
          <w:szCs w:val="18"/>
          <w:color w:val="auto"/>
        </w:rPr>
      </w:pPr>
    </w:p>
    <w:p>
      <w:pPr>
        <w:ind w:left="180" w:firstLine="359"/>
        <w:spacing w:after="0" w:line="339" w:lineRule="auto"/>
        <w:tabs>
          <w:tab w:leader="none" w:pos="82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28" w:lineRule="exact"/>
        <w:rPr>
          <w:rFonts w:ascii="Times New Roman" w:cs="Times New Roman" w:eastAsia="Times New Roman" w:hAnsi="Times New Roman"/>
          <w:sz w:val="16"/>
          <w:szCs w:val="16"/>
          <w:color w:val="auto"/>
        </w:rPr>
      </w:pPr>
    </w:p>
    <w:p>
      <w:pPr>
        <w:ind w:left="180" w:right="140" w:firstLine="359"/>
        <w:spacing w:after="0" w:line="275" w:lineRule="auto"/>
        <w:tabs>
          <w:tab w:leader="none" w:pos="81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conservation, preservation or protection of the natural or man made environment or any living organisms supported by the natural or man made environment; or</w:t>
      </w:r>
    </w:p>
    <w:p>
      <w:pPr>
        <w:spacing w:after="0" w:line="173" w:lineRule="exact"/>
        <w:rPr>
          <w:rFonts w:ascii="Times New Roman" w:cs="Times New Roman" w:eastAsia="Times New Roman" w:hAnsi="Times New Roman"/>
          <w:sz w:val="18"/>
          <w:szCs w:val="18"/>
          <w:color w:val="auto"/>
        </w:rPr>
      </w:pPr>
    </w:p>
    <w:p>
      <w:pPr>
        <w:ind w:left="900" w:hanging="361"/>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 howsoever directly affecting the environment or any aspect of it.</w:t>
      </w:r>
    </w:p>
    <w:p>
      <w:pPr>
        <w:sectPr>
          <w:pgSz w:w="11900" w:h="16838" w:orient="portrait"/>
          <w:cols w:equalWidth="0" w:num="1">
            <w:col w:w="11040"/>
          </w:cols>
          <w:pgMar w:left="600" w:top="123" w:right="259" w:bottom="0" w:gutter="0" w:footer="0" w:header="0"/>
        </w:sectPr>
      </w:pPr>
    </w:p>
    <w:bookmarkStart w:id="66" w:name="page67"/>
    <w:bookmarkEnd w:id="66"/>
    <w:p>
      <w:pPr>
        <w:ind w:left="360"/>
        <w:spacing w:after="0"/>
        <w:rPr>
          <w:sz w:val="20"/>
          <w:szCs w:val="20"/>
          <w:color w:val="auto"/>
        </w:rPr>
      </w:pPr>
      <w:r>
        <w:rPr>
          <w:rFonts w:ascii="Times New Roman" w:cs="Times New Roman" w:eastAsia="Times New Roman" w:hAnsi="Times New Roman"/>
          <w:sz w:val="18"/>
          <w:szCs w:val="18"/>
          <w:color w:val="auto"/>
        </w:rPr>
        <w:t>"Environmental Permits" has the meaning given in the Bank Credit Agreement.</w:t>
      </w:r>
    </w:p>
    <w:p>
      <w:pPr>
        <w:spacing w:after="0" w:line="225"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"ERISA" means the Employee Retirement Income Security Act of 1974, as amended from time to time, and the regulations promulgated and ruling issued thereunder.</w:t>
      </w:r>
    </w:p>
    <w:p>
      <w:pPr>
        <w:spacing w:after="0" w:line="174"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 xml:space="preserve">"ERISA Plan" means any employee benefit plan (other than a Multiemployer Plan) (a) maintained by the Company or any member of the Controlled Group, or to which the Company or any member of the Controlled Group contributes or is obligated to contribute, for its employees and (b) covered by Title IV of ERISA or to which </w:t>
      </w:r>
      <w:r>
        <w:rPr>
          <w:rFonts w:ascii="Times New Roman" w:cs="Times New Roman" w:eastAsia="Times New Roman" w:hAnsi="Times New Roman"/>
          <w:sz w:val="18"/>
          <w:szCs w:val="18"/>
          <w:i w:val="1"/>
          <w:iCs w:val="1"/>
          <w:color w:val="auto"/>
        </w:rPr>
        <w:t>Section 412</w:t>
      </w:r>
      <w:r>
        <w:rPr>
          <w:rFonts w:ascii="Times New Roman" w:cs="Times New Roman" w:eastAsia="Times New Roman" w:hAnsi="Times New Roman"/>
          <w:sz w:val="18"/>
          <w:szCs w:val="18"/>
          <w:color w:val="auto"/>
        </w:rPr>
        <w:t xml:space="preserve"> of the Code applies.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"Event of Default" has the meaning given in </w:t>
      </w:r>
      <w:r>
        <w:rPr>
          <w:rFonts w:ascii="Times New Roman" w:cs="Times New Roman" w:eastAsia="Times New Roman" w:hAnsi="Times New Roman"/>
          <w:sz w:val="18"/>
          <w:szCs w:val="18"/>
          <w:i w:val="1"/>
          <w:iCs w:val="1"/>
          <w:color w:val="auto"/>
        </w:rPr>
        <w:t>Section 7.1</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"Eurodollar Loans" means (a) with respect to Loans under the Bank Credit Facility, "Eurodollar Loans" as defined in the Bank Credit Agreement and</w:t>
      </w:r>
    </w:p>
    <w:p>
      <w:pPr>
        <w:spacing w:after="0" w:line="21" w:lineRule="exact"/>
        <w:rPr>
          <w:sz w:val="20"/>
          <w:szCs w:val="20"/>
          <w:color w:val="auto"/>
        </w:rPr>
      </w:pPr>
    </w:p>
    <w:p>
      <w:pPr>
        <w:ind w:left="5620" w:right="1220" w:hanging="5612"/>
        <w:spacing w:after="0" w:line="511" w:lineRule="auto"/>
        <w:tabs>
          <w:tab w:leader="none" w:pos="2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Loans under the FF&amp;E Facility, Loans as to which the "Eurodollar Rate," as defined in the FF&amp;E Facility Agreement, applies.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140" w:firstLine="351"/>
        <w:spacing w:after="0" w:line="291" w:lineRule="auto"/>
        <w:rPr>
          <w:sz w:val="20"/>
          <w:szCs w:val="20"/>
          <w:color w:val="auto"/>
        </w:rPr>
      </w:pPr>
      <w:r>
        <w:rPr>
          <w:rFonts w:ascii="Times New Roman" w:cs="Times New Roman" w:eastAsia="Times New Roman" w:hAnsi="Times New Roman"/>
          <w:sz w:val="16"/>
          <w:szCs w:val="16"/>
          <w:color w:val="auto"/>
        </w:rPr>
        <w:t xml:space="preserve">"Event of Force Majeure" means any event that causes a delay in the construction of the Project and is outside any Loan Party's reasonable control but only to the extent (a) such event does not arise out of the negligence or willful misconduct of any Loan Party and (b) such event consists of an Act of God (such as tornado, flood, hurricane, etc.); fires and other casualties; strikes, lockouts or other labor disturbances (except to the extent taking place at the Site only); riots, insurrections or civil commotions; embargoes, shortages or unavailability of materials, supplies, labor, equipment and systems that first arise after the Closing Date, but only to the extent caused by another act, event or condition covered by this clause (b); the requirements of law, statutes, regulations and other Legal Requirements enacted after the Closing Date (unless such Loan Party should, in the exercise of due diligence and prudent judgment, have anticipated such enactment); orders or judgments; or any similar types of events,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has sought to mitigate the impact of the delay.</w:t>
      </w:r>
    </w:p>
    <w:p>
      <w:pPr>
        <w:spacing w:after="0" w:line="167" w:lineRule="exact"/>
        <w:rPr>
          <w:sz w:val="20"/>
          <w:szCs w:val="20"/>
          <w:color w:val="auto"/>
        </w:rPr>
      </w:pPr>
    </w:p>
    <w:p>
      <w:pPr>
        <w:ind w:right="280" w:firstLine="351"/>
        <w:spacing w:after="0" w:line="310" w:lineRule="auto"/>
        <w:rPr>
          <w:sz w:val="20"/>
          <w:szCs w:val="20"/>
          <w:color w:val="auto"/>
        </w:rPr>
      </w:pPr>
      <w:r>
        <w:rPr>
          <w:rFonts w:ascii="Times New Roman" w:cs="Times New Roman" w:eastAsia="Times New Roman" w:hAnsi="Times New Roman"/>
          <w:sz w:val="16"/>
          <w:szCs w:val="16"/>
          <w:color w:val="auto"/>
        </w:rPr>
        <w:t>"Event of Loss" means, with respect to any property or asset (tangible or intangible, real or personal), any of the following: (A) any loss, destruction or damage of such property or asset; (B) any actual condemnation, seizure or taking by exercise of the power of eminent domain or otherwise of such property or asset, or confiscation of such property or asset or the requisition of the use of such property or asset; or (C) any settlement in lieu of clause (B) above.</w:t>
      </w:r>
    </w:p>
    <w:p>
      <w:pPr>
        <w:spacing w:after="0" w:line="151"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"Exhaustion" means, (a) with respect to the Bank Credit Facility and the FF&amp;E Facility, the time at which the "Commitment" under such Facility has been utilized, the Bank Proceeds Account or the FF&amp;E Proceeds Account, as the case may be, has no funds remaining on deposit therein and no further Advances are available thereunder, (b) with respect to the Second Mortgage Notes, the time at which no funds remain in the Second Mortgage Notes Proceeds Account and (c) with respect to the Company's Funds Account, the time at which no funds remain on deposit therein.</w:t>
      </w:r>
    </w:p>
    <w:p>
      <w:pPr>
        <w:spacing w:after="0" w:line="190"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"Facility" or "Facilities" means, as the context may require, any or all of the Bank Credit Facility, the Second Mortgage Notes Proceeds and the FF&amp;E Facility.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"Facility Agreements" means, collectively, the Bank Credit Agreement, the Second Mortgage Notes Indenture and the FF&amp;E Facility Agreement.</w:t>
      </w:r>
    </w:p>
    <w:p>
      <w:pPr>
        <w:spacing w:after="0" w:line="225"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"Fair Market Value" means, with respect to the FF&amp;E Collateral or a portion thereof as of any date, the price which a purchaser would pay to purchase such FF&amp;E Collateral in an arm' s-length transaction between a willing buyer and a willing seller, neither of them being under any compulsion to buy or sell. In making any determination of Fair Market Value, the appraiser shall assume such FF&amp;E Collateral is in the same condition as it was when it was purchased by the Company (without giving effect to depreciation caused by the fact that such items may have been delivered and/or installed prior to the date of such Appraisal). Each appraiser shall use such reasonable methods of appraisal as are reasonably satisfactory to the FF&amp;E Agent.</w:t>
      </w:r>
    </w:p>
    <w:p>
      <w:pPr>
        <w:spacing w:after="0" w:line="193" w:lineRule="exact"/>
        <w:rPr>
          <w:sz w:val="20"/>
          <w:szCs w:val="20"/>
          <w:color w:val="auto"/>
        </w:rPr>
      </w:pPr>
    </w:p>
    <w:p>
      <w:pPr>
        <w:ind w:right="520" w:firstLine="351"/>
        <w:spacing w:after="0" w:line="275" w:lineRule="auto"/>
        <w:rPr>
          <w:sz w:val="20"/>
          <w:szCs w:val="20"/>
          <w:color w:val="auto"/>
        </w:rPr>
      </w:pPr>
      <w:r>
        <w:rPr>
          <w:rFonts w:ascii="Times New Roman" w:cs="Times New Roman" w:eastAsia="Times New Roman" w:hAnsi="Times New Roman"/>
          <w:sz w:val="18"/>
          <w:szCs w:val="18"/>
          <w:color w:val="auto"/>
        </w:rPr>
        <w:t>"FF&amp;E Agent" means Wells Fargo Bank Nevada, National Association, in its capacity as Collateral Agent under the FF&amp;E Facility Agreement and its successors in such capacity.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"FF&amp;E Agent Fee Letter" means the "Collateral Agent Fee Letter" as defined in the FF&amp;E Facility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"FF&amp;E Arrangement Fee Letter" means the "Arrangement Fee Letter" as defined in the FF&amp;E Facility Agreement.</w:t>
      </w:r>
    </w:p>
    <w:p>
      <w:pPr>
        <w:spacing w:after="0" w:line="225"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"FF&amp;E Collateral Account Agreement" means that certain FF&amp;E Collateral Account Agreement dated as of October 30, 2002 among the Company, the FF&amp;E Agent, the Disbursement Agent and the Securities Intermediary.</w:t>
      </w:r>
    </w:p>
    <w:p>
      <w:pPr>
        <w:spacing w:after="0" w:line="17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 xml:space="preserve">"FF&amp;E Component" means, from time to time, any and all items constituting Eligible FF&amp;E Equipment that have been approved (or deemed approved) by the FF&amp;E Lenders pursuant to </w:t>
      </w:r>
      <w:r>
        <w:rPr>
          <w:rFonts w:ascii="Times New Roman" w:cs="Times New Roman" w:eastAsia="Times New Roman" w:hAnsi="Times New Roman"/>
          <w:sz w:val="18"/>
          <w:szCs w:val="18"/>
          <w:i w:val="1"/>
          <w:iCs w:val="1"/>
          <w:color w:val="auto"/>
        </w:rPr>
        <w:t>Section 2.4.1(e)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2.8</w:t>
      </w:r>
      <w:r>
        <w:rPr>
          <w:rFonts w:ascii="Times New Roman" w:cs="Times New Roman" w:eastAsia="Times New Roman" w:hAnsi="Times New Roman"/>
          <w:sz w:val="18"/>
          <w:szCs w:val="18"/>
          <w:color w:val="auto"/>
        </w:rPr>
        <w:t xml:space="preserve"> of the Disbursement Agreement and in respect of which the FF&amp;E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Lenders have advanced funds pursuant to the FF&amp;E Reimbursement Advance or </w:t>
      </w:r>
      <w:r>
        <w:rPr>
          <w:rFonts w:ascii="Times New Roman" w:cs="Times New Roman" w:eastAsia="Times New Roman" w:hAnsi="Times New Roman"/>
          <w:sz w:val="18"/>
          <w:szCs w:val="18"/>
          <w:i w:val="1"/>
          <w:iCs w:val="1"/>
          <w:color w:val="auto"/>
        </w:rPr>
        <w:t>Section 2.5.1(a)(iii)</w:t>
      </w:r>
      <w:r>
        <w:rPr>
          <w:rFonts w:ascii="Times New Roman" w:cs="Times New Roman" w:eastAsia="Times New Roman" w:hAnsi="Times New Roman"/>
          <w:sz w:val="18"/>
          <w:szCs w:val="18"/>
          <w:color w:val="auto"/>
        </w:rPr>
        <w:t xml:space="preserve"> of the Disbursement Agreement, and, in each case, any "Transaction Costs" (as defined in the FF&amp;E Facility Agreement) related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term "FF&amp;E Component" shall (a) include any items of Eligible FF&amp;E Collateral which are added to the FF&amp;E Component in accordance with the procedures contemplated in paragraph (d) of the definition of "Completion" and (b) shall exclude any items of Eligible FF&amp;E Collateral which are deleted from the FF&amp;E Component in accordance with the procedures set forth in paragraph (d) of the definition of "Completion." The FF&amp;E Component, as it exists from time to time, shall be described in </w:t>
      </w:r>
      <w:r>
        <w:rPr>
          <w:rFonts w:ascii="Times New Roman" w:cs="Times New Roman" w:eastAsia="Times New Roman" w:hAnsi="Times New Roman"/>
          <w:sz w:val="18"/>
          <w:szCs w:val="18"/>
          <w:i w:val="1"/>
          <w:iCs w:val="1"/>
          <w:color w:val="auto"/>
        </w:rPr>
        <w:t>Exhibit T-3</w:t>
      </w:r>
      <w:r>
        <w:rPr>
          <w:rFonts w:ascii="Times New Roman" w:cs="Times New Roman" w:eastAsia="Times New Roman" w:hAnsi="Times New Roman"/>
          <w:sz w:val="18"/>
          <w:szCs w:val="18"/>
          <w:color w:val="auto"/>
        </w:rPr>
        <w:t xml:space="preserve"> to the Disbursement Agreement. The FF&amp;E Component shall not include the Aircraft.</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"FF&amp;E Facility" means the loan credit facility made available to Wynn Las Vegas by the FF&amp;E Lenders pursuant to the FF&amp;E Facility Agreement.</w:t>
      </w:r>
    </w:p>
    <w:p>
      <w:pPr>
        <w:spacing w:after="0" w:line="22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"FF&amp;E Facility Agreement" means that certain loan agreement among Wynn Las Vegas, the FF&amp;E Agent and the FF&amp;E Lenders dated as of October 30, 2002 or any permitted refinancings thereof.</w:t>
      </w:r>
    </w:p>
    <w:p>
      <w:pPr>
        <w:sectPr>
          <w:pgSz w:w="11900" w:h="16838" w:orient="portrait"/>
          <w:cols w:equalWidth="0" w:num="1">
            <w:col w:w="11420"/>
          </w:cols>
          <w:pgMar w:left="240" w:top="125" w:right="239" w:bottom="0" w:gutter="0" w:footer="0" w:header="0"/>
        </w:sectPr>
      </w:pPr>
    </w:p>
    <w:bookmarkStart w:id="67" w:name="page68"/>
    <w:bookmarkEnd w:id="67"/>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"FF&amp;E Intercreditor Agreement" means that certain Intercreditor Agreement (FF&amp;E) dated as of October 30, 2002 among the Bank Agent, the Indenture Trustee and the FF&amp;E Agent.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"FF&amp;E Lenders" means the financial institution(s) which are now, or may in the future become, parties to the FF&amp;E Facility Agreement.</w:t>
      </w:r>
    </w:p>
    <w:p>
      <w:pPr>
        <w:spacing w:after="0" w:line="225"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 xml:space="preserve">"FF&amp;E Local Company Collateral Account Agreement(s)" means one or more control agreements with respect to the Company's FF&amp;E Payment Account substantially in the form of </w:t>
      </w:r>
      <w:r>
        <w:rPr>
          <w:rFonts w:ascii="Times New Roman" w:cs="Times New Roman" w:eastAsia="Times New Roman" w:hAnsi="Times New Roman"/>
          <w:sz w:val="18"/>
          <w:szCs w:val="18"/>
          <w:i w:val="1"/>
          <w:iCs w:val="1"/>
          <w:color w:val="auto"/>
        </w:rPr>
        <w:t>Exhibit Z-3</w:t>
      </w:r>
      <w:r>
        <w:rPr>
          <w:rFonts w:ascii="Times New Roman" w:cs="Times New Roman" w:eastAsia="Times New Roman" w:hAnsi="Times New Roman"/>
          <w:sz w:val="18"/>
          <w:szCs w:val="18"/>
          <w:color w:val="auto"/>
        </w:rPr>
        <w:t xml:space="preserve"> and entered into by a bank that is reasonably acceptable to the Disbursement Agent pursuant to </w:t>
      </w:r>
      <w:r>
        <w:rPr>
          <w:rFonts w:ascii="Times New Roman" w:cs="Times New Roman" w:eastAsia="Times New Roman" w:hAnsi="Times New Roman"/>
          <w:sz w:val="18"/>
          <w:szCs w:val="18"/>
          <w:i w:val="1"/>
          <w:iCs w:val="1"/>
          <w:color w:val="auto"/>
        </w:rPr>
        <w:t>Sections 2.3.10</w:t>
      </w:r>
      <w:r>
        <w:rPr>
          <w:rFonts w:ascii="Times New Roman" w:cs="Times New Roman" w:eastAsia="Times New Roman" w:hAnsi="Times New Roman"/>
          <w:sz w:val="18"/>
          <w:szCs w:val="18"/>
          <w:color w:val="auto"/>
        </w:rPr>
        <w:t xml:space="preserve"> of the Disbursement Agreement.</w:t>
      </w:r>
    </w:p>
    <w:p>
      <w:pPr>
        <w:spacing w:after="0" w:line="184"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"FF&amp;E Proceeds Account" means the account referenced in </w:t>
      </w:r>
      <w:r>
        <w:rPr>
          <w:rFonts w:ascii="Times New Roman" w:cs="Times New Roman" w:eastAsia="Times New Roman" w:hAnsi="Times New Roman"/>
          <w:sz w:val="18"/>
          <w:szCs w:val="18"/>
          <w:i w:val="1"/>
          <w:iCs w:val="1"/>
          <w:color w:val="auto"/>
        </w:rPr>
        <w:t>Section 2.3.7</w:t>
      </w:r>
      <w:r>
        <w:rPr>
          <w:rFonts w:ascii="Times New Roman" w:cs="Times New Roman" w:eastAsia="Times New Roman" w:hAnsi="Times New Roman"/>
          <w:sz w:val="18"/>
          <w:szCs w:val="18"/>
          <w:color w:val="auto"/>
        </w:rPr>
        <w:t xml:space="preserve"> of the Disbursement Agreement and established pursuant to the FF&amp;E Collateral Account Agreement.</w:t>
      </w:r>
    </w:p>
    <w:p>
      <w:pPr>
        <w:spacing w:after="0" w:line="172" w:lineRule="exact"/>
        <w:rPr>
          <w:sz w:val="20"/>
          <w:szCs w:val="20"/>
          <w:color w:val="auto"/>
        </w:rPr>
      </w:pPr>
    </w:p>
    <w:p>
      <w:pPr>
        <w:ind w:right="360" w:firstLine="351"/>
        <w:spacing w:after="0" w:line="262" w:lineRule="auto"/>
        <w:rPr>
          <w:sz w:val="20"/>
          <w:szCs w:val="20"/>
          <w:color w:val="auto"/>
        </w:rPr>
      </w:pPr>
      <w:r>
        <w:rPr>
          <w:rFonts w:ascii="Times New Roman" w:cs="Times New Roman" w:eastAsia="Times New Roman" w:hAnsi="Times New Roman"/>
          <w:sz w:val="18"/>
          <w:szCs w:val="18"/>
          <w:color w:val="auto"/>
        </w:rPr>
        <w:t xml:space="preserve">"FF&amp;E Reimbursement Advance" means the Advance made by the FF&amp;E Lenders under the FF&amp;E Facility in an amount equal to 75% of the aggregate amount of Project Costs previously Advanced from the Company's Funds Account and the Second Mortgage Notes Proceeds Account in respect of Eligible FF&amp;E Component Equipment that will become FF&amp;E Component pursuant to </w:t>
      </w:r>
      <w:r>
        <w:rPr>
          <w:rFonts w:ascii="Times New Roman" w:cs="Times New Roman" w:eastAsia="Times New Roman" w:hAnsi="Times New Roman"/>
          <w:sz w:val="18"/>
          <w:szCs w:val="18"/>
          <w:i w:val="1"/>
          <w:iCs w:val="1"/>
          <w:color w:val="auto"/>
        </w:rPr>
        <w:t>Section 2.4.1(e)</w:t>
      </w:r>
      <w:r>
        <w:rPr>
          <w:rFonts w:ascii="Times New Roman" w:cs="Times New Roman" w:eastAsia="Times New Roman" w:hAnsi="Times New Roman"/>
          <w:sz w:val="18"/>
          <w:szCs w:val="18"/>
          <w:color w:val="auto"/>
        </w:rPr>
        <w:t xml:space="preserve"> of the Disbursement Agreement.</w:t>
      </w:r>
    </w:p>
    <w:p>
      <w:pPr>
        <w:spacing w:after="0" w:line="186"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"FF&amp;E Secured Parties" means the FF&amp;E Agent, the FF&amp;E Lenders, the Bank Agent, the Bank Lenders, the Indenture Trustee and the Second Mortgage Notes Holders and the Disbursement Agent acting on behalf of any of the foregoing.</w:t>
      </w:r>
    </w:p>
    <w:p>
      <w:pPr>
        <w:spacing w:after="0" w:line="174"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"FF&amp;E Security Documents" means collectively, (a) that certain Borrower Security Agreement dated as of October 30, 2002 between Wynn Las Vegas and the FF&amp;E Agent, (b) that certain Aircraft Security Agreement dated as of October 30, 2002 to be executed by Wells Fargo Bank, National Association, not in its individual capacity but solely as trustee of that certain trust credit under the Trust Agreement dated May 10, 2002, (c) that certain Borrower Aircraft Assignment dated as of October 30, 2002 between Wynn Las Vegas and the FF&amp;E Agent, (d) the FF&amp;E Collateral Account Agreement and (e) any guaranties, security agreements or collateral account agreements executed from time to time by any of the Loan Parties or one or more of their direct or indirect Affiliates in favor of the FF&amp;E Agent or the FF&amp;E Lenders to guaranty or secure the obligations under the FF&amp;E Facility and the FF&amp;E Collateral Account Agreements.</w:t>
      </w:r>
    </w:p>
    <w:p>
      <w:pPr>
        <w:spacing w:after="0" w:line="163" w:lineRule="exact"/>
        <w:rPr>
          <w:sz w:val="20"/>
          <w:szCs w:val="20"/>
          <w:color w:val="auto"/>
        </w:rPr>
      </w:pPr>
    </w:p>
    <w:p>
      <w:pPr>
        <w:ind w:right="3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"Fifty Percent Completion Date" means the date the following conditions have been satisfied as set forth in a certificate in the form of </w:t>
      </w:r>
      <w:r>
        <w:rPr>
          <w:rFonts w:ascii="Times New Roman" w:cs="Times New Roman" w:eastAsia="Times New Roman" w:hAnsi="Times New Roman"/>
          <w:sz w:val="18"/>
          <w:szCs w:val="18"/>
          <w:i w:val="1"/>
          <w:iCs w:val="1"/>
          <w:color w:val="auto"/>
        </w:rPr>
        <w:t>Exhibit V-3</w:t>
      </w:r>
      <w:r>
        <w:rPr>
          <w:rFonts w:ascii="Times New Roman" w:cs="Times New Roman" w:eastAsia="Times New Roman" w:hAnsi="Times New Roman"/>
          <w:sz w:val="18"/>
          <w:szCs w:val="18"/>
          <w:color w:val="auto"/>
        </w:rPr>
        <w:t xml:space="preserve"> to the Disbursement Agreement delivered by the Company, and (other than with respect to clause (b)(B) below) a certificate in the form of </w:t>
      </w:r>
      <w:r>
        <w:rPr>
          <w:rFonts w:ascii="Times New Roman" w:cs="Times New Roman" w:eastAsia="Times New Roman" w:hAnsi="Times New Roman"/>
          <w:sz w:val="18"/>
          <w:szCs w:val="18"/>
          <w:i w:val="1"/>
          <w:iCs w:val="1"/>
          <w:color w:val="auto"/>
        </w:rPr>
        <w:t>Exhibit V-4</w:t>
      </w:r>
      <w:r>
        <w:rPr>
          <w:rFonts w:ascii="Times New Roman" w:cs="Times New Roman" w:eastAsia="Times New Roman" w:hAnsi="Times New Roman"/>
          <w:sz w:val="18"/>
          <w:szCs w:val="18"/>
          <w:color w:val="auto"/>
        </w:rPr>
        <w:t xml:space="preserve"> to the Disbursement Agreement delivered by the Construction Consultant: (a) 50% of the work</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required to achieve completion of the Project has been completed (determined by (i) the amount of Hard Costs incurred to such date and allocated to the "Marnell Corrao GMP Contract," "Interior Furnishings/Signage/Electronic Systems," "Miscellaneous Capital Projects," "Golf Course" and "Parking Garage" Line Item Categories under the Project Budget, as compared to (ii) the total amount of Hard Costs set forth in the Project Budget (as then in effect) under the following Line Item Categories:"Marnell Corrao GMP Contract," "Interior Furnishings/Signage/Electronic Systems," "Miscellaneous Capital Projects," "Golf Course" and "Parking Garage") and (b) all Contractors and Subcontractors have been paid in full or will be paid in full with the pending Advance Request for work performed through such date (other than (A) Retainage Amounts, and other amounts, that, as of the Fifty Percent Completion Date, are being withheld from the Contractors and Subcontractors in accordance with the provisions of the Project Documents, and (B) amounts being contested in accordance with the Financing Agreements so long as adequate reserves have been established through an allocation in the Anticipated Cost Report and in accordance with any requirements of such Financing Agreements) and have provided lien waivers to the extent required under </w:t>
      </w:r>
      <w:r>
        <w:rPr>
          <w:rFonts w:ascii="Times New Roman" w:cs="Times New Roman" w:eastAsia="Times New Roman" w:hAnsi="Times New Roman"/>
          <w:sz w:val="18"/>
          <w:szCs w:val="18"/>
          <w:i w:val="1"/>
          <w:iCs w:val="1"/>
          <w:color w:val="auto"/>
        </w:rPr>
        <w:t>Section 3.3.7</w:t>
      </w:r>
      <w:r>
        <w:rPr>
          <w:rFonts w:ascii="Times New Roman" w:cs="Times New Roman" w:eastAsia="Times New Roman" w:hAnsi="Times New Roman"/>
          <w:sz w:val="18"/>
          <w:szCs w:val="18"/>
          <w:color w:val="auto"/>
        </w:rPr>
        <w:t xml:space="preserve"> of the Disbursement Agreement for all work performed prior to the Fifty Percent Completion Date.</w:t>
      </w:r>
    </w:p>
    <w:p>
      <w:pPr>
        <w:spacing w:after="0" w:line="193"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"Fifty Percent Completion Date Certificate" means a certificate issued by the Company and confirmed by Construction Consultant in the form of </w:t>
      </w:r>
      <w:r>
        <w:rPr>
          <w:rFonts w:ascii="Times New Roman" w:cs="Times New Roman" w:eastAsia="Times New Roman" w:hAnsi="Times New Roman"/>
          <w:sz w:val="18"/>
          <w:szCs w:val="18"/>
          <w:i w:val="1"/>
          <w:iCs w:val="1"/>
          <w:color w:val="auto"/>
        </w:rPr>
        <w:t>Exhibit V-3</w:t>
      </w:r>
      <w:r>
        <w:rPr>
          <w:rFonts w:ascii="Times New Roman" w:cs="Times New Roman" w:eastAsia="Times New Roman" w:hAnsi="Times New Roman"/>
          <w:sz w:val="18"/>
          <w:szCs w:val="18"/>
          <w:color w:val="auto"/>
        </w:rPr>
        <w:t xml:space="preserve"> to the Disbursement Agreement.</w:t>
      </w:r>
    </w:p>
    <w:p>
      <w:pPr>
        <w:spacing w:after="0" w:line="172"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 xml:space="preserve">"Final Completion" means that (a) Completion shall have occurred, (b) the Project shall have received a permanent certificate of occupancy from the Building Department (and copies of such certificate shall have been delivered to the Disbursement Agent, the Bank Agent, the Indenture Trustee and the Construction Consultant), (c) 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 (d) the Funding Agents have received final 101.6 endorsements from the Title Insurer insuring the priority of their respective Liens on the Project Security, (e) the Company shall have delivered to the Disbursement Agent, the Bank Agent, the Indenture Trustee and the FF&amp;E Agent its Final Completion Certificate certifying that (i) all Project Punchlist Items have been completed and (ii) the Company has settled with the Contractors all claims for payments and amounts due under the Contracts and the Company has received a final lien release from each Contractor and Subcontractor as required under the Disbursement Agreement, (f) the Construction Consultant, the Project Architect and the Prime Contractor each shall have delivered its Final Completion Certificate and the Company and the Construction Consultant shall have accepted the Prime Contractor's Final Completion Certificate in accordance with </w:t>
      </w:r>
      <w:r>
        <w:rPr>
          <w:rFonts w:ascii="Times New Roman" w:cs="Times New Roman" w:eastAsia="Times New Roman" w:hAnsi="Times New Roman"/>
          <w:sz w:val="16"/>
          <w:szCs w:val="16"/>
          <w:i w:val="1"/>
          <w:iCs w:val="1"/>
          <w:color w:val="auto"/>
        </w:rPr>
        <w:t>Section 6.2.2</w:t>
      </w:r>
      <w:r>
        <w:rPr>
          <w:rFonts w:ascii="Times New Roman" w:cs="Times New Roman" w:eastAsia="Times New Roman" w:hAnsi="Times New Roman"/>
          <w:sz w:val="16"/>
          <w:szCs w:val="16"/>
          <w:color w:val="auto"/>
        </w:rPr>
        <w:t xml:space="preserve"> of the Disbursement Agreement, (g) the Company shall have delivered to the Funding Agents and the Construction Consultant an "as built survey" of the Project, and</w:t>
      </w:r>
    </w:p>
    <w:p>
      <w:pPr>
        <w:spacing w:after="0" w:line="181" w:lineRule="exact"/>
        <w:rPr>
          <w:sz w:val="20"/>
          <w:szCs w:val="20"/>
          <w:color w:val="auto"/>
        </w:rPr>
      </w:pPr>
    </w:p>
    <w:p>
      <w:pPr>
        <w:ind w:right="680" w:firstLine="8"/>
        <w:spacing w:after="0" w:line="261"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from the surety under each Payment and Performance Bond required pursuant to </w:t>
      </w:r>
      <w:r>
        <w:rPr>
          <w:rFonts w:ascii="Times New Roman" w:cs="Times New Roman" w:eastAsia="Times New Roman" w:hAnsi="Times New Roman"/>
          <w:sz w:val="18"/>
          <w:szCs w:val="18"/>
          <w:i w:val="1"/>
          <w:iCs w:val="1"/>
          <w:color w:val="auto"/>
        </w:rPr>
        <w:t>Section 5.14</w:t>
      </w:r>
      <w:r>
        <w:rPr>
          <w:rFonts w:ascii="Times New Roman" w:cs="Times New Roman" w:eastAsia="Times New Roman" w:hAnsi="Times New Roman"/>
          <w:sz w:val="18"/>
          <w:szCs w:val="18"/>
          <w:color w:val="auto"/>
        </w:rPr>
        <w:t xml:space="preserve"> of the Disbursement Agreement a "Consent of Surety to Final Payment" (AIA form G707).</w:t>
      </w:r>
    </w:p>
    <w:p>
      <w:pPr>
        <w:spacing w:after="0" w:line="184" w:lineRule="exact"/>
        <w:rPr>
          <w:sz w:val="20"/>
          <w:szCs w:val="20"/>
          <w:color w:val="auto"/>
        </w:rPr>
      </w:pPr>
    </w:p>
    <w:p>
      <w:pPr>
        <w:ind w:right="700" w:firstLine="351"/>
        <w:spacing w:after="0" w:line="342" w:lineRule="auto"/>
        <w:rPr>
          <w:sz w:val="20"/>
          <w:szCs w:val="20"/>
          <w:color w:val="auto"/>
        </w:rPr>
      </w:pPr>
      <w:r>
        <w:rPr>
          <w:rFonts w:ascii="Times New Roman" w:cs="Times New Roman" w:eastAsia="Times New Roman" w:hAnsi="Times New Roman"/>
          <w:sz w:val="16"/>
          <w:szCs w:val="16"/>
          <w:color w:val="auto"/>
        </w:rPr>
        <w:t xml:space="preserve">"Final Completion Certificates" means, collectively, the Final Completion Certificates in the forms of </w:t>
      </w:r>
      <w:r>
        <w:rPr>
          <w:rFonts w:ascii="Times New Roman" w:cs="Times New Roman" w:eastAsia="Times New Roman" w:hAnsi="Times New Roman"/>
          <w:sz w:val="16"/>
          <w:szCs w:val="16"/>
          <w:i w:val="1"/>
          <w:iCs w:val="1"/>
          <w:color w:val="auto"/>
        </w:rPr>
        <w:t>Exhibits W-13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W-15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W-16</w:t>
      </w:r>
      <w:r>
        <w:rPr>
          <w:rFonts w:ascii="Times New Roman" w:cs="Times New Roman" w:eastAsia="Times New Roman" w:hAnsi="Times New Roman"/>
          <w:sz w:val="16"/>
          <w:szCs w:val="16"/>
          <w:color w:val="auto"/>
        </w:rPr>
        <w:t>, to the Disbursement Agreement to be delivered by the Company, the Construction Consultant, the Project Architect and the Prime Contractor, respectively.</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"Final Completion Date" means the date on which Final Completion occurs.</w:t>
      </w:r>
    </w:p>
    <w:p>
      <w:pPr>
        <w:spacing w:after="0" w:line="225"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"Final Plans and Specifications" means, with respect to any particular work or improvement, Plans and Specifications which (i) have received final approval from all Governmental Authorities required to approve such Plans and Specifications prior to completion of the work or improvements; (ii) contain sufficient specificity to permit the completion of the work or improvement and (iii) are consistent with the standards set forth in </w:t>
      </w:r>
      <w:r>
        <w:rPr>
          <w:rFonts w:ascii="Times New Roman" w:cs="Times New Roman" w:eastAsia="Times New Roman" w:hAnsi="Times New Roman"/>
          <w:sz w:val="18"/>
          <w:szCs w:val="18"/>
          <w:i w:val="1"/>
          <w:iCs w:val="1"/>
          <w:color w:val="auto"/>
        </w:rPr>
        <w:t>Exhibit X-1</w:t>
      </w:r>
      <w:r>
        <w:rPr>
          <w:rFonts w:ascii="Times New Roman" w:cs="Times New Roman" w:eastAsia="Times New Roman" w:hAnsi="Times New Roman"/>
          <w:sz w:val="18"/>
          <w:szCs w:val="18"/>
          <w:color w:val="auto"/>
        </w:rPr>
        <w:t xml:space="preserve"> of the Disbursement Agreement.</w:t>
      </w:r>
    </w:p>
    <w:p>
      <w:pPr>
        <w:spacing w:after="0" w:line="190"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"Financing Agreements" means, collectively, the Disbursement Agreement, the Bank Credit Agreement, the Second Mortgage Notes Indenture, the FF&amp;E Facility Agreement, the Security</w:t>
      </w:r>
    </w:p>
    <w:p>
      <w:pPr>
        <w:sectPr>
          <w:pgSz w:w="11900" w:h="16838" w:orient="portrait"/>
          <w:cols w:equalWidth="0" w:num="1">
            <w:col w:w="11400"/>
          </w:cols>
          <w:pgMar w:left="240" w:top="125" w:right="259" w:bottom="0" w:gutter="0" w:footer="0" w:header="0"/>
        </w:sectPr>
      </w:pPr>
    </w:p>
    <w:bookmarkStart w:id="68" w:name="page69"/>
    <w:bookmarkEnd w:id="68"/>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Documents, the Second Mortgage Notes, the Collateral Agency Agreement, the Disbursement Agent Fee Letter, the Bank Agent Fee Letter, the FF&amp;E Agent Fee Letter, the Bank Fee Letter and any other loan or security agreements entered into on, prior to or after the Closing Date with the Bank Agent, the Disbursement Agent, the Indenture Trustee or the FF&amp;E Agent in connection with the financing of the Project.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"Fiscal Year" shall have the meaning given in the Bank Credit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"Funding Agents" means, collectively, the Bank Agent, the Indenture Trustee and the FF&amp;E Agent.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of America as in effect from time to time.</w:t>
      </w:r>
    </w:p>
    <w:p>
      <w:pPr>
        <w:spacing w:after="0" w:line="225"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"Gaming Facility" means any building or other structure used or expected to be used to enclose space in which a gaming operation is conducted and (i) is wholly or partially owned, directly or indirectly, by Wynn Las Vegas or an Affiliate of Wynn Las Vegas or (ii) any portion or aspect of which is managed or used, or expected to be managed or used, by Wynn Las Vegas or an Affiliate of Wynn Las Vegas.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"Golf Course" means Le Rêve's Tom Fazio/Stephen A. Wynn designed 18-hole golf course to be situated on the Golf Course Land.</w:t>
      </w:r>
    </w:p>
    <w:p>
      <w:pPr>
        <w:spacing w:after="0" w:line="22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"Golf Course Construction Contract" means that one or more construction contracts to be entered into between Wynn Resorts Holdings and/or Wynn Las Vegas and a Contractor for the construction of the Golf Course.</w:t>
      </w:r>
    </w:p>
    <w:p>
      <w:pPr>
        <w:spacing w:after="0" w:line="174"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"Golf Course Contractor" means one or more entities that will construct the Golf Course on the Golf Course Land pursuant to the Golf Course Construction Contract.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"Golf Course Contractor's Advance Certificate" means a certificate in the form of </w:t>
      </w:r>
      <w:r>
        <w:rPr>
          <w:rFonts w:ascii="Times New Roman" w:cs="Times New Roman" w:eastAsia="Times New Roman" w:hAnsi="Times New Roman"/>
          <w:sz w:val="18"/>
          <w:szCs w:val="18"/>
          <w:i w:val="1"/>
          <w:iCs w:val="1"/>
          <w:color w:val="auto"/>
        </w:rPr>
        <w:t>Exhibit C-7</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"Golf Course Design Services Agreement" means that certain Agreement dated as of October 21, 2002 between the Golf Course Designer and Wynn Design.</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"Golf Course Designer" means T.J.F. Golf, Inc., a Florida corporation.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"Golf Course Designer's Advance Certificate" means a certificate in the form of </w:t>
      </w:r>
      <w:r>
        <w:rPr>
          <w:rFonts w:ascii="Times New Roman" w:cs="Times New Roman" w:eastAsia="Times New Roman" w:hAnsi="Times New Roman"/>
          <w:sz w:val="18"/>
          <w:szCs w:val="18"/>
          <w:i w:val="1"/>
          <w:iCs w:val="1"/>
          <w:color w:val="auto"/>
        </w:rPr>
        <w:t>Exhibit C-5</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"Golf Course Driving Range Lease" means that certain Lease Agreement dated as of October 21, 2002 between Valvino, as lessor, and Wynn Las Vegas, as lessee.</w:t>
      </w:r>
    </w:p>
    <w:p>
      <w:pPr>
        <w:spacing w:after="0" w:line="172"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"Golf Course Land" means the land on which the Golf Course is to be located, as described in </w:t>
      </w:r>
      <w:r>
        <w:rPr>
          <w:rFonts w:ascii="Times New Roman" w:cs="Times New Roman" w:eastAsia="Times New Roman" w:hAnsi="Times New Roman"/>
          <w:sz w:val="18"/>
          <w:szCs w:val="18"/>
          <w:i w:val="1"/>
          <w:iCs w:val="1"/>
          <w:color w:val="auto"/>
        </w:rPr>
        <w:t>Exhibit T-4</w:t>
      </w:r>
      <w:r>
        <w:rPr>
          <w:rFonts w:ascii="Times New Roman" w:cs="Times New Roman" w:eastAsia="Times New Roman" w:hAnsi="Times New Roman"/>
          <w:sz w:val="18"/>
          <w:szCs w:val="18"/>
          <w:color w:val="auto"/>
        </w:rPr>
        <w:t xml:space="preserve"> to the Disbursement Agreement. The Golf Course Land shall include (a) the Water Utility Land (b) the Wynn Home Site until such time (if ever) as the Wynn Home Site Release Conditions shall have been satisfied and (c) the Home Site Land and Palo Home Site Land until such time (if ever) as the release conditions set forth in </w:t>
      </w:r>
      <w:r>
        <w:rPr>
          <w:rFonts w:ascii="Times New Roman" w:cs="Times New Roman" w:eastAsia="Times New Roman" w:hAnsi="Times New Roman"/>
          <w:sz w:val="18"/>
          <w:szCs w:val="18"/>
          <w:i w:val="1"/>
          <w:iCs w:val="1"/>
          <w:color w:val="auto"/>
        </w:rPr>
        <w:t>Section 7.5(l)</w:t>
      </w:r>
      <w:r>
        <w:rPr>
          <w:rFonts w:ascii="Times New Roman" w:cs="Times New Roman" w:eastAsia="Times New Roman" w:hAnsi="Times New Roman"/>
          <w:sz w:val="18"/>
          <w:szCs w:val="18"/>
          <w:color w:val="auto"/>
        </w:rPr>
        <w:t xml:space="preserve"> of the Bank Credit Agreement and </w:t>
      </w:r>
      <w:r>
        <w:rPr>
          <w:rFonts w:ascii="Times New Roman" w:cs="Times New Roman" w:eastAsia="Times New Roman" w:hAnsi="Times New Roman"/>
          <w:sz w:val="18"/>
          <w:szCs w:val="18"/>
          <w:i w:val="1"/>
          <w:iCs w:val="1"/>
          <w:color w:val="auto"/>
        </w:rPr>
        <w:t>Section 10.03</w:t>
      </w:r>
      <w:r>
        <w:rPr>
          <w:rFonts w:ascii="Times New Roman" w:cs="Times New Roman" w:eastAsia="Times New Roman" w:hAnsi="Times New Roman"/>
          <w:sz w:val="18"/>
          <w:szCs w:val="18"/>
          <w:color w:val="auto"/>
        </w:rPr>
        <w:t xml:space="preserve"> of the Second Mortgage Notes Indenture shall have been satisfied.</w:t>
      </w:r>
    </w:p>
    <w:p>
      <w:pPr>
        <w:spacing w:after="0" w:line="189" w:lineRule="exact"/>
        <w:rPr>
          <w:sz w:val="20"/>
          <w:szCs w:val="20"/>
          <w:color w:val="auto"/>
        </w:rPr>
      </w:pPr>
    </w:p>
    <w:p>
      <w:pPr>
        <w:jc w:val="both"/>
        <w:ind w:right="420" w:firstLine="351"/>
        <w:spacing w:after="0" w:line="262" w:lineRule="auto"/>
        <w:rPr>
          <w:sz w:val="20"/>
          <w:szCs w:val="20"/>
          <w:color w:val="auto"/>
        </w:rPr>
      </w:pPr>
      <w:r>
        <w:rPr>
          <w:rFonts w:ascii="Times New Roman" w:cs="Times New Roman" w:eastAsia="Times New Roman" w:hAnsi="Times New Roman"/>
          <w:sz w:val="18"/>
          <w:szCs w:val="18"/>
          <w:color w:val="auto"/>
        </w:rPr>
        <w:t>"Golf Course Land Easements" means the easements appurtenant, easements in gross, license agreements and other rights running for the benefit of the Company, Wynn Resorts Holdings, Palo or Desert Inn Improvement and/or appurtenant to the Golf Course Land, including, without limitation, those certain easements and licenses described in the Title Policy.</w:t>
      </w:r>
    </w:p>
    <w:p>
      <w:pPr>
        <w:spacing w:after="0" w:line="18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"Golf Course Lease" means that certain Golf Course Lease dated as of October 21, 2002 between Wynn Resorts, as landlord, and Wynn Las Vegas, as tenant.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"Governmental Authority" means any national, state or local government (whether domestic or foreign), any political subdivision thereof or any other governmental, quasi-governmental, judicial, public or statutory instrumentality, authority, body, agency, bureau or entity, (including the Nevada Gaming Authorities, the Nevada Public Utilities Commission,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"Hard Costs" means the Project Costs set forth in the Project Budget under (a) the "Hard Cost Construction Contingency" Line Item under the "Construction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Contingency" Line Item Category, together with (b) the following other Line Item Categories:</w:t>
      </w:r>
    </w:p>
    <w:p>
      <w:pPr>
        <w:spacing w:after="0" w:line="213" w:lineRule="exact"/>
        <w:rPr>
          <w:sz w:val="20"/>
          <w:szCs w:val="20"/>
          <w:color w:val="auto"/>
        </w:rPr>
      </w:pPr>
    </w:p>
    <w:p>
      <w:pPr>
        <w:ind w:left="1240" w:hanging="253"/>
        <w:spacing w:after="0"/>
        <w:tabs>
          <w:tab w:leader="none" w:pos="12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Marnell Corrao GMP Contract;</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Furnishings/Signage/Electronic Systems;</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FF&amp;E;</w:t>
      </w:r>
    </w:p>
    <w:p>
      <w:pPr>
        <w:spacing w:after="0" w:line="225"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Capital Projects;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Course; and</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Garage.</w:t>
      </w:r>
    </w:p>
    <w:p>
      <w:pPr>
        <w:spacing w:after="0" w:line="223"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"Hard Costs Cash Management Account" means the account referenced in </w:t>
      </w:r>
      <w:r>
        <w:rPr>
          <w:rFonts w:ascii="Times New Roman" w:cs="Times New Roman" w:eastAsia="Times New Roman" w:hAnsi="Times New Roman"/>
          <w:sz w:val="18"/>
          <w:szCs w:val="18"/>
          <w:i w:val="1"/>
          <w:iCs w:val="1"/>
          <w:color w:val="auto"/>
        </w:rPr>
        <w:t>Section 2.3.4</w:t>
      </w:r>
      <w:r>
        <w:rPr>
          <w:rFonts w:ascii="Times New Roman" w:cs="Times New Roman" w:eastAsia="Times New Roman" w:hAnsi="Times New Roman"/>
          <w:sz w:val="18"/>
          <w:szCs w:val="18"/>
          <w:color w:val="auto"/>
        </w:rPr>
        <w:t xml:space="preserve"> of the Disbursement Agreement and established pursuant to the Local Account Company Collateral Account Agreements.</w:t>
      </w:r>
    </w:p>
    <w:p>
      <w:pPr>
        <w:sectPr>
          <w:pgSz w:w="11900" w:h="16900" w:orient="portrait"/>
          <w:cols w:equalWidth="0" w:num="1">
            <w:col w:w="11420"/>
          </w:cols>
          <w:pgMar w:left="240" w:top="125" w:right="239" w:bottom="0" w:gutter="0" w:footer="0" w:header="0"/>
        </w:sectPr>
      </w:pPr>
    </w:p>
    <w:bookmarkStart w:id="69" w:name="page70"/>
    <w:bookmarkEnd w:id="69"/>
    <w:p>
      <w:pPr>
        <w:spacing w:after="0" w:line="9" w:lineRule="exact"/>
        <w:rPr>
          <w:sz w:val="20"/>
          <w:szCs w:val="20"/>
          <w:color w:val="auto"/>
        </w:rPr>
      </w:pPr>
    </w:p>
    <w:p>
      <w:pPr>
        <w:ind w:firstLine="351"/>
        <w:spacing w:after="0" w:line="283" w:lineRule="auto"/>
        <w:rPr>
          <w:sz w:val="20"/>
          <w:szCs w:val="20"/>
          <w:color w:val="auto"/>
        </w:rPr>
      </w:pPr>
      <w:r>
        <w:rPr>
          <w:rFonts w:ascii="Times New Roman" w:cs="Times New Roman" w:eastAsia="Times New Roman" w:hAnsi="Times New Roman"/>
          <w:sz w:val="16"/>
          <w:szCs w:val="16"/>
          <w:color w:val="auto"/>
        </w:rPr>
        <w:t xml:space="preserve">"Hazardous Substances" means (statutory acronyms and abbreviations having the meaning given them in the definition of "Environmental Laws") substances defined as "hazardous substances," "pollutants" or "contaminants" in </w:t>
      </w:r>
      <w:r>
        <w:rPr>
          <w:rFonts w:ascii="Times New Roman" w:cs="Times New Roman" w:eastAsia="Times New Roman" w:hAnsi="Times New Roman"/>
          <w:sz w:val="16"/>
          <w:szCs w:val="16"/>
          <w:i w:val="1"/>
          <w:iCs w:val="1"/>
          <w:color w:val="auto"/>
        </w:rPr>
        <w:t>Section 101</w:t>
      </w:r>
      <w:r>
        <w:rPr>
          <w:rFonts w:ascii="Times New Roman" w:cs="Times New Roman" w:eastAsia="Times New Roman" w:hAnsi="Times New Roman"/>
          <w:sz w:val="16"/>
          <w:szCs w:val="16"/>
          <w:color w:val="auto"/>
        </w:rPr>
        <w:t xml:space="preserve"> of the CERCLA; those substances defined as "hazardous waste," "hazardous materials" or "regulated substances" by the RCRA; those substances designated as a "hazardous substance" pursuant to </w:t>
      </w:r>
      <w:r>
        <w:rPr>
          <w:rFonts w:ascii="Times New Roman" w:cs="Times New Roman" w:eastAsia="Times New Roman" w:hAnsi="Times New Roman"/>
          <w:sz w:val="16"/>
          <w:szCs w:val="16"/>
          <w:i w:val="1"/>
          <w:iCs w:val="1"/>
          <w:color w:val="auto"/>
        </w:rPr>
        <w:t>Section 311</w:t>
      </w:r>
      <w:r>
        <w:rPr>
          <w:rFonts w:ascii="Times New Roman" w:cs="Times New Roman" w:eastAsia="Times New Roman" w:hAnsi="Times New Roman"/>
          <w:sz w:val="16"/>
          <w:szCs w:val="16"/>
          <w:color w:val="auto"/>
        </w:rPr>
        <w:t xml:space="preserve"> of the CWA; those substances defined as "hazardous materials" in </w:t>
      </w:r>
      <w:r>
        <w:rPr>
          <w:rFonts w:ascii="Times New Roman" w:cs="Times New Roman" w:eastAsia="Times New Roman" w:hAnsi="Times New Roman"/>
          <w:sz w:val="16"/>
          <w:szCs w:val="16"/>
          <w:i w:val="1"/>
          <w:iCs w:val="1"/>
          <w:color w:val="auto"/>
        </w:rPr>
        <w:t>Section 103</w:t>
      </w:r>
      <w:r>
        <w:rPr>
          <w:rFonts w:ascii="Times New Roman" w:cs="Times New Roman" w:eastAsia="Times New Roman" w:hAnsi="Times New Roman"/>
          <w:sz w:val="16"/>
          <w:szCs w:val="16"/>
          <w:color w:val="auto"/>
        </w:rPr>
        <w:t xml:space="preserve"> of the HMTA; those substances regulated as a hazardous chemical substance or mixture or as an imminently hazardous chemical substance or mixture pursuant to </w:t>
      </w:r>
      <w:r>
        <w:rPr>
          <w:rFonts w:ascii="Times New Roman" w:cs="Times New Roman" w:eastAsia="Times New Roman" w:hAnsi="Times New Roman"/>
          <w:sz w:val="16"/>
          <w:szCs w:val="16"/>
          <w:i w:val="1"/>
          <w:iCs w:val="1"/>
          <w:color w:val="auto"/>
        </w:rPr>
        <w:t>Sections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7</w:t>
      </w:r>
      <w:r>
        <w:rPr>
          <w:rFonts w:ascii="Times New Roman" w:cs="Times New Roman" w:eastAsia="Times New Roman" w:hAnsi="Times New Roman"/>
          <w:sz w:val="16"/>
          <w:szCs w:val="16"/>
          <w:color w:val="auto"/>
        </w:rPr>
        <w:t xml:space="preserve"> of the TSCA; those substances defined as "contaminants" by </w:t>
      </w:r>
      <w:r>
        <w:rPr>
          <w:rFonts w:ascii="Times New Roman" w:cs="Times New Roman" w:eastAsia="Times New Roman" w:hAnsi="Times New Roman"/>
          <w:sz w:val="16"/>
          <w:szCs w:val="16"/>
          <w:i w:val="1"/>
          <w:iCs w:val="1"/>
          <w:color w:val="auto"/>
        </w:rPr>
        <w:t>Section 1401</w:t>
      </w:r>
      <w:r>
        <w:rPr>
          <w:rFonts w:ascii="Times New Roman" w:cs="Times New Roman" w:eastAsia="Times New Roman" w:hAnsi="Times New Roman"/>
          <w:sz w:val="16"/>
          <w:szCs w:val="16"/>
          <w:color w:val="auto"/>
        </w:rPr>
        <w:t xml:space="preserve">of the SDWA, if present in excess of permissible levels; those substances regulated by the Oil Pollution Act; those substances defined as a pesticide pursuant to </w:t>
      </w:r>
      <w:r>
        <w:rPr>
          <w:rFonts w:ascii="Times New Roman" w:cs="Times New Roman" w:eastAsia="Times New Roman" w:hAnsi="Times New Roman"/>
          <w:sz w:val="16"/>
          <w:szCs w:val="16"/>
          <w:i w:val="1"/>
          <w:iCs w:val="1"/>
          <w:color w:val="auto"/>
        </w:rPr>
        <w:t xml:space="preserve">Section 2(u) </w:t>
      </w:r>
      <w:r>
        <w:rPr>
          <w:rFonts w:ascii="Times New Roman" w:cs="Times New Roman" w:eastAsia="Times New Roman" w:hAnsi="Times New Roman"/>
          <w:sz w:val="16"/>
          <w:szCs w:val="16"/>
          <w:color w:val="auto"/>
        </w:rPr>
        <w:t>of the FIFRA; those substances defined as a source, special nuclear or by-product material by</w:t>
      </w:r>
      <w:r>
        <w:rPr>
          <w:rFonts w:ascii="Times New Roman" w:cs="Times New Roman" w:eastAsia="Times New Roman" w:hAnsi="Times New Roman"/>
          <w:sz w:val="16"/>
          <w:szCs w:val="16"/>
          <w:i w:val="1"/>
          <w:iCs w:val="1"/>
          <w:color w:val="auto"/>
        </w:rPr>
        <w:t xml:space="preserve"> Section 11 </w:t>
      </w:r>
      <w:r>
        <w:rPr>
          <w:rFonts w:ascii="Times New Roman" w:cs="Times New Roman" w:eastAsia="Times New Roman" w:hAnsi="Times New Roman"/>
          <w:sz w:val="16"/>
          <w:szCs w:val="16"/>
          <w:color w:val="auto"/>
        </w:rPr>
        <w:t>of the AEA; those substances defined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"residual radioactive material" by </w:t>
      </w:r>
      <w:r>
        <w:rPr>
          <w:rFonts w:ascii="Times New Roman" w:cs="Times New Roman" w:eastAsia="Times New Roman" w:hAnsi="Times New Roman"/>
          <w:sz w:val="16"/>
          <w:szCs w:val="16"/>
          <w:i w:val="1"/>
          <w:iCs w:val="1"/>
          <w:color w:val="auto"/>
        </w:rPr>
        <w:t>Section 101</w:t>
      </w:r>
      <w:r>
        <w:rPr>
          <w:rFonts w:ascii="Times New Roman" w:cs="Times New Roman" w:eastAsia="Times New Roman" w:hAnsi="Times New Roman"/>
          <w:sz w:val="16"/>
          <w:szCs w:val="16"/>
          <w:color w:val="auto"/>
        </w:rPr>
        <w:t xml:space="preserve"> of the UMTRCA; those substances defined as "toxic materials" or "harmful physical agents" pursuant to </w:t>
      </w:r>
      <w:r>
        <w:rPr>
          <w:rFonts w:ascii="Times New Roman" w:cs="Times New Roman" w:eastAsia="Times New Roman" w:hAnsi="Times New Roman"/>
          <w:sz w:val="16"/>
          <w:szCs w:val="16"/>
          <w:i w:val="1"/>
          <w:iCs w:val="1"/>
          <w:color w:val="auto"/>
        </w:rPr>
        <w:t>Section 6</w:t>
      </w:r>
      <w:r>
        <w:rPr>
          <w:rFonts w:ascii="Times New Roman" w:cs="Times New Roman" w:eastAsia="Times New Roman" w:hAnsi="Times New Roman"/>
          <w:sz w:val="16"/>
          <w:szCs w:val="16"/>
          <w:color w:val="auto"/>
        </w:rPr>
        <w:t xml:space="preserve"> of the OSHA); those substances defined as hazardous wastes in 40 C.F.R. Part 261.3; those substances defined as hazardous waste constituents in 40 C.F.R.</w:t>
      </w:r>
    </w:p>
    <w:p>
      <w:pPr>
        <w:spacing w:after="0" w:line="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40 C.F.R. Part 1910; in any other Environmental Laws; and in the regulations adopted and publications promulgated pursuant to said laws, whether or not such regulations or publications are specifically referenced herein.</w:t>
      </w:r>
    </w:p>
    <w:p>
      <w:pPr>
        <w:spacing w:after="0" w:line="192" w:lineRule="exact"/>
        <w:rPr>
          <w:sz w:val="20"/>
          <w:szCs w:val="20"/>
          <w:color w:val="auto"/>
        </w:rPr>
      </w:pPr>
    </w:p>
    <w:p>
      <w:pPr>
        <w:ind w:right="360" w:firstLine="351"/>
        <w:spacing w:after="0" w:line="258" w:lineRule="auto"/>
        <w:rPr>
          <w:sz w:val="20"/>
          <w:szCs w:val="20"/>
          <w:color w:val="auto"/>
        </w:rPr>
      </w:pPr>
      <w:r>
        <w:rPr>
          <w:rFonts w:ascii="Times New Roman" w:cs="Times New Roman" w:eastAsia="Times New Roman" w:hAnsi="Times New Roman"/>
          <w:sz w:val="18"/>
          <w:szCs w:val="18"/>
          <w:color w:val="auto"/>
        </w:rPr>
        <w:t>"Hazardous Materials Activities" means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 xml:space="preserve">"Home Site Land" means a tract of land not greater than 20 acres located on the Golf Course where residential and non-gaming related developments may be built after Disposition of the Home Site Land in accordance with </w:t>
      </w:r>
      <w:r>
        <w:rPr>
          <w:rFonts w:ascii="Times New Roman" w:cs="Times New Roman" w:eastAsia="Times New Roman" w:hAnsi="Times New Roman"/>
          <w:sz w:val="18"/>
          <w:szCs w:val="18"/>
          <w:i w:val="1"/>
          <w:iCs w:val="1"/>
          <w:color w:val="auto"/>
        </w:rPr>
        <w:t>Section 7.5(l)</w:t>
      </w:r>
      <w:r>
        <w:rPr>
          <w:rFonts w:ascii="Times New Roman" w:cs="Times New Roman" w:eastAsia="Times New Roman" w:hAnsi="Times New Roman"/>
          <w:sz w:val="18"/>
          <w:szCs w:val="18"/>
          <w:color w:val="auto"/>
        </w:rPr>
        <w:t xml:space="preserve"> of the Bank Credit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"Improvements" means the buildings, fixtures and other improvements to be situated on the Mortgaged Property.</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Balance" means that, at the time of calculation and after giving effect to any requested Advance (or, if no Advance is then being requested, after deducting from Available Funds the amount of costs incurred but not paid since the date of the immediately preceding Advance), (a) the Unallocated Contingency Balance equals or exceeds the Required Minimum Contingency, (b) the Available Funds equal or exceed the sum of the aggregate Remaining Costs for each Line Item Category plus the Required Minimum Contingency and (c) there shall be no negative number identified for any Line Item Category in column L ("Variance Over/Under") of the Summary Anticipated Cost Report.</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"Indebtedness," as applied to any Person, means (a) all indebtedness for borrowed money, (b) that portion of obligations with respect to leases which are or should be, in accordance with generally accepted accounting principles, classified as a capital lease and a liability on a balance sheet, (c) notes payable and drafts accepted representing extensions of credit whether or not representing obligations for borrowed money, (d) any obligation owed for all or any part of the deferred purchase price of property or services (excluding any such obligations incurred under ERISA), which purchase price is (i) due more than six months from the date of incurrence of the obligation in respect thereof or (ii) evidenced by a note or similar written instrument, and (e) all indebtedness secured by any Lien on any property or asset owned or held by that Person regardless of whether the indebtedness secured thereby shall have been assumed by that Person or is nonrecourse to the credit of that Person. Obligations under Interest Rate Agreements do not constitute Indebtedness hereunder. All obligations under the Financing Agreements shall constitute Indebtedness hereunder.</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"Indemnitees" has the meaning given in </w:t>
      </w:r>
      <w:r>
        <w:rPr>
          <w:rFonts w:ascii="Times New Roman" w:cs="Times New Roman" w:eastAsia="Times New Roman" w:hAnsi="Times New Roman"/>
          <w:sz w:val="18"/>
          <w:szCs w:val="18"/>
          <w:i w:val="1"/>
          <w:iCs w:val="1"/>
          <w:color w:val="auto"/>
        </w:rPr>
        <w:t>Section 11.15.2</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"Indenture Trustee" means Wells Fargo Bank, National Association, in its capacity as the initial trustee under the Second Mortgage Notes Indenture and its successors in such capacity.</w:t>
      </w:r>
    </w:p>
    <w:p>
      <w:pPr>
        <w:spacing w:after="0" w:line="174" w:lineRule="exact"/>
        <w:rPr>
          <w:sz w:val="20"/>
          <w:szCs w:val="20"/>
          <w:color w:val="auto"/>
        </w:rPr>
      </w:pPr>
    </w:p>
    <w:p>
      <w:pPr>
        <w:ind w:right="980" w:firstLine="351"/>
        <w:spacing w:after="0" w:line="275" w:lineRule="auto"/>
        <w:rPr>
          <w:sz w:val="20"/>
          <w:szCs w:val="20"/>
          <w:color w:val="auto"/>
        </w:rPr>
      </w:pPr>
      <w:r>
        <w:rPr>
          <w:rFonts w:ascii="Times New Roman" w:cs="Times New Roman" w:eastAsia="Times New Roman" w:hAnsi="Times New Roman"/>
          <w:sz w:val="18"/>
          <w:szCs w:val="18"/>
          <w:color w:val="auto"/>
        </w:rPr>
        <w:t>"Independent Consultants" means collectively the Construction Consultant, the Insurance Advisor or their successors appointed pursuant to the Disbursement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"Insurance Advisor" means Marsh USA Inc., or its successor, appointed pursuant to the Disbursement Agreement.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"Insurance Advisor's Closing Certificate" means a closing certificate in the form of </w:t>
      </w:r>
      <w:r>
        <w:rPr>
          <w:rFonts w:ascii="Times New Roman" w:cs="Times New Roman" w:eastAsia="Times New Roman" w:hAnsi="Times New Roman"/>
          <w:sz w:val="18"/>
          <w:szCs w:val="18"/>
          <w:i w:val="1"/>
          <w:iCs w:val="1"/>
          <w:color w:val="auto"/>
        </w:rPr>
        <w:t>Exhibit B-3</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"Intercreditor Agreements" means, collectively, the Project Lenders Intercreditor Agreement and the FF&amp;E Intercreditor Agreement.</w:t>
      </w:r>
    </w:p>
    <w:p>
      <w:pPr>
        <w:spacing w:after="0" w:line="223"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"Interest Payment Account" means the account referenced in </w:t>
      </w:r>
      <w:r>
        <w:rPr>
          <w:rFonts w:ascii="Times New Roman" w:cs="Times New Roman" w:eastAsia="Times New Roman" w:hAnsi="Times New Roman"/>
          <w:sz w:val="18"/>
          <w:szCs w:val="18"/>
          <w:i w:val="1"/>
          <w:iCs w:val="1"/>
          <w:color w:val="auto"/>
        </w:rPr>
        <w:t>Section 2.3.5</w:t>
      </w:r>
      <w:r>
        <w:rPr>
          <w:rFonts w:ascii="Times New Roman" w:cs="Times New Roman" w:eastAsia="Times New Roman" w:hAnsi="Times New Roman"/>
          <w:sz w:val="18"/>
          <w:szCs w:val="18"/>
          <w:color w:val="auto"/>
        </w:rPr>
        <w:t xml:space="preserve"> of the Disbursement Agreement and established pursuant to the Company Collateral Account Agreements.</w:t>
      </w:r>
    </w:p>
    <w:p>
      <w:pPr>
        <w:spacing w:after="0" w:line="17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"Interest Rate Agreement" means any interest rate swap agreement, interest rate cap agreement, interest rate collar agreement or other similar agreement or arrangement (including, without limitation, the "Specified Hedge Agreements" as such term is defined in the Bank Credit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"Las Vegas Jet" means Las Vegas Jet, LLC, a Nevada limited liability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"Legal Requirements" means all laws, statutes, orders, decrees, injunctions, licenses, permits, approvals, agreements and regulations of any Governmental Authority having jurisdiction over the matter in question, including, without limitation, Nevada Gaming Laws.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"Lender" means any of the Bank Lenders, the Second Mortgage Note Holders and the FF&amp;E Lenders.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"Letter of Credit" has the meaning given in the Bank Credit Agreement.</w:t>
      </w:r>
    </w:p>
    <w:p>
      <w:pPr>
        <w:sectPr>
          <w:pgSz w:w="11900" w:h="16847" w:orient="portrait"/>
          <w:cols w:equalWidth="0" w:num="1">
            <w:col w:w="11400"/>
          </w:cols>
          <w:pgMar w:left="240" w:top="125" w:right="259" w:bottom="0" w:gutter="0" w:footer="0" w:header="0"/>
        </w:sectPr>
      </w:pPr>
    </w:p>
    <w:bookmarkStart w:id="70" w:name="page71"/>
    <w:bookmarkEnd w:id="70"/>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statues) of any jurisdiction).</w:t>
      </w:r>
    </w:p>
    <w:p>
      <w:pPr>
        <w:spacing w:after="0" w:line="190" w:lineRule="exact"/>
        <w:rPr>
          <w:sz w:val="20"/>
          <w:szCs w:val="20"/>
          <w:color w:val="auto"/>
        </w:rPr>
      </w:pPr>
    </w:p>
    <w:p>
      <w:pPr>
        <w:ind w:right="260" w:firstLine="351"/>
        <w:spacing w:after="0" w:line="339" w:lineRule="auto"/>
        <w:rPr>
          <w:sz w:val="20"/>
          <w:szCs w:val="20"/>
          <w:color w:val="auto"/>
        </w:rPr>
      </w:pPr>
      <w:r>
        <w:rPr>
          <w:rFonts w:ascii="Times New Roman" w:cs="Times New Roman" w:eastAsia="Times New Roman" w:hAnsi="Times New Roman"/>
          <w:sz w:val="16"/>
          <w:szCs w:val="16"/>
          <w:color w:val="auto"/>
        </w:rPr>
        <w:t>"Line Item" means each of the individual line items set forth in the Line Item Category Detailed Anticipated Cost Report and the Monthly Requisition Report (as in effect from time to time), which individual line items shall be reasonably acceptable to the Disbursement Agent and the Construction Consultant.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"Line Item Category" means each of the following line item categories of the Project Budget:</w:t>
      </w:r>
    </w:p>
    <w:p>
      <w:pPr>
        <w:spacing w:after="0" w:line="225" w:lineRule="exact"/>
        <w:rPr>
          <w:sz w:val="20"/>
          <w:szCs w:val="20"/>
          <w:color w:val="auto"/>
        </w:rPr>
      </w:pPr>
    </w:p>
    <w:p>
      <w:pPr>
        <w:ind w:left="1180" w:hanging="281"/>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and Buildings;</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Express Airplane Purchase;</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Marnell Corrao GMP Contract;</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Furnishings/Signage/Electronic Systems;</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FF&amp;E;</w:t>
      </w:r>
    </w:p>
    <w:p>
      <w:pPr>
        <w:spacing w:after="0" w:line="225"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Capital Projects;</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Course;</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Garage;</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&amp; Commitment Fees;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&amp; Expenses;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Engineering Fees;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at Opening;</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Insurance/Utilities/Security;</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(q) Property Taxes;</w:t>
      </w:r>
    </w:p>
    <w:p>
      <w:pPr>
        <w:spacing w:after="0" w:line="225" w:lineRule="exact"/>
        <w:rPr>
          <w:sz w:val="20"/>
          <w:szCs w:val="20"/>
          <w:color w:val="auto"/>
        </w:rPr>
      </w:pPr>
    </w:p>
    <w:p>
      <w:pPr>
        <w:ind w:left="1200" w:hanging="301"/>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Approvals &amp; Permits;</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Operating Costs; and</w:t>
      </w:r>
    </w:p>
    <w:p>
      <w:pPr>
        <w:spacing w:after="0" w:line="225"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Contingency.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"Line Item Category Detailed Anticipated Cost Report" means any of the anticipated cost reports in the forms of </w:t>
      </w:r>
      <w:r>
        <w:rPr>
          <w:rFonts w:ascii="Times New Roman" w:cs="Times New Roman" w:eastAsia="Times New Roman" w:hAnsi="Times New Roman"/>
          <w:sz w:val="18"/>
          <w:szCs w:val="18"/>
          <w:i w:val="1"/>
          <w:iCs w:val="1"/>
          <w:color w:val="auto"/>
        </w:rPr>
        <w:t>Schedules 1</w:t>
      </w:r>
      <w:r>
        <w:rPr>
          <w:rFonts w:ascii="Times New Roman" w:cs="Times New Roman" w:eastAsia="Times New Roman" w:hAnsi="Times New Roman"/>
          <w:sz w:val="18"/>
          <w:szCs w:val="18"/>
          <w:color w:val="auto"/>
        </w:rPr>
        <w:t xml:space="preserve"> through 19 to </w:t>
      </w:r>
      <w:r>
        <w:rPr>
          <w:rFonts w:ascii="Times New Roman" w:cs="Times New Roman" w:eastAsia="Times New Roman" w:hAnsi="Times New Roman"/>
          <w:sz w:val="18"/>
          <w:szCs w:val="18"/>
          <w:i w:val="1"/>
          <w:iCs w:val="1"/>
          <w:color w:val="auto"/>
        </w:rPr>
        <w:t>Exhibit H-3</w:t>
      </w:r>
      <w:r>
        <w:rPr>
          <w:rFonts w:ascii="Times New Roman" w:cs="Times New Roman" w:eastAsia="Times New Roman" w:hAnsi="Times New Roman"/>
          <w:sz w:val="18"/>
          <w:szCs w:val="18"/>
          <w:color w:val="auto"/>
        </w:rPr>
        <w:t xml:space="preserve"> to the Disbursement Agreement and which provides, for each Line Item Category, the detailed supporting information broken down by Line Item.</w:t>
      </w:r>
    </w:p>
    <w:p>
      <w:pPr>
        <w:spacing w:after="0" w:line="172"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"Loan Parties" shall mean Valvino, Wynn Las Vegas, Wynn Design &amp; Development, Wynn Resorts Holdings, Capital Corp., Palo, Desert Inn Improvement, Desert Inn Water, World Travel, Las Vegas Jet, and each other Subsidiary of Valvino (other than the Completion Guarantor) which is a party to a Material Project Document or a Security Document.</w:t>
      </w:r>
    </w:p>
    <w:p>
      <w:pPr>
        <w:spacing w:after="0" w:line="186"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"Loans" means, as the context may require (a) the Term Loans made under the Bank Credit Facility and the Revolving Credit Loans made under the Bank Revolving Facility or (b) the loans made under the FF&amp;E Facility.</w:t>
      </w:r>
    </w:p>
    <w:p>
      <w:pPr>
        <w:spacing w:after="0" w:line="174"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"Local Account Company Collateral Account Agreement(s)" means the Bank Local Company Collateral Account Agreements and the Second Mortgage Notes Local Company Collateral Account Agreements.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"Loss Proceeds" has the meaning given in </w:t>
      </w:r>
      <w:r>
        <w:rPr>
          <w:rFonts w:ascii="Times New Roman" w:cs="Times New Roman" w:eastAsia="Times New Roman" w:hAnsi="Times New Roman"/>
          <w:sz w:val="18"/>
          <w:szCs w:val="18"/>
          <w:i w:val="1"/>
          <w:iCs w:val="1"/>
          <w:color w:val="auto"/>
        </w:rPr>
        <w:t>Section 5.21</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"Major Project Participant" shall mean each Person who is party to a Material Project Document.</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"Material Adverse Effect" means a material adverse condition or material adverse change in or affecting (a) the business, assets, liabilities, property, condition (financial or otherwise), results of operations, prospects, value or management of the Company and the other Loan Parties, taken as a whole, or of any Project Credit Support Provider, or that calls into question in any material respect the Projections or any of the material assumptions on which the Projections were prepared, (b) the Project, (c) the ability of the Company to achieve Completion on or prior to the Scheduled Completion Date; (d) the validity or enforceability of any Financing Agreement; (e) the validity, enforceability or priority of the Liens purported to be created under the Security Documents; or (f) the rights and remedies of any Secured Party under any Financing Agreement.</w:t>
      </w:r>
    </w:p>
    <w:p>
      <w:pPr>
        <w:sectPr>
          <w:pgSz w:w="11900" w:h="16838" w:orient="portrait"/>
          <w:cols w:equalWidth="0" w:num="1">
            <w:col w:w="11420"/>
          </w:cols>
          <w:pgMar w:left="240" w:top="125" w:right="239" w:bottom="108" w:gutter="0" w:footer="0" w:header="0"/>
        </w:sectPr>
      </w:pPr>
    </w:p>
    <w:bookmarkStart w:id="71" w:name="page72"/>
    <w:bookmarkEnd w:id="71"/>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"Material Project Document" means any of the Prime Construction Contract, the Golf Course Construction Contract, the Parking Structure Construction Contract, the Professional Design Services Agreements, the Construction Guaranty, the Water Supply Contract, the Affiliate Real Estate Agreements, and, without duplication, any Project Document with a total contract amount in excess of $5,000,000 and each Payment and Performance Bond issued to support any of the foregoing.</w:t>
      </w:r>
    </w:p>
    <w:p>
      <w:pPr>
        <w:spacing w:after="0" w:line="188"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"Monthly Requisition Report" means a Monthly Requisition Report in the form of </w:t>
      </w:r>
      <w:r>
        <w:rPr>
          <w:rFonts w:ascii="Times New Roman" w:cs="Times New Roman" w:eastAsia="Times New Roman" w:hAnsi="Times New Roman"/>
          <w:sz w:val="18"/>
          <w:szCs w:val="18"/>
          <w:i w:val="1"/>
          <w:iCs w:val="1"/>
          <w:color w:val="auto"/>
        </w:rPr>
        <w:t>Appendix III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Exhibit C-1</w:t>
      </w:r>
      <w:r>
        <w:rPr>
          <w:rFonts w:ascii="Times New Roman" w:cs="Times New Roman" w:eastAsia="Times New Roman" w:hAnsi="Times New Roman"/>
          <w:sz w:val="18"/>
          <w:szCs w:val="18"/>
          <w:color w:val="auto"/>
        </w:rPr>
        <w:t xml:space="preserve"> to the Disbursement Agreement and which provides the information therein segregated by Line Item Categories and by Line Item.</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"Moody's" means Moody's Investors Service, Inc., a Delaware corporation, or any successor thereof.</w:t>
      </w:r>
    </w:p>
    <w:p>
      <w:pPr>
        <w:spacing w:after="0" w:line="225"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"Mortgaged Property" means, collectively, all real and personal property which is subject or is intended to become subject to the security interests or liens granted by any of the Bank Deeds of Trust and the Second Mortgage Note Deeds of Trust.</w:t>
      </w:r>
    </w:p>
    <w:p>
      <w:pPr>
        <w:spacing w:after="0" w:line="174"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"Multiemployer Plan" means a multi-employer plan as defined in Section 3(37) of ERISA to which the Company or any member of the Controlled Group contributes or has an obligation to contribute on behalf of its employees.</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"Nevada Gaming Authorities" means, collectively, the Nevada Gaming Commission, the Nevada State Gaming Control Board, and the Clark County Liquor and Gaming Licensing Board.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"Nevada Gaming Laws" means the Nevada Gaming Control Act, as modified in Chapter 463 of the Nevada Revised Statutes, as amended from time to time, and the regulations of the Nevada Gaming Commission promulgated thereunder, as amended from time to time.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"Notice of Advance Request" means a Notice of Advance Request in the form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"On-Site Cash" shall have the meaning given to such term in the Bank Credit Agreement.</w:t>
      </w:r>
    </w:p>
    <w:p>
      <w:pPr>
        <w:spacing w:after="0" w:line="225"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"Obligations" means (a) all loans, advances, debts, liabilities, and obligations, howsoever arising, owed by the Company or any other Loan Party under the Bank Credit Agreement, the Second Mortgage Notes Indenture, the FF&amp;E Facility or otherwise to any Lender of every kind and description (whether or not evidenced by any note or instrument and whether or not for the payment of money), direct or indirect, absolute or contingent, due or to become due, now existing or hereafter arising, pursuant to the terms of the Disbursement Agreement, any of the other Financing Agreements or any of the other Operative Documents, including all interest (including interest accruing after the maturity of the Loans and the Second Mortgage Notes and interest accruing after the filing of any petition in bankruptcy, or the commencement of any insolvency, reorganization or like proceeding, relating to any Loan party, whether or not a claim for post-filing or post-petition interest is allowed in such proceeding), fees, premiums, if any, charges, expenses, attorneys' fees and accountants fees chargeable to any Loan Party in connection with its dealings with the such Loan Party and payable by any Loan Party hereunder or thereunder; (b) any and all sums advanced by the Disbursement Agent or any Lender in order to preserve the Project Security or preserve any Secured Party's security interest in the Project Security, including all Protective Advances; and (c) in the event of any proceeding for the collection or enforcement of the Obligations after an Event of Default shall have occurred and be continuing, the reasonable expenses of retaking, holding, preparing for sale or lease, selling or otherwise disposing of or realizing on the Project Security, or of any exercise by any Secured Party of its rights under the Security Documents, together with reasonable attorneys' fees and court costs.</w:t>
      </w:r>
    </w:p>
    <w:p>
      <w:pPr>
        <w:spacing w:after="0" w:line="3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"Opening Conditions" means, collectively, the following:</w:t>
      </w:r>
    </w:p>
    <w:p>
      <w:pPr>
        <w:spacing w:after="0" w:line="225" w:lineRule="exact"/>
        <w:rPr>
          <w:sz w:val="20"/>
          <w:szCs w:val="20"/>
          <w:color w:val="auto"/>
        </w:rPr>
      </w:pPr>
    </w:p>
    <w:p>
      <w:pPr>
        <w:ind w:left="1180" w:hanging="28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Agents shall have received from the Company its Opening Date Certificate, pursuant to which the Company certifies that:</w:t>
      </w:r>
    </w:p>
    <w:p>
      <w:pPr>
        <w:spacing w:after="0" w:line="225" w:lineRule="exact"/>
        <w:rPr>
          <w:rFonts w:ascii="Times New Roman" w:cs="Times New Roman" w:eastAsia="Times New Roman" w:hAnsi="Times New Roman"/>
          <w:sz w:val="18"/>
          <w:szCs w:val="18"/>
          <w:color w:val="auto"/>
        </w:rPr>
      </w:pPr>
    </w:p>
    <w:p>
      <w:pPr>
        <w:ind w:left="1080" w:right="60" w:firstLine="447"/>
        <w:spacing w:after="0" w:line="262" w:lineRule="auto"/>
        <w:tabs>
          <w:tab w:leader="none" w:pos="177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the Project and all infrastructure and other improvements required to be constructed under applicable Legal Requirements or pursuant to the Development Agreements shall have been completed (except for Project Punchlist Items) in accordance with the Plans and Specifications;</w:t>
      </w:r>
    </w:p>
    <w:p>
      <w:pPr>
        <w:spacing w:after="0" w:line="186" w:lineRule="exact"/>
        <w:rPr>
          <w:rFonts w:ascii="Times New Roman" w:cs="Times New Roman" w:eastAsia="Times New Roman" w:hAnsi="Times New Roman"/>
          <w:sz w:val="18"/>
          <w:szCs w:val="18"/>
          <w:color w:val="auto"/>
        </w:rPr>
      </w:pPr>
    </w:p>
    <w:p>
      <w:pPr>
        <w:ind w:left="1080" w:right="100" w:firstLine="360"/>
        <w:spacing w:after="0" w:line="262" w:lineRule="auto"/>
        <w:tabs>
          <w:tab w:leader="none" w:pos="173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furnishings, fixtures and equipment necessary to use and occupy the various portions of the Project (including the hotel, the casino, the restaurants, the parking structure, all common areas and the Golf Course) for their intended uses (as more particularly set forth in </w:t>
      </w:r>
      <w:r>
        <w:rPr>
          <w:rFonts w:ascii="Times New Roman" w:cs="Times New Roman" w:eastAsia="Times New Roman" w:hAnsi="Times New Roman"/>
          <w:sz w:val="18"/>
          <w:szCs w:val="18"/>
          <w:i w:val="1"/>
          <w:iCs w:val="1"/>
          <w:color w:val="auto"/>
        </w:rPr>
        <w:t>Exhibit X-1</w:t>
      </w:r>
      <w:r>
        <w:rPr>
          <w:rFonts w:ascii="Times New Roman" w:cs="Times New Roman" w:eastAsia="Times New Roman" w:hAnsi="Times New Roman"/>
          <w:sz w:val="18"/>
          <w:szCs w:val="18"/>
          <w:color w:val="auto"/>
        </w:rPr>
        <w:t xml:space="preserve"> to the Disbursement Agreement) shall have been installed and shall be operational;</w:t>
      </w:r>
    </w:p>
    <w:p>
      <w:pPr>
        <w:spacing w:after="0" w:line="186" w:lineRule="exact"/>
        <w:rPr>
          <w:rFonts w:ascii="Times New Roman" w:cs="Times New Roman" w:eastAsia="Times New Roman" w:hAnsi="Times New Roman"/>
          <w:sz w:val="18"/>
          <w:szCs w:val="18"/>
          <w:color w:val="auto"/>
        </w:rPr>
      </w:pPr>
    </w:p>
    <w:p>
      <w:pPr>
        <w:ind w:left="1080" w:firstLine="360"/>
        <w:spacing w:after="0" w:line="255" w:lineRule="auto"/>
        <w:tabs>
          <w:tab w:leader="none" w:pos="178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Project Costs (other than Project Costs consisting of (A) Retainage Amounts, and other amounts, that, as of the Opening Date, are being withheld from the Contractors in accordance with the provisions of the Project Documents, (B) amounts being contested in accordance with the Financing Agreements so long as adequate reserves have been established through an allocation in the Anticipated Cost Report and in accordance with any requirements of such Financing Agreements, (C) amounts payable in respect of Project Punchlist Items to the extent not covered by the foregoing clause (A) and (D) amounts incurred by any Contractors or Subcontractors within the last thirty (30) days and to be paid under the current Advance Request which has been submitted but not yet disbursed) shall have been paid in full;</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60" w:firstLine="360"/>
        <w:spacing w:after="0" w:line="258" w:lineRule="auto"/>
        <w:tabs>
          <w:tab w:leader="none" w:pos="177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shall be served by, and shall be equipped to accept water, gas, electric, sewer, sanitary sewer, storm drain and other facilities and utilities necessary for use of the Project and each portion thereof for Project Intended Uses, which utility service is provided by public or private utilities over utility lines, pipes, wires and other facilities that run solely over public streets or private property (in the case of private property, pursuant to recorded easements);</w:t>
      </w:r>
    </w:p>
    <w:p>
      <w:pPr>
        <w:spacing w:after="0" w:line="190" w:lineRule="exact"/>
        <w:rPr>
          <w:rFonts w:ascii="Times New Roman" w:cs="Times New Roman" w:eastAsia="Times New Roman" w:hAnsi="Times New Roman"/>
          <w:sz w:val="18"/>
          <w:szCs w:val="18"/>
          <w:color w:val="auto"/>
        </w:rPr>
      </w:pPr>
    </w:p>
    <w:p>
      <w:pPr>
        <w:ind w:left="1080" w:firstLine="360"/>
        <w:spacing w:after="0" w:line="275" w:lineRule="auto"/>
        <w:tabs>
          <w:tab w:leader="none" w:pos="17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Project Certificate of Occupancy shall have been issued and each other Permit required to be obtained prior to Opening shall have been obtained (including the gaming license for the Project); and</w:t>
      </w:r>
    </w:p>
    <w:p>
      <w:pPr>
        <w:sectPr>
          <w:pgSz w:w="11900" w:h="16838" w:orient="portrait"/>
          <w:cols w:equalWidth="0" w:num="1">
            <w:col w:w="11360"/>
          </w:cols>
          <w:pgMar w:left="240" w:top="125" w:right="299" w:bottom="0" w:gutter="0" w:footer="0" w:header="0"/>
        </w:sectPr>
      </w:pPr>
    </w:p>
    <w:bookmarkStart w:id="72" w:name="page73"/>
    <w:bookmarkEnd w:id="72"/>
    <w:p>
      <w:pPr>
        <w:ind w:left="1080" w:right="80" w:firstLine="360"/>
        <w:spacing w:after="0" w:line="310" w:lineRule="auto"/>
        <w:tabs>
          <w:tab w:leader="none" w:pos="1772"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entire Project (other than the premises to be occupied by individual retail and restaurant tenants in the Project) shall be open for business to the general public for the Project Intended Uses;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all events all rooms shall be ready for occupancy, at least eighty-five percent (85%) of restaurant seats shall be open for business and at least sixty-seven percent (67%) of the retail tenants shall be open for business.</w:t>
      </w:r>
    </w:p>
    <w:p>
      <w:pPr>
        <w:spacing w:after="0" w:line="151" w:lineRule="exact"/>
        <w:rPr>
          <w:rFonts w:ascii="Times New Roman" w:cs="Times New Roman" w:eastAsia="Times New Roman" w:hAnsi="Times New Roman"/>
          <w:sz w:val="16"/>
          <w:szCs w:val="16"/>
          <w:color w:val="auto"/>
        </w:rPr>
      </w:pPr>
    </w:p>
    <w:p>
      <w:pPr>
        <w:ind w:left="540" w:right="500" w:firstLine="359"/>
        <w:spacing w:after="0" w:line="275" w:lineRule="auto"/>
        <w:tabs>
          <w:tab w:leader="none" w:pos="1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has delivered its Opening Date Certificate approving the Company's Opening Date Certificate and the Project Architect has delivered its Opening Date Certificate;</w:t>
      </w:r>
    </w:p>
    <w:p>
      <w:pPr>
        <w:spacing w:after="0" w:line="173" w:lineRule="exact"/>
        <w:rPr>
          <w:rFonts w:ascii="Times New Roman" w:cs="Times New Roman" w:eastAsia="Times New Roman" w:hAnsi="Times New Roman"/>
          <w:sz w:val="18"/>
          <w:szCs w:val="18"/>
          <w:color w:val="auto"/>
        </w:rPr>
      </w:pPr>
    </w:p>
    <w:p>
      <w:pPr>
        <w:ind w:left="540" w:right="200" w:firstLine="359"/>
        <w:spacing w:after="0" w:line="275" w:lineRule="auto"/>
        <w:tabs>
          <w:tab w:leader="none" w:pos="117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remaining work on the Project shall be such that it will not interfere with or disrupt the operation of the Project for its intended purposes or detract from the aesthetic appearance of the Project other than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extent;</w:t>
      </w:r>
    </w:p>
    <w:p>
      <w:pPr>
        <w:spacing w:after="0" w:line="173" w:lineRule="exact"/>
        <w:rPr>
          <w:rFonts w:ascii="Times New Roman" w:cs="Times New Roman" w:eastAsia="Times New Roman" w:hAnsi="Times New Roman"/>
          <w:sz w:val="18"/>
          <w:szCs w:val="18"/>
          <w:color w:val="auto"/>
        </w:rPr>
      </w:pPr>
    </w:p>
    <w:p>
      <w:pPr>
        <w:ind w:left="540" w:right="300" w:firstLine="359"/>
        <w:spacing w:after="0" w:line="275" w:lineRule="auto"/>
        <w:tabs>
          <w:tab w:leader="none" w:pos="1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to complete the remaining work would not interfere with or disrupt the operation of the Project for its intended purposes or detract from the aesthetic appearance of the Project other than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extent; and</w:t>
      </w:r>
    </w:p>
    <w:p>
      <w:pPr>
        <w:spacing w:after="0" w:line="173" w:lineRule="exact"/>
        <w:rPr>
          <w:rFonts w:ascii="Times New Roman" w:cs="Times New Roman" w:eastAsia="Times New Roman" w:hAnsi="Times New Roman"/>
          <w:sz w:val="18"/>
          <w:szCs w:val="18"/>
          <w:color w:val="auto"/>
        </w:rPr>
      </w:pPr>
    </w:p>
    <w:p>
      <w:pPr>
        <w:ind w:left="540" w:right="460" w:firstLine="359"/>
        <w:spacing w:after="0" w:line="275" w:lineRule="auto"/>
        <w:tabs>
          <w:tab w:leader="none" w:pos="117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available a fully trained staff to operate the Project including the hotel, casino and Golf Course in accordance with industry standards.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"Opening Date" means the date on which all or any portion of the Project is open for business, and the Opening Conditions shall have been satisfied.</w:t>
      </w:r>
    </w:p>
    <w:p>
      <w:pPr>
        <w:spacing w:after="0" w:line="223"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"Opening Date Certificates" means, collectively, the certificates in the form of </w:t>
      </w:r>
      <w:r>
        <w:rPr>
          <w:rFonts w:ascii="Times New Roman" w:cs="Times New Roman" w:eastAsia="Times New Roman" w:hAnsi="Times New Roman"/>
          <w:sz w:val="18"/>
          <w:szCs w:val="18"/>
          <w:i w:val="1"/>
          <w:iCs w:val="1"/>
          <w:color w:val="auto"/>
        </w:rPr>
        <w:t>Exhibits W-9, W-10, W-11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W-12</w:t>
      </w:r>
      <w:r>
        <w:rPr>
          <w:rFonts w:ascii="Times New Roman" w:cs="Times New Roman" w:eastAsia="Times New Roman" w:hAnsi="Times New Roman"/>
          <w:sz w:val="18"/>
          <w:szCs w:val="18"/>
          <w:color w:val="auto"/>
        </w:rPr>
        <w:t xml:space="preserve"> to the Disbursement Agreement to be delivered by the Company, the Construction Consultant, the Prime Contractor and the Project Architect, respectively.</w:t>
      </w:r>
    </w:p>
    <w:p>
      <w:pPr>
        <w:spacing w:after="0" w:line="17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"Operating Account" means the account referenced in </w:t>
      </w:r>
      <w:r>
        <w:rPr>
          <w:rFonts w:ascii="Times New Roman" w:cs="Times New Roman" w:eastAsia="Times New Roman" w:hAnsi="Times New Roman"/>
          <w:sz w:val="18"/>
          <w:szCs w:val="18"/>
          <w:i w:val="1"/>
          <w:iCs w:val="1"/>
          <w:color w:val="auto"/>
        </w:rPr>
        <w:t>Section 2.3.8</w:t>
      </w:r>
      <w:r>
        <w:rPr>
          <w:rFonts w:ascii="Times New Roman" w:cs="Times New Roman" w:eastAsia="Times New Roman" w:hAnsi="Times New Roman"/>
          <w:sz w:val="18"/>
          <w:szCs w:val="18"/>
          <w:color w:val="auto"/>
        </w:rPr>
        <w:t xml:space="preserve"> of the Disbursement Agreement and established pursuant to the Local Account Company Collateral Account Agreements.</w:t>
      </w:r>
    </w:p>
    <w:p>
      <w:pPr>
        <w:spacing w:after="0" w:line="172" w:lineRule="exact"/>
        <w:rPr>
          <w:sz w:val="20"/>
          <w:szCs w:val="20"/>
          <w:color w:val="auto"/>
        </w:rPr>
      </w:pPr>
    </w:p>
    <w:p>
      <w:pPr>
        <w:ind w:right="380" w:firstLine="351"/>
        <w:spacing w:after="0" w:line="289" w:lineRule="auto"/>
        <w:rPr>
          <w:sz w:val="20"/>
          <w:szCs w:val="20"/>
          <w:color w:val="auto"/>
        </w:rPr>
      </w:pPr>
      <w:r>
        <w:rPr>
          <w:rFonts w:ascii="Times New Roman" w:cs="Times New Roman" w:eastAsia="Times New Roman" w:hAnsi="Times New Roman"/>
          <w:sz w:val="16"/>
          <w:szCs w:val="16"/>
          <w:color w:val="auto"/>
        </w:rPr>
        <w:t xml:space="preserve">"Operating Costs" means all actual cash costs incurred by the Company and related to the operation of the Project or any portion thereof in the ordinary course of business, including, without limitation, costs incurred for labor, consumables, utility services, and all other operation related costs;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1" w:lineRule="exact"/>
        <w:rPr>
          <w:sz w:val="20"/>
          <w:szCs w:val="20"/>
          <w:color w:val="auto"/>
        </w:rPr>
      </w:pPr>
    </w:p>
    <w:p>
      <w:pPr>
        <w:ind w:right="20" w:firstLine="8"/>
        <w:spacing w:after="0" w:line="261" w:lineRule="auto"/>
        <w:tabs>
          <w:tab w:leader="none" w:pos="23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shall not include non-cash charges (including depreciation and amortization), (b) Debt Service shall constitute Operating Costs from and after the Completion Date but not prior to such date and (c) operating costs of the "preview center" at the Site shall constitute Operating Costs at all times.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"Operative Documents" means the Financing Agreements and the Project Documents.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"Original Aircraft Lender" means Bank of America, N.A.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"Outside Completion Deadline" means September 30, 2005.</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"Outstanding Releases" has the meaning given in </w:t>
      </w:r>
      <w:r>
        <w:rPr>
          <w:rFonts w:ascii="Times New Roman" w:cs="Times New Roman" w:eastAsia="Times New Roman" w:hAnsi="Times New Roman"/>
          <w:sz w:val="18"/>
          <w:szCs w:val="18"/>
          <w:i w:val="1"/>
          <w:iCs w:val="1"/>
          <w:color w:val="auto"/>
        </w:rPr>
        <w:t>Section 3.3.7</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"Palo" means Palo, LLC, a Delaware limited liability company.</w:t>
      </w:r>
    </w:p>
    <w:p>
      <w:pPr>
        <w:spacing w:after="0" w:line="225"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 xml:space="preserve">"Palo Home Site Land" means the approximately 1.24-acre tract of land adjacent to the Golf Course owned by Palo, as more particularly described in </w:t>
      </w:r>
      <w:r>
        <w:rPr>
          <w:rFonts w:ascii="Times New Roman" w:cs="Times New Roman" w:eastAsia="Times New Roman" w:hAnsi="Times New Roman"/>
          <w:sz w:val="18"/>
          <w:szCs w:val="18"/>
          <w:i w:val="1"/>
          <w:iCs w:val="1"/>
          <w:color w:val="auto"/>
        </w:rPr>
        <w:t xml:space="preserve">Exhibit T-4 </w:t>
      </w:r>
      <w:r>
        <w:rPr>
          <w:rFonts w:ascii="Times New Roman" w:cs="Times New Roman" w:eastAsia="Times New Roman" w:hAnsi="Times New Roman"/>
          <w:sz w:val="18"/>
          <w:szCs w:val="18"/>
          <w:color w:val="auto"/>
        </w:rPr>
        <w:t>to the Disbursement Agreement.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"Palo Permitted Encumbrances" has the meaning given in </w:t>
      </w:r>
      <w:r>
        <w:rPr>
          <w:rFonts w:ascii="Times New Roman" w:cs="Times New Roman" w:eastAsia="Times New Roman" w:hAnsi="Times New Roman"/>
          <w:sz w:val="18"/>
          <w:szCs w:val="18"/>
          <w:i w:val="1"/>
          <w:iCs w:val="1"/>
          <w:color w:val="auto"/>
        </w:rPr>
        <w:t>Section 3.1.28</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"Parking Facility Lease" means that certain Parking Facility Lease dated as of October 21, 2002 between Valvino, as landlord, and Wynn Las Vegas, as tenant.</w:t>
      </w:r>
    </w:p>
    <w:p>
      <w:pPr>
        <w:spacing w:after="0" w:line="174"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"Parking Structure Construction Contract" means that certain Design/Build Agreement dated as of June 6, 2002 between the Company and the Parking Structure Contractor.</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"Parking Structure Contractor" means Bomel Construction Co., Inc., a California corporation.</w:t>
      </w:r>
    </w:p>
    <w:p>
      <w:pPr>
        <w:spacing w:after="0" w:line="225" w:lineRule="exact"/>
        <w:rPr>
          <w:sz w:val="20"/>
          <w:szCs w:val="20"/>
          <w:color w:val="auto"/>
        </w:rPr>
      </w:pPr>
    </w:p>
    <w:p>
      <w:pPr>
        <w:ind w:right="120" w:firstLine="351"/>
        <w:spacing w:after="0" w:line="310" w:lineRule="auto"/>
        <w:rPr>
          <w:sz w:val="20"/>
          <w:szCs w:val="20"/>
          <w:color w:val="auto"/>
        </w:rPr>
      </w:pPr>
      <w:r>
        <w:rPr>
          <w:rFonts w:ascii="Times New Roman" w:cs="Times New Roman" w:eastAsia="Times New Roman" w:hAnsi="Times New Roman"/>
          <w:sz w:val="16"/>
          <w:szCs w:val="16"/>
          <w:color w:val="auto"/>
        </w:rPr>
        <w:t>"Payment and Performance Bond" means any payment and performance bond delivered under any Contract or Subcontract (including the Prime Contractor Payment and Performance Bond) in favor of the Company or the Prime Contractor, the Bank Agent acting on behalf of the Bank Lenders) and the Indenture Trustee (acting on behalf of the Second Mortgage Note Holders) supporting the Contractor's or Subcontractor's obligations under any such Contract.</w:t>
      </w:r>
    </w:p>
    <w:p>
      <w:pPr>
        <w:spacing w:after="0" w:line="151"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"Permits" means all authorizations, consents, decrees, permits, waivers, privileges, approvals from and filings with all Governmental Authorities necessary for the construction, development, ownership, lease or operation of the Project in accordance with the Operative Documents.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"Permitted Businesses" shall have the meaning given in the Bank Credit Agreement.</w:t>
      </w:r>
    </w:p>
    <w:p>
      <w:pPr>
        <w:spacing w:after="0" w:line="225"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"Permitted Encumbrances" means with respect to the Deed of Trust executed by Wynn Las Vegas, the Wynn Las Vegas Permitted Encumbrances; with respect to the Deeds of Trust executed by Valvino, the Valvino Permitted Encumbrances; with respect to the Deeds of Trust executed by Palo, the Palo Permitted Encumbrances; with respect to the Deeds of Trust executed by Wynn Resorts Holdings, the Wynn Resorts Holdings Permitted Encumbrances; and with respect to the Deeds of Trust executed by the Desert Inn Improvement, the DIIC Permitted Encumbrances.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"Permitted Investments": means, prior to the Completion Date, the following:</w:t>
      </w:r>
    </w:p>
    <w:p>
      <w:pPr>
        <w:spacing w:after="0" w:line="225" w:lineRule="exact"/>
        <w:rPr>
          <w:sz w:val="20"/>
          <w:szCs w:val="20"/>
          <w:color w:val="auto"/>
        </w:rPr>
      </w:pPr>
    </w:p>
    <w:p>
      <w:pPr>
        <w:ind w:left="540" w:right="340" w:firstLine="359"/>
        <w:spacing w:after="0" w:line="275" w:lineRule="auto"/>
        <w:tabs>
          <w:tab w:leader="none" w:pos="117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 or</w:t>
      </w:r>
    </w:p>
    <w:p>
      <w:pPr>
        <w:sectPr>
          <w:pgSz w:w="11900" w:h="16838" w:orient="portrait"/>
          <w:cols w:equalWidth="0" w:num="1">
            <w:col w:w="11400"/>
          </w:cols>
          <w:pgMar w:left="240" w:top="125" w:right="259" w:bottom="0" w:gutter="0" w:footer="0" w:header="0"/>
        </w:sectPr>
      </w:pPr>
    </w:p>
    <w:bookmarkStart w:id="73" w:name="page74"/>
    <w:bookmarkEnd w:id="73"/>
    <w:p>
      <w:pPr>
        <w:ind w:right="300" w:firstLine="899"/>
        <w:spacing w:after="0" w:line="501" w:lineRule="auto"/>
        <w:tabs>
          <w:tab w:leader="none" w:pos="118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money market mutual or similar funds which invest exclusively in assets satisfying the requirements of clause (a) of this definition. From and after the Completion Date, "Permitted Investments" means the following:</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United States dollars;</w:t>
      </w:r>
    </w:p>
    <w:p>
      <w:pPr>
        <w:spacing w:after="0" w:line="225" w:lineRule="exact"/>
        <w:rPr>
          <w:sz w:val="20"/>
          <w:szCs w:val="20"/>
          <w:color w:val="auto"/>
        </w:rPr>
      </w:pPr>
    </w:p>
    <w:p>
      <w:pPr>
        <w:ind w:left="540" w:right="60" w:firstLine="359"/>
        <w:spacing w:after="0" w:line="262" w:lineRule="auto"/>
        <w:tabs>
          <w:tab w:leader="none" w:pos="1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186" w:lineRule="exact"/>
        <w:rPr>
          <w:rFonts w:ascii="Times New Roman" w:cs="Times New Roman" w:eastAsia="Times New Roman" w:hAnsi="Times New Roman"/>
          <w:sz w:val="18"/>
          <w:szCs w:val="18"/>
          <w:color w:val="auto"/>
        </w:rPr>
      </w:pPr>
    </w:p>
    <w:p>
      <w:pPr>
        <w:ind w:left="540" w:right="100" w:firstLine="359"/>
        <w:spacing w:after="0" w:line="310" w:lineRule="auto"/>
        <w:tabs>
          <w:tab w:leader="none" w:pos="1184"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40" w:firstLine="359"/>
        <w:spacing w:after="0" w:line="275" w:lineRule="auto"/>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73" w:lineRule="exact"/>
        <w:rPr>
          <w:rFonts w:ascii="Times New Roman" w:cs="Times New Roman" w:eastAsia="Times New Roman" w:hAnsi="Times New Roman"/>
          <w:sz w:val="18"/>
          <w:szCs w:val="18"/>
          <w:color w:val="auto"/>
        </w:rPr>
      </w:pPr>
    </w:p>
    <w:p>
      <w:pPr>
        <w:ind w:left="540" w:right="460" w:firstLine="359"/>
        <w:spacing w:after="0" w:line="275" w:lineRule="auto"/>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the highest rating obtainable from Moody's or S&amp;P and in each case maturing within six months after the date of acquisition;</w:t>
      </w:r>
    </w:p>
    <w:p>
      <w:pPr>
        <w:spacing w:after="0" w:line="173" w:lineRule="exact"/>
        <w:rPr>
          <w:rFonts w:ascii="Times New Roman" w:cs="Times New Roman" w:eastAsia="Times New Roman" w:hAnsi="Times New Roman"/>
          <w:sz w:val="18"/>
          <w:szCs w:val="18"/>
          <w:color w:val="auto"/>
        </w:rPr>
      </w:pPr>
    </w:p>
    <w:p>
      <w:pPr>
        <w:ind w:left="540" w:right="220" w:firstLine="359"/>
        <w:spacing w:after="0" w:line="275" w:lineRule="auto"/>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or mutual funds at least 95% of the assets of which constitute Permitted Investments of the kinds described in clauses (1) through (5) of this definition; and</w:t>
      </w:r>
    </w:p>
    <w:p>
      <w:pPr>
        <w:spacing w:after="0" w:line="173"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permitted in clauses (1) through (6) above, the investments permitted in clauses (a) and (b) above.</w:t>
      </w:r>
    </w:p>
    <w:p>
      <w:pPr>
        <w:spacing w:after="0" w:line="223"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"Permitted Liens" means the following types of Liens (excluding any such Lien imposed pursuant to </w:t>
      </w:r>
      <w:r>
        <w:rPr>
          <w:rFonts w:ascii="Times New Roman" w:cs="Times New Roman" w:eastAsia="Times New Roman" w:hAnsi="Times New Roman"/>
          <w:sz w:val="18"/>
          <w:szCs w:val="18"/>
          <w:i w:val="1"/>
          <w:iCs w:val="1"/>
          <w:color w:val="auto"/>
        </w:rPr>
        <w:t>Section 401(a)(29)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412(n)</w:t>
      </w:r>
      <w:r>
        <w:rPr>
          <w:rFonts w:ascii="Times New Roman" w:cs="Times New Roman" w:eastAsia="Times New Roman" w:hAnsi="Times New Roman"/>
          <w:sz w:val="18"/>
          <w:szCs w:val="18"/>
          <w:color w:val="auto"/>
        </w:rPr>
        <w:t xml:space="preserve"> of the Internal Revenue Code or by ERISA, any such Lien relating to or imposed in connection with any Environmental Claim, and any such Lien expressly prohibited by any applicable terms of any of the Security Documents):</w:t>
      </w:r>
    </w:p>
    <w:p>
      <w:pPr>
        <w:spacing w:after="0" w:line="183" w:lineRule="exact"/>
        <w:rPr>
          <w:sz w:val="20"/>
          <w:szCs w:val="20"/>
          <w:color w:val="auto"/>
        </w:rPr>
      </w:pPr>
    </w:p>
    <w:p>
      <w:pPr>
        <w:jc w:val="both"/>
        <w:ind w:left="540" w:right="460" w:firstLine="359"/>
        <w:spacing w:after="0" w:line="262" w:lineRule="auto"/>
        <w:tabs>
          <w:tab w:leader="none" w:pos="117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claims the payment of which is not, at the time due and payable or which is being contested in good faith by appropriate proceedings promptly instituted and diligently conducted, so long as reserves (determined in accordance with GAAP) shall have been made therefor through an allocation in the Anticipated Cost Report;</w:t>
      </w:r>
    </w:p>
    <w:p>
      <w:pPr>
        <w:spacing w:after="0" w:line="186" w:lineRule="exact"/>
        <w:rPr>
          <w:rFonts w:ascii="Times New Roman" w:cs="Times New Roman" w:eastAsia="Times New Roman" w:hAnsi="Times New Roman"/>
          <w:sz w:val="18"/>
          <w:szCs w:val="18"/>
          <w:color w:val="auto"/>
        </w:rPr>
      </w:pPr>
    </w:p>
    <w:p>
      <w:pPr>
        <w:ind w:left="540" w:right="20" w:firstLine="359"/>
        <w:spacing w:after="0" w:line="255" w:lineRule="auto"/>
        <w:tabs>
          <w:tab w:leader="none" w:pos="1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statutory Liens of landlords, statutory Liens of banks and rights of set-off, statutory Liens of carriers, warehousemen, mechanics, repairmen, workmen and materialmen, and other Liens imposed by law, in each case incurred in the ordinary course of business (i) for amounts which are not overdue for a period of more than 30 days or (ii) that are being contested in good faith by appropriate proceedings (such contest proceedings conclusively operating to stay the sale of any portion of the Project Security on the account of such Lien) and with appropriate reserves (determined in accordance with GAAP) through an allocation in the Anticipated Cost Report which, in the aggregate with all other such reserves, including pursuant to </w:t>
      </w:r>
      <w:r>
        <w:rPr>
          <w:rFonts w:ascii="Times New Roman" w:cs="Times New Roman" w:eastAsia="Times New Roman" w:hAnsi="Times New Roman"/>
          <w:sz w:val="18"/>
          <w:szCs w:val="18"/>
          <w:i w:val="1"/>
          <w:iCs w:val="1"/>
          <w:color w:val="auto"/>
        </w:rPr>
        <w:t>Section 3.3.7</w:t>
      </w:r>
      <w:r>
        <w:rPr>
          <w:rFonts w:ascii="Times New Roman" w:cs="Times New Roman" w:eastAsia="Times New Roman" w:hAnsi="Times New Roman"/>
          <w:sz w:val="18"/>
          <w:szCs w:val="18"/>
          <w:color w:val="auto"/>
        </w:rPr>
        <w:t xml:space="preserve"> of the Disbursement Agreement, shall not exceed $10,000,000);</w:t>
      </w:r>
    </w:p>
    <w:p>
      <w:pPr>
        <w:spacing w:after="0" w:line="191" w:lineRule="exact"/>
        <w:rPr>
          <w:rFonts w:ascii="Times New Roman" w:cs="Times New Roman" w:eastAsia="Times New Roman" w:hAnsi="Times New Roman"/>
          <w:sz w:val="18"/>
          <w:szCs w:val="18"/>
          <w:color w:val="auto"/>
        </w:rPr>
      </w:pPr>
    </w:p>
    <w:p>
      <w:pPr>
        <w:ind w:left="540" w:firstLine="359"/>
        <w:spacing w:after="0" w:line="297" w:lineRule="auto"/>
        <w:tabs>
          <w:tab w:leader="none" w:pos="117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incurred or deposits made in the ordinary course of business including, without limitation, deposits permitted pursuant to </w:t>
      </w:r>
      <w:r>
        <w:rPr>
          <w:rFonts w:ascii="Times New Roman" w:cs="Times New Roman" w:eastAsia="Times New Roman" w:hAnsi="Times New Roman"/>
          <w:sz w:val="16"/>
          <w:szCs w:val="16"/>
          <w:i w:val="1"/>
          <w:iCs w:val="1"/>
          <w:color w:val="auto"/>
        </w:rPr>
        <w:t>Section 6.10(c)</w:t>
      </w:r>
      <w:r>
        <w:rPr>
          <w:rFonts w:ascii="Times New Roman" w:cs="Times New Roman" w:eastAsia="Times New Roman" w:hAnsi="Times New Roman"/>
          <w:sz w:val="16"/>
          <w:szCs w:val="16"/>
          <w:color w:val="auto"/>
        </w:rPr>
        <w:t xml:space="preserve"> of the Disbursement Agreement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provided that if such Liens are being contested, appropriate reserves (determined in accordance with GAAP) have been established through an allocation in the Anticipated Cost Report;</w:t>
      </w:r>
    </w:p>
    <w:p>
      <w:pPr>
        <w:spacing w:after="0" w:line="158" w:lineRule="exact"/>
        <w:rPr>
          <w:rFonts w:ascii="Times New Roman" w:cs="Times New Roman" w:eastAsia="Times New Roman" w:hAnsi="Times New Roman"/>
          <w:sz w:val="16"/>
          <w:szCs w:val="16"/>
          <w:color w:val="auto"/>
        </w:rPr>
      </w:pPr>
    </w:p>
    <w:p>
      <w:pPr>
        <w:ind w:left="540" w:right="360" w:firstLine="359"/>
        <w:spacing w:after="0" w:line="277" w:lineRule="auto"/>
        <w:tabs>
          <w:tab w:leader="none" w:pos="1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attachment or judgment Lien not constituting an Event of Default under </w:t>
      </w:r>
      <w:r>
        <w:rPr>
          <w:rFonts w:ascii="Times New Roman" w:cs="Times New Roman" w:eastAsia="Times New Roman" w:hAnsi="Times New Roman"/>
          <w:sz w:val="18"/>
          <w:szCs w:val="18"/>
          <w:i w:val="1"/>
          <w:iCs w:val="1"/>
          <w:color w:val="auto"/>
        </w:rPr>
        <w:t>Section 8</w:t>
      </w:r>
      <w:r>
        <w:rPr>
          <w:rFonts w:ascii="Times New Roman" w:cs="Times New Roman" w:eastAsia="Times New Roman" w:hAnsi="Times New Roman"/>
          <w:sz w:val="18"/>
          <w:szCs w:val="18"/>
          <w:color w:val="auto"/>
        </w:rPr>
        <w:t xml:space="preserve"> of the Bank Credit Agreement and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of the Second Mortgage Notes Indenture;</w:t>
      </w:r>
    </w:p>
    <w:p>
      <w:pPr>
        <w:spacing w:after="0" w:line="172" w:lineRule="exact"/>
        <w:rPr>
          <w:rFonts w:ascii="Times New Roman" w:cs="Times New Roman" w:eastAsia="Times New Roman" w:hAnsi="Times New Roman"/>
          <w:sz w:val="18"/>
          <w:szCs w:val="18"/>
          <w:color w:val="auto"/>
        </w:rPr>
      </w:pPr>
    </w:p>
    <w:p>
      <w:pPr>
        <w:ind w:left="540" w:right="60" w:firstLine="359"/>
        <w:spacing w:after="0" w:line="275" w:lineRule="auto"/>
        <w:tabs>
          <w:tab w:leader="none" w:pos="117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third parties in accordance with the applicable terms of the Security Documents and not interfering in any material respect with the ordinary conduct of the business of any Loan Party;</w:t>
      </w:r>
    </w:p>
    <w:p>
      <w:pPr>
        <w:spacing w:after="0" w:line="173" w:lineRule="exact"/>
        <w:rPr>
          <w:rFonts w:ascii="Times New Roman" w:cs="Times New Roman" w:eastAsia="Times New Roman" w:hAnsi="Times New Roman"/>
          <w:sz w:val="18"/>
          <w:szCs w:val="18"/>
          <w:color w:val="auto"/>
        </w:rPr>
      </w:pPr>
    </w:p>
    <w:p>
      <w:pPr>
        <w:jc w:val="both"/>
        <w:ind w:left="540" w:right="80" w:firstLine="359"/>
        <w:spacing w:after="0" w:line="262" w:lineRule="auto"/>
        <w:tabs>
          <w:tab w:leader="none" w:pos="124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encroachments and other similar encumbrances incurred and minor defects and irregularities in title that, in the aggregate, are not substantial in amount and which do not in any case materially detract from the value of the Property subject thereto or materially interfere with the ordinary conduct of the business of the applicable Loan Party;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140" w:firstLine="359"/>
        <w:spacing w:after="0" w:line="257" w:lineRule="auto"/>
        <w:tabs>
          <w:tab w:leader="none" w:pos="11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and subleases permitted under </w:t>
      </w:r>
      <w:r>
        <w:rPr>
          <w:rFonts w:ascii="Times New Roman" w:cs="Times New Roman" w:eastAsia="Times New Roman" w:hAnsi="Times New Roman"/>
          <w:sz w:val="18"/>
          <w:szCs w:val="18"/>
          <w:i w:val="1"/>
          <w:iCs w:val="1"/>
          <w:color w:val="auto"/>
        </w:rPr>
        <w:t>Section 7.5(f)</w:t>
      </w:r>
      <w:r>
        <w:rPr>
          <w:rFonts w:ascii="Times New Roman" w:cs="Times New Roman" w:eastAsia="Times New Roman" w:hAnsi="Times New Roman"/>
          <w:sz w:val="18"/>
          <w:szCs w:val="18"/>
          <w:color w:val="auto"/>
        </w:rPr>
        <w:t xml:space="preserve"> of the Bank Credit Agreement and </w:t>
      </w:r>
      <w:r>
        <w:rPr>
          <w:rFonts w:ascii="Times New Roman" w:cs="Times New Roman" w:eastAsia="Times New Roman" w:hAnsi="Times New Roman"/>
          <w:sz w:val="18"/>
          <w:szCs w:val="18"/>
          <w:i w:val="1"/>
          <w:iCs w:val="1"/>
          <w:color w:val="auto"/>
        </w:rPr>
        <w:t>Section 6.5</w:t>
      </w:r>
      <w:r>
        <w:rPr>
          <w:rFonts w:ascii="Times New Roman" w:cs="Times New Roman" w:eastAsia="Times New Roman" w:hAnsi="Times New Roman"/>
          <w:sz w:val="18"/>
          <w:szCs w:val="18"/>
          <w:color w:val="auto"/>
        </w:rPr>
        <w:t xml:space="preserve"> of the Second Mortgage Notes Indenture and any leasehold mortgage in favor of any party financing the lessee under any lease or sublease permitted under such Sections;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Loan Party is liable for the payment of any principal of, or interest, premiums or fees on, such financing and (ii) the affected lease and leasehold mortgage are expressly made subject and subordinate to the Liens of the applicable Bank Deeds of Trust and Second Mortgage Notes Deeds of Trust encumbering the affected property;</w:t>
      </w:r>
    </w:p>
    <w:p>
      <w:pPr>
        <w:spacing w:after="0" w:line="190" w:lineRule="exact"/>
        <w:rPr>
          <w:rFonts w:ascii="Times New Roman" w:cs="Times New Roman" w:eastAsia="Times New Roman" w:hAnsi="Times New Roman"/>
          <w:sz w:val="18"/>
          <w:szCs w:val="18"/>
          <w:color w:val="auto"/>
        </w:rPr>
      </w:pPr>
    </w:p>
    <w:p>
      <w:pPr>
        <w:ind w:left="540" w:right="540" w:firstLine="359"/>
        <w:spacing w:after="0" w:line="275" w:lineRule="auto"/>
        <w:tabs>
          <w:tab w:leader="none" w:pos="11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or contemplated by the Affiliate Real Estate Agreements (in each case, encumbering only the real property covered by such agreement);</w:t>
      </w:r>
    </w:p>
    <w:p>
      <w:pPr>
        <w:sectPr>
          <w:pgSz w:w="11900" w:h="16838" w:orient="portrait"/>
          <w:cols w:equalWidth="0" w:num="1">
            <w:col w:w="11400"/>
          </w:cols>
          <w:pgMar w:left="240" w:top="125" w:right="259" w:bottom="8" w:gutter="0" w:footer="0" w:header="0"/>
        </w:sectPr>
      </w:pPr>
    </w:p>
    <w:bookmarkStart w:id="74" w:name="page75"/>
    <w:bookmarkEnd w:id="74"/>
    <w:p>
      <w:pPr>
        <w:ind w:left="540" w:right="120" w:firstLine="359"/>
        <w:spacing w:after="0" w:line="275" w:lineRule="auto"/>
        <w:tabs>
          <w:tab w:leader="none" w:pos="123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filing UCC financing statements relating solely to leases permitted by the Bank Credit Agreement and the Second Mortgage Notes Indenture;</w:t>
      </w:r>
    </w:p>
    <w:p>
      <w:pPr>
        <w:spacing w:after="0" w:line="173" w:lineRule="exact"/>
        <w:rPr>
          <w:rFonts w:ascii="Times New Roman" w:cs="Times New Roman" w:eastAsia="Times New Roman" w:hAnsi="Times New Roman"/>
          <w:sz w:val="18"/>
          <w:szCs w:val="18"/>
          <w:color w:val="auto"/>
        </w:rPr>
      </w:pPr>
    </w:p>
    <w:p>
      <w:pPr>
        <w:ind w:left="540" w:right="680" w:firstLine="359"/>
        <w:spacing w:after="0" w:line="275" w:lineRule="auto"/>
        <w:tabs>
          <w:tab w:leader="none" w:pos="123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73"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Authority to control or regulate the use of any real property;</w:t>
      </w:r>
    </w:p>
    <w:p>
      <w:pPr>
        <w:spacing w:after="0" w:line="225" w:lineRule="exact"/>
        <w:rPr>
          <w:rFonts w:ascii="Times New Roman" w:cs="Times New Roman" w:eastAsia="Times New Roman" w:hAnsi="Times New Roman"/>
          <w:sz w:val="18"/>
          <w:szCs w:val="18"/>
          <w:color w:val="auto"/>
        </w:rPr>
      </w:pPr>
    </w:p>
    <w:p>
      <w:pPr>
        <w:ind w:left="540" w:right="700" w:firstLine="359"/>
        <w:spacing w:after="0" w:line="275" w:lineRule="auto"/>
        <w:tabs>
          <w:tab w:leader="none" w:pos="123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patents, trademarks and other intellectual property rights granted by a Loan Party in the ordinary course of business and not interfering in any material respect with the ordinary conduct of the business of such Loan Party;</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"Specified Hedge Agreements" maintained under and as defined in, the Bank Credit Agreement;</w:t>
      </w:r>
    </w:p>
    <w:p>
      <w:pPr>
        <w:spacing w:after="0" w:line="223" w:lineRule="exact"/>
        <w:rPr>
          <w:rFonts w:ascii="Times New Roman" w:cs="Times New Roman" w:eastAsia="Times New Roman" w:hAnsi="Times New Roman"/>
          <w:sz w:val="18"/>
          <w:szCs w:val="18"/>
          <w:color w:val="auto"/>
        </w:rPr>
      </w:pPr>
    </w:p>
    <w:p>
      <w:pPr>
        <w:ind w:left="540" w:right="120" w:firstLine="359"/>
        <w:spacing w:after="0" w:line="259" w:lineRule="auto"/>
        <w:tabs>
          <w:tab w:leader="none" w:pos="11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date hereof listed on Schedule 7.3(f) to the Bank Credit Agreement, securing Indebtedness permitted by </w:t>
      </w:r>
      <w:r>
        <w:rPr>
          <w:rFonts w:ascii="Times New Roman" w:cs="Times New Roman" w:eastAsia="Times New Roman" w:hAnsi="Times New Roman"/>
          <w:sz w:val="18"/>
          <w:szCs w:val="18"/>
          <w:i w:val="1"/>
          <w:iCs w:val="1"/>
          <w:color w:val="auto"/>
        </w:rPr>
        <w:t>Section 7.2(d)</w:t>
      </w:r>
      <w:r>
        <w:rPr>
          <w:rFonts w:ascii="Times New Roman" w:cs="Times New Roman" w:eastAsia="Times New Roman" w:hAnsi="Times New Roman"/>
          <w:sz w:val="18"/>
          <w:szCs w:val="18"/>
          <w:color w:val="auto"/>
        </w:rPr>
        <w:t xml:space="preserve"> of the Bank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Lien is spread to cover any additional "Property" as defined in the Bank Credit Agreement (other than proceeds thereof) after the Closing Date and that the amount of "Indebtedness" as defined in the Bank Credit Agreement secured thereby is not increased;</w:t>
      </w:r>
    </w:p>
    <w:p>
      <w:pPr>
        <w:spacing w:after="0" w:line="186" w:lineRule="exact"/>
        <w:rPr>
          <w:rFonts w:ascii="Times New Roman" w:cs="Times New Roman" w:eastAsia="Times New Roman" w:hAnsi="Times New Roman"/>
          <w:sz w:val="18"/>
          <w:szCs w:val="18"/>
          <w:color w:val="auto"/>
        </w:rPr>
      </w:pPr>
    </w:p>
    <w:p>
      <w:pPr>
        <w:ind w:left="540" w:right="20" w:firstLine="359"/>
        <w:spacing w:after="0" w:line="255" w:lineRule="auto"/>
        <w:tabs>
          <w:tab w:leader="none" w:pos="11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of the Loan Parties incurred pursuant to </w:t>
      </w:r>
      <w:r>
        <w:rPr>
          <w:rFonts w:ascii="Times New Roman" w:cs="Times New Roman" w:eastAsia="Times New Roman" w:hAnsi="Times New Roman"/>
          <w:sz w:val="18"/>
          <w:szCs w:val="18"/>
          <w:i w:val="1"/>
          <w:iCs w:val="1"/>
          <w:color w:val="auto"/>
        </w:rPr>
        <w:t>Section 7.2(g)</w:t>
      </w:r>
      <w:r>
        <w:rPr>
          <w:rFonts w:ascii="Times New Roman" w:cs="Times New Roman" w:eastAsia="Times New Roman" w:hAnsi="Times New Roman"/>
          <w:sz w:val="18"/>
          <w:szCs w:val="18"/>
          <w:color w:val="auto"/>
        </w:rPr>
        <w:t xml:space="preserve"> of the Bank Credit Agreement to finance the acquisition of fixed or capital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Liens shall be created substantially simultaneously with the acquisition of such fixed or capital assets (or the refinancing of such Indebtedness as otherwise permitted under the Bank Credit Agreement), (ii) such Liens do not at any time encumber any "Property" as defined in the Bank Credit Agreement other than the Property (and proceeds thereof) financed by such "Indebtedness" as defined in the Bank Credit Agreement, (iii) the principal amount of Indebtedness secured thereby is not increased and (iv) the Property financed by such Indebtedness, is not of a type that will become affixed to the Project such that the removal thereof could not reasonably be expected to materially interfere with the ongoing ordinary course operations of the Project;</w:t>
      </w:r>
    </w:p>
    <w:p>
      <w:pPr>
        <w:spacing w:after="0" w:line="189" w:lineRule="exact"/>
        <w:rPr>
          <w:rFonts w:ascii="Times New Roman" w:cs="Times New Roman" w:eastAsia="Times New Roman" w:hAnsi="Times New Roman"/>
          <w:sz w:val="18"/>
          <w:szCs w:val="18"/>
          <w:color w:val="auto"/>
        </w:rPr>
      </w:pPr>
    </w:p>
    <w:p>
      <w:pPr>
        <w:jc w:val="both"/>
        <w:ind w:left="540" w:firstLine="359"/>
        <w:spacing w:after="0" w:line="259" w:lineRule="auto"/>
        <w:tabs>
          <w:tab w:leader="none" w:pos="11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as defined in the Bank Credit Agreement of the Loan Parties incurred pursuant to </w:t>
      </w:r>
      <w:r>
        <w:rPr>
          <w:rFonts w:ascii="Times New Roman" w:cs="Times New Roman" w:eastAsia="Times New Roman" w:hAnsi="Times New Roman"/>
          <w:sz w:val="18"/>
          <w:szCs w:val="18"/>
          <w:i w:val="1"/>
          <w:iCs w:val="1"/>
          <w:color w:val="auto"/>
        </w:rPr>
        <w:t>Section 7.2(j)</w:t>
      </w:r>
      <w:r>
        <w:rPr>
          <w:rFonts w:ascii="Times New Roman" w:cs="Times New Roman" w:eastAsia="Times New Roman" w:hAnsi="Times New Roman"/>
          <w:sz w:val="18"/>
          <w:szCs w:val="18"/>
          <w:color w:val="auto"/>
        </w:rPr>
        <w:t xml:space="preserve"> of the Bank Credit Agreement to finance the acquisition of the Additional Land,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Liens shall be created substantially simultaneously with the acquisition of the Additional Land, (ii) such Liens do not at any time encumber any "Property" as defined in the Bank Credit Agreement other than the Additional Land (and proceeds thereof) and (iii) the principal amount of Indebtedness secured thereby is not increased;</w:t>
      </w:r>
    </w:p>
    <w:p>
      <w:pPr>
        <w:spacing w:after="0" w:line="188"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interests of the Lenders as provided under the Financing Agreements;</w:t>
      </w:r>
    </w:p>
    <w:p>
      <w:pPr>
        <w:spacing w:after="0" w:line="225"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ind w:left="540" w:right="40" w:firstLine="359"/>
        <w:spacing w:after="0" w:line="275" w:lineRule="auto"/>
        <w:tabs>
          <w:tab w:leader="none" w:pos="11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the Aircraft granted by Las Vegas Jet to Wynn Las Vegas securing Indebtedness under the "Aircraft Note" (as defined in the Bank Credit Agreement);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firstLine="359"/>
        <w:spacing w:after="0" w:line="254" w:lineRule="auto"/>
        <w:tabs>
          <w:tab w:leader="none" w:pos="12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Advanced pursuant to the Disbursement Agreement and deposited with, or held for the account of any Loan Party securing reimbursement obligations under performance bonds, guaranties, commercial letters of credit, bankers' acceptances or similar instruments permitted under </w:t>
      </w:r>
      <w:r>
        <w:rPr>
          <w:rFonts w:ascii="Times New Roman" w:cs="Times New Roman" w:eastAsia="Times New Roman" w:hAnsi="Times New Roman"/>
          <w:sz w:val="18"/>
          <w:szCs w:val="18"/>
          <w:i w:val="1"/>
          <w:iCs w:val="1"/>
          <w:color w:val="auto"/>
        </w:rPr>
        <w:t xml:space="preserve">Section 7.2(k) </w:t>
      </w:r>
      <w:r>
        <w:rPr>
          <w:rFonts w:ascii="Times New Roman" w:cs="Times New Roman" w:eastAsia="Times New Roman" w:hAnsi="Times New Roman"/>
          <w:sz w:val="18"/>
          <w:szCs w:val="18"/>
          <w:color w:val="auto"/>
        </w:rPr>
        <w:t>of the Bank Credit Agreement granted in favor of the issuers of such performance bonds, guaranties, commercial letters of credit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bankers' acceptances, so long as (i) any cash Advanced to secure such reimbursement obligations is invested (if at all) in Permitted Investments only to the extent the Company has the rights to direct investments thereof and (ii) the amount of cash and/or Permitted Investments secured by such Liens is not less than the amount of Indebtedness secured thereby and in any event does not exceed 110% of the amount of the Indebtedness secured thereby (ignoring, for purposes of this clause (ii), any interest earned or paid on such cash and any dividends or distributions declared or paid in respect of such Permitted Investments).</w:t>
      </w:r>
    </w:p>
    <w:p>
      <w:pPr>
        <w:spacing w:after="0" w:line="19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"Person" means any natural person, corporation, partnership, firm, association, Governmental Authority or any other entity whether acting in an individual, fiduciary or other capacity.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"Phase I Report" shall have the meaning given in </w:t>
      </w:r>
      <w:r>
        <w:rPr>
          <w:rFonts w:ascii="Times New Roman" w:cs="Times New Roman" w:eastAsia="Times New Roman" w:hAnsi="Times New Roman"/>
          <w:sz w:val="18"/>
          <w:szCs w:val="18"/>
          <w:i w:val="1"/>
          <w:iCs w:val="1"/>
          <w:color w:val="auto"/>
        </w:rPr>
        <w:t>Section 3.1.33</w:t>
      </w:r>
      <w:r>
        <w:rPr>
          <w:rFonts w:ascii="Times New Roman" w:cs="Times New Roman" w:eastAsia="Times New Roman" w:hAnsi="Times New Roman"/>
          <w:sz w:val="18"/>
          <w:szCs w:val="18"/>
          <w:color w:val="auto"/>
        </w:rPr>
        <w:t xml:space="preserve"> of the Disbursement Agreement.</w:t>
      </w:r>
    </w:p>
    <w:p>
      <w:pPr>
        <w:spacing w:after="0" w:line="225"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"Phase II Land" means the approximately 20-acre tract of land upon which the Phase II Project may be built, as more particularly described in </w:t>
      </w:r>
      <w:r>
        <w:rPr>
          <w:rFonts w:ascii="Times New Roman" w:cs="Times New Roman" w:eastAsia="Times New Roman" w:hAnsi="Times New Roman"/>
          <w:sz w:val="18"/>
          <w:szCs w:val="18"/>
          <w:i w:val="1"/>
          <w:iCs w:val="1"/>
          <w:color w:val="auto"/>
        </w:rPr>
        <w:t>Exhibit T-4</w:t>
      </w:r>
      <w:r>
        <w:rPr>
          <w:rFonts w:ascii="Times New Roman" w:cs="Times New Roman" w:eastAsia="Times New Roman" w:hAnsi="Times New Roman"/>
          <w:sz w:val="18"/>
          <w:szCs w:val="18"/>
          <w:color w:val="auto"/>
        </w:rPr>
        <w:t xml:space="preserve"> to the Disbursement Agreement.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"Phase II Land Building" means the building existing, as of the Closing Date that is subject to the Building Lease.</w:t>
      </w:r>
    </w:p>
    <w:p>
      <w:pPr>
        <w:spacing w:after="0" w:line="225" w:lineRule="exact"/>
        <w:rPr>
          <w:sz w:val="20"/>
          <w:szCs w:val="20"/>
          <w:color w:val="auto"/>
        </w:rPr>
      </w:pPr>
    </w:p>
    <w:p>
      <w:pPr>
        <w:ind w:right="200" w:firstLine="351"/>
        <w:spacing w:after="0" w:line="339" w:lineRule="auto"/>
        <w:rPr>
          <w:sz w:val="20"/>
          <w:szCs w:val="20"/>
          <w:color w:val="auto"/>
        </w:rPr>
      </w:pPr>
      <w:r>
        <w:rPr>
          <w:rFonts w:ascii="Times New Roman" w:cs="Times New Roman" w:eastAsia="Times New Roman" w:hAnsi="Times New Roman"/>
          <w:sz w:val="16"/>
          <w:szCs w:val="16"/>
          <w:color w:val="auto"/>
        </w:rPr>
        <w:t>"Phase II Easements" means the easements appurtenant, easements in gross, license agreements and other rights running for the benefit of the Company or Valvino and/or appurtenant to the Phase II Land, including, without limitation, those certain easements and licenses described in the Title Policy.</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"Phase II Project" means a hotel, casino and mall complex proposed to be developed on the Phase II Land, which may be integrated with the Project.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"Phase II Report" means shall have the meaning given in </w:t>
      </w:r>
      <w:r>
        <w:rPr>
          <w:rFonts w:ascii="Times New Roman" w:cs="Times New Roman" w:eastAsia="Times New Roman" w:hAnsi="Times New Roman"/>
          <w:sz w:val="18"/>
          <w:szCs w:val="18"/>
          <w:i w:val="1"/>
          <w:iCs w:val="1"/>
          <w:color w:val="auto"/>
        </w:rPr>
        <w:t>Section 3.1.33</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"Plan" means any employee benefit plan as defined in Section 3(3) of ERISA to which the Company or any member of the Controlled Group contributes or has an obligation to contribute on behalf of its employees other than a Multiemployer Plan.</w:t>
      </w:r>
    </w:p>
    <w:p>
      <w:pPr>
        <w:spacing w:after="0" w:line="174"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"Plans and Specifications" means all plans, specifications, design documents, schematic drawings and related items for the design, architecture and construction of the Project that are listed on </w:t>
      </w:r>
      <w:r>
        <w:rPr>
          <w:rFonts w:ascii="Times New Roman" w:cs="Times New Roman" w:eastAsia="Times New Roman" w:hAnsi="Times New Roman"/>
          <w:sz w:val="18"/>
          <w:szCs w:val="18"/>
          <w:i w:val="1"/>
          <w:iCs w:val="1"/>
          <w:color w:val="auto"/>
        </w:rPr>
        <w:t>Exhibit T-6</w:t>
      </w:r>
      <w:r>
        <w:rPr>
          <w:rFonts w:ascii="Times New Roman" w:cs="Times New Roman" w:eastAsia="Times New Roman" w:hAnsi="Times New Roman"/>
          <w:sz w:val="18"/>
          <w:szCs w:val="18"/>
          <w:color w:val="auto"/>
        </w:rPr>
        <w:t xml:space="preserve"> to the Disbursement Agreement including, from time to time, any further such plans, specifications, design documents, schematic drawings and related items which are consistent with the standards of </w:t>
      </w:r>
      <w:r>
        <w:rPr>
          <w:rFonts w:ascii="Times New Roman" w:cs="Times New Roman" w:eastAsia="Times New Roman" w:hAnsi="Times New Roman"/>
          <w:sz w:val="18"/>
          <w:szCs w:val="18"/>
          <w:i w:val="1"/>
          <w:iCs w:val="1"/>
          <w:color w:val="auto"/>
        </w:rPr>
        <w:t>Exhibit X-1</w:t>
      </w:r>
      <w:r>
        <w:rPr>
          <w:rFonts w:ascii="Times New Roman" w:cs="Times New Roman" w:eastAsia="Times New Roman" w:hAnsi="Times New Roman"/>
          <w:sz w:val="18"/>
          <w:szCs w:val="18"/>
          <w:color w:val="auto"/>
        </w:rPr>
        <w:t xml:space="preserve"> and delivered pursuant to </w:t>
      </w:r>
      <w:r>
        <w:rPr>
          <w:rFonts w:ascii="Times New Roman" w:cs="Times New Roman" w:eastAsia="Times New Roman" w:hAnsi="Times New Roman"/>
          <w:sz w:val="18"/>
          <w:szCs w:val="18"/>
          <w:i w:val="1"/>
          <w:iCs w:val="1"/>
          <w:color w:val="auto"/>
        </w:rPr>
        <w:t>Section 3.3.11</w:t>
      </w:r>
      <w:r>
        <w:rPr>
          <w:rFonts w:ascii="Times New Roman" w:cs="Times New Roman" w:eastAsia="Times New Roman" w:hAnsi="Times New Roman"/>
          <w:sz w:val="18"/>
          <w:szCs w:val="18"/>
          <w:color w:val="auto"/>
        </w:rPr>
        <w:t xml:space="preserve"> of the Disbursement Agreement, in each case, as amended in accordance with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xml:space="preserve"> of the Disbursement Agreement.</w:t>
      </w:r>
    </w:p>
    <w:p>
      <w:pPr>
        <w:sectPr>
          <w:pgSz w:w="11900" w:h="16838" w:orient="portrait"/>
          <w:cols w:equalWidth="0" w:num="1">
            <w:col w:w="11420"/>
          </w:cols>
          <w:pgMar w:left="240" w:top="125" w:right="239" w:bottom="0" w:gutter="0" w:footer="0" w:header="0"/>
        </w:sectPr>
      </w:pPr>
    </w:p>
    <w:bookmarkStart w:id="75" w:name="page76"/>
    <w:bookmarkEnd w:id="75"/>
    <w:p>
      <w:pPr>
        <w:ind w:right="1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"Potential Event of Default" means (i) any of the events specified in </w:t>
      </w:r>
      <w:r>
        <w:rPr>
          <w:rFonts w:ascii="Times New Roman" w:cs="Times New Roman" w:eastAsia="Times New Roman" w:hAnsi="Times New Roman"/>
          <w:sz w:val="18"/>
          <w:szCs w:val="18"/>
          <w:i w:val="1"/>
          <w:iCs w:val="1"/>
          <w:color w:val="auto"/>
        </w:rPr>
        <w:t>Article 7</w:t>
      </w:r>
      <w:r>
        <w:rPr>
          <w:rFonts w:ascii="Times New Roman" w:cs="Times New Roman" w:eastAsia="Times New Roman" w:hAnsi="Times New Roman"/>
          <w:sz w:val="18"/>
          <w:szCs w:val="18"/>
          <w:color w:val="auto"/>
        </w:rPr>
        <w:t>, whether or not any requirement for the giving of notice, the lapse of time, or both, has been satisfied and (ii) the occurrence of any "Default" under any Facility Agreement.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"Pre-Opening Deposits" means deposits received by the Company prior to the Opening Date from patrons to reserve rooms or event space at the Project.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"Prime Contractor" means Marnell Corrao Associates, Inc., a Nevada corporation.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"Prime Contractor's Advance Certificate" means a certificate in the form of </w:t>
      </w:r>
      <w:r>
        <w:rPr>
          <w:rFonts w:ascii="Times New Roman" w:cs="Times New Roman" w:eastAsia="Times New Roman" w:hAnsi="Times New Roman"/>
          <w:sz w:val="18"/>
          <w:szCs w:val="18"/>
          <w:i w:val="1"/>
          <w:iCs w:val="1"/>
          <w:color w:val="auto"/>
        </w:rPr>
        <w:t>Exhibit C-4</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"Prime Construction Contract" means that certain Agreement for Guaranteed Maximum Price Construction Services for Le Rêve dated as of June 4, 2002 between Wynn Las Vegas and the Prime Contractor.</w:t>
      </w:r>
    </w:p>
    <w:p>
      <w:pPr>
        <w:spacing w:after="0" w:line="174"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"Prime Contractor Line Items" means, collectively, the Line Items of the Project Budget which relate to work covered by the Prime Construction Contract under the "Marnell Corrao GMP" Line Item Category.</w:t>
      </w:r>
    </w:p>
    <w:p>
      <w:pPr>
        <w:spacing w:after="0" w:line="174"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"Prime Contractor Payment and Performance Bond" means that certain payment and performance bond issued by American International Companies (AIG) and Kemper Insurance, jointly and severally, in favor of the Company, the Bank Agent (acting on behalf of the Bank Lenders) and the Indenture Trustee (acting on behalf of the Second Mortgage Note Holders) supporting the Prime Contractor's obligations under the Prime Construction Contract.</w:t>
      </w:r>
    </w:p>
    <w:p>
      <w:pPr>
        <w:spacing w:after="0" w:line="18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"Professional Design Services Agreements" means, collectively, the Golf Course Design Services Agreement, the Aqua Theater Design Services Agreement and the Project Architect's Agreement.</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 xml:space="preserve">"Project" means the Le Rêve Casino Resort, a hotel and casino resort, with related parking structure and golf course facilities to be developed at the Site, all as more particularly described in </w:t>
      </w:r>
      <w:r>
        <w:rPr>
          <w:rFonts w:ascii="Times New Roman" w:cs="Times New Roman" w:eastAsia="Times New Roman" w:hAnsi="Times New Roman"/>
          <w:sz w:val="18"/>
          <w:szCs w:val="18"/>
          <w:i w:val="1"/>
          <w:iCs w:val="1"/>
          <w:color w:val="auto"/>
        </w:rPr>
        <w:t>Exhibit T-1</w:t>
      </w:r>
      <w:r>
        <w:rPr>
          <w:rFonts w:ascii="Times New Roman" w:cs="Times New Roman" w:eastAsia="Times New Roman" w:hAnsi="Times New Roman"/>
          <w:sz w:val="18"/>
          <w:szCs w:val="18"/>
          <w:color w:val="auto"/>
        </w:rPr>
        <w:t xml:space="preserve"> to the Disbursement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"Project Architect" means Butler/Ashworth Architects Ltd., LLC, a Nevada limited liability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"Project Architect's Advance Certificate" means an advance certificate in the form of </w:t>
      </w:r>
      <w:r>
        <w:rPr>
          <w:rFonts w:ascii="Times New Roman" w:cs="Times New Roman" w:eastAsia="Times New Roman" w:hAnsi="Times New Roman"/>
          <w:sz w:val="18"/>
          <w:szCs w:val="18"/>
          <w:i w:val="1"/>
          <w:iCs w:val="1"/>
          <w:color w:val="auto"/>
        </w:rPr>
        <w:t>Exhibit C-3</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"Project Architect's Agreement" means that certain Agreement between Owner and Project Architect dated as of October 30, 2002 between the Company and Project Architect.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"Project Budget" shall have the meaning given in </w:t>
      </w:r>
      <w:r>
        <w:rPr>
          <w:rFonts w:ascii="Times New Roman" w:cs="Times New Roman" w:eastAsia="Times New Roman" w:hAnsi="Times New Roman"/>
          <w:sz w:val="18"/>
          <w:szCs w:val="18"/>
          <w:i w:val="1"/>
          <w:iCs w:val="1"/>
          <w:color w:val="auto"/>
        </w:rPr>
        <w:t>Section 3.1.14</w:t>
      </w:r>
      <w:r>
        <w:rPr>
          <w:rFonts w:ascii="Times New Roman" w:cs="Times New Roman" w:eastAsia="Times New Roman" w:hAnsi="Times New Roman"/>
          <w:sz w:val="18"/>
          <w:szCs w:val="18"/>
          <w:color w:val="auto"/>
        </w:rPr>
        <w:t xml:space="preserve"> of the Disbursement Agreement.</w:t>
      </w:r>
    </w:p>
    <w:p>
      <w:pPr>
        <w:spacing w:after="0" w:line="225"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"Project Budget/Schedule Amendment Certificate" means a Project Budget/Schedule Amendment Certificate in the form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xml:space="preserve"> to the Disbursement Agreement.</w:t>
      </w:r>
    </w:p>
    <w:p>
      <w:pPr>
        <w:spacing w:after="0" w:line="17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"Project Certificate of Occupancy" means a permanent certificate of occupancy or a temporary certificate of occupancy, in either case, for the Project issued by the Building Department pursuant to applicable Legal Requirements which permanent or temporary certificate of occupancy shall permit the Project to be used for the Project Intended Uses, shall be in full force and effect and, in the case of a temporary certificate of occupancy, if such temporary certificate of occupancy shall provide for an expiration date, the number of days in the period from the Opening Date to such expiration date shall be not less than 133% of the number of days that the Construction Consultant, pursuant to the Opening Date Certificate, estimate it will take to complete the Project Punchlist Items (assuming reasonable diligence in performing the same).</w:t>
      </w:r>
    </w:p>
    <w:p>
      <w:pPr>
        <w:spacing w:after="0" w:line="193" w:lineRule="exact"/>
        <w:rPr>
          <w:sz w:val="20"/>
          <w:szCs w:val="20"/>
          <w:color w:val="auto"/>
        </w:rPr>
      </w:pPr>
    </w:p>
    <w:p>
      <w:pPr>
        <w:ind w:right="160" w:firstLine="351"/>
        <w:spacing w:after="0" w:line="291" w:lineRule="auto"/>
        <w:rPr>
          <w:sz w:val="20"/>
          <w:szCs w:val="20"/>
          <w:color w:val="auto"/>
        </w:rPr>
      </w:pPr>
      <w:r>
        <w:rPr>
          <w:rFonts w:ascii="Times New Roman" w:cs="Times New Roman" w:eastAsia="Times New Roman" w:hAnsi="Times New Roman"/>
          <w:sz w:val="16"/>
          <w:szCs w:val="16"/>
          <w:color w:val="auto"/>
        </w:rPr>
        <w:t>"Project Costs" means all costs (other than any such costs for interest and other Debt Service accruing under the Bank Credit Agreement, the Second Mortgage Notes and the FF&amp;E Facility from and after the Completion Date) incurred, or to be incurred in accordance with the Project Budget, which costs shall include, but not be limited to: (a) all costs incurred under the Contracts, (b) interest accruing under the Bank Credit Agreement, the Second Mortgage Notes and the FF&amp;E Facility prior to the Completion Date, (c) reasonable financing, closing and administration costs related to the Project until the Completion Date including, but not limited to, insurance costs (including, with respect to directors and officers insurance costs, costs relating to such insurance extending beyond the Completion Date), guarantee fees, legal fees and expenses, financial advisory fees and expenses, technical fees and expenses (including, without limitation, fees and expenses of the Construction Consultant and the Insurance Advisor), commitment fees, management fees, and corporate overhead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agency fees (including, without limitation, fees and expenses of the Disbursement Agent), interest (other than amounts listed in clause (b) above), taxes (including value added tax), and other out-of-pocket expenses payable by the Company under all documents related to the financing and administration of the Project until the Opening Date, (d) the costs of acquiring Permits for the Project prior to the Completion Date, (e) costs incurred in settling insurance claims in connection with Events of Loss and collecting Loss Proceeds at any time prior to the Final Completion Date, (f) working capital costs incurred in accordance with the Project Budget prior to the Completion Date, (g) cash to collateralize commercial letters of credit to the extent that payment of any such cash amount to the vendor or materialman who is the beneficiary of such letter of credit would have constituted a "Project Cost";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such letters of credit outstanding at any one time shall not exceed $10,000,000.</w:t>
      </w:r>
    </w:p>
    <w:p>
      <w:pPr>
        <w:spacing w:after="0" w:line="195" w:lineRule="exact"/>
        <w:rPr>
          <w:sz w:val="20"/>
          <w:szCs w:val="20"/>
          <w:color w:val="auto"/>
        </w:rPr>
      </w:pPr>
    </w:p>
    <w:p>
      <w:pPr>
        <w:ind w:right="520" w:firstLine="351"/>
        <w:spacing w:after="0" w:line="275" w:lineRule="auto"/>
        <w:rPr>
          <w:sz w:val="20"/>
          <w:szCs w:val="20"/>
          <w:color w:val="auto"/>
        </w:rPr>
      </w:pPr>
      <w:r>
        <w:rPr>
          <w:rFonts w:ascii="Times New Roman" w:cs="Times New Roman" w:eastAsia="Times New Roman" w:hAnsi="Times New Roman"/>
          <w:sz w:val="18"/>
          <w:szCs w:val="18"/>
          <w:color w:val="auto"/>
        </w:rPr>
        <w:t>"Project Credit Support Provider" means the Construction Guarantor, the Completion Guarantor and the issuers of any Prime Contractor Payment and Performance Bond.</w:t>
      </w:r>
    </w:p>
    <w:p>
      <w:pPr>
        <w:spacing w:after="0" w:line="174" w:lineRule="exact"/>
        <w:rPr>
          <w:sz w:val="20"/>
          <w:szCs w:val="20"/>
          <w:color w:val="auto"/>
        </w:rPr>
      </w:pPr>
    </w:p>
    <w:p>
      <w:pPr>
        <w:jc w:val="both"/>
        <w:ind w:right="120" w:firstLine="351"/>
        <w:spacing w:after="0" w:line="310" w:lineRule="auto"/>
        <w:rPr>
          <w:sz w:val="20"/>
          <w:szCs w:val="20"/>
          <w:color w:val="auto"/>
        </w:rPr>
      </w:pPr>
      <w:r>
        <w:rPr>
          <w:rFonts w:ascii="Times New Roman" w:cs="Times New Roman" w:eastAsia="Times New Roman" w:hAnsi="Times New Roman"/>
          <w:sz w:val="16"/>
          <w:szCs w:val="16"/>
          <w:color w:val="auto"/>
        </w:rPr>
        <w:t>"Project Documents" means the Construction Agreements, the Construction Guaranty, each other Contract, the Prime Contractor Payment and Performance Bond and each other Payment and Performance Bond issued to the Company, the Affiliate Real Estate Agreements, the Water Supply Contract, the Professional Design Services Agreements, each other agreement entered into on or prior to the Closing Date relating to the development, construction, maintenance or</w:t>
      </w:r>
    </w:p>
    <w:p>
      <w:pPr>
        <w:sectPr>
          <w:pgSz w:w="11900" w:h="16838" w:orient="portrait"/>
          <w:cols w:equalWidth="0" w:num="1">
            <w:col w:w="11420"/>
          </w:cols>
          <w:pgMar w:left="240" w:top="123" w:right="239" w:bottom="0" w:gutter="0" w:footer="0" w:header="0"/>
        </w:sectPr>
      </w:pPr>
    </w:p>
    <w:bookmarkStart w:id="76" w:name="page77"/>
    <w:bookmarkEnd w:id="76"/>
    <w:p>
      <w:pPr>
        <w:ind w:right="640"/>
        <w:spacing w:after="0" w:line="275" w:lineRule="auto"/>
        <w:rPr>
          <w:sz w:val="20"/>
          <w:szCs w:val="20"/>
          <w:color w:val="auto"/>
        </w:rPr>
      </w:pPr>
      <w:r>
        <w:rPr>
          <w:rFonts w:ascii="Times New Roman" w:cs="Times New Roman" w:eastAsia="Times New Roman" w:hAnsi="Times New Roman"/>
          <w:sz w:val="18"/>
          <w:szCs w:val="18"/>
          <w:color w:val="auto"/>
        </w:rPr>
        <w:t>operation of the Project (other than the Financing Agreements) and each Additional Project Document, as the same may be amended from time to time in accordance with the terms and conditions of the Disbursement Agreement and thereof, in each case, other than Plans and Specifications.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"Project Intended Uses" means the intended uses of the Project, as more particularly set forth in </w:t>
      </w:r>
      <w:r>
        <w:rPr>
          <w:rFonts w:ascii="Times New Roman" w:cs="Times New Roman" w:eastAsia="Times New Roman" w:hAnsi="Times New Roman"/>
          <w:sz w:val="18"/>
          <w:szCs w:val="18"/>
          <w:i w:val="1"/>
          <w:iCs w:val="1"/>
          <w:color w:val="auto"/>
        </w:rPr>
        <w:t>Exhibit X-1</w:t>
      </w:r>
      <w:r>
        <w:rPr>
          <w:rFonts w:ascii="Times New Roman" w:cs="Times New Roman" w:eastAsia="Times New Roman" w:hAnsi="Times New Roman"/>
          <w:sz w:val="18"/>
          <w:szCs w:val="18"/>
          <w:color w:val="auto"/>
        </w:rPr>
        <w:t xml:space="preserve"> to the Disbursement Agreement.</w:t>
      </w:r>
    </w:p>
    <w:p>
      <w:pPr>
        <w:spacing w:after="0" w:line="227"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"Project Lenders Intercreditor Agreement" means that certain Intercreditor Agreement dated as of October 30, 2002 among the Bank Agent and the Indenture Trustee.</w:t>
      </w:r>
    </w:p>
    <w:p>
      <w:pPr>
        <w:spacing w:after="0" w:line="172"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"Project Liquidity Reserve Account" means the account referenced in </w:t>
      </w:r>
      <w:r>
        <w:rPr>
          <w:rFonts w:ascii="Times New Roman" w:cs="Times New Roman" w:eastAsia="Times New Roman" w:hAnsi="Times New Roman"/>
          <w:sz w:val="18"/>
          <w:szCs w:val="18"/>
          <w:i w:val="1"/>
          <w:iCs w:val="1"/>
          <w:color w:val="auto"/>
        </w:rPr>
        <w:t>Section 2.3.12</w:t>
      </w:r>
      <w:r>
        <w:rPr>
          <w:rFonts w:ascii="Times New Roman" w:cs="Times New Roman" w:eastAsia="Times New Roman" w:hAnsi="Times New Roman"/>
          <w:sz w:val="18"/>
          <w:szCs w:val="18"/>
          <w:color w:val="auto"/>
        </w:rPr>
        <w:t xml:space="preserve"> of the Disbursement Agreement and established pursuant to the Company Collateral Account Agreements.</w:t>
      </w:r>
    </w:p>
    <w:p>
      <w:pPr>
        <w:spacing w:after="0" w:line="172"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 xml:space="preserve">"Project Punchlist Completion Amount" means, from time to time from and after the Completion Date, the estimated cost to complete all remaining Project Punchlist Items if the owner of the Project were to engage independent, reputable and appropriately experienced and licensed contractor(s) to complete such work and no other work (certified by the Company and the Construction Consultant with respect to each Advance from and after the Completion Date in their respective certificates in the form of </w:t>
      </w:r>
      <w:r>
        <w:rPr>
          <w:rFonts w:ascii="Times New Roman" w:cs="Times New Roman" w:eastAsia="Times New Roman" w:hAnsi="Times New Roman"/>
          <w:sz w:val="18"/>
          <w:szCs w:val="18"/>
          <w:i w:val="1"/>
          <w:iCs w:val="1"/>
          <w:color w:val="auto"/>
        </w:rPr>
        <w:t>Exhibits 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C-2</w:t>
      </w:r>
      <w:r>
        <w:rPr>
          <w:rFonts w:ascii="Times New Roman" w:cs="Times New Roman" w:eastAsia="Times New Roman" w:hAnsi="Times New Roman"/>
          <w:sz w:val="18"/>
          <w:szCs w:val="18"/>
          <w:color w:val="auto"/>
        </w:rPr>
        <w:t xml:space="preserve"> to the Disbursement Agreement).</w:t>
      </w:r>
    </w:p>
    <w:p>
      <w:pPr>
        <w:spacing w:after="0" w:line="19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"Project Punchlist Items" means minor or insubstantial details of construction or mechanical adjustment, the non-completion of which, when all such items are taken together, will not interfere in any material respect with the use or occupancy of the Project for the Project Intended Uses or the ability of the owner or master lessee, as applicable, of any portion of the Project (or any tenant thereof) to perform work that is necessary or desirable to prepare such portion of the Project for such use or occupancy;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events, "Project Punchlist Items" shall include (to the extent not already completed), without limitation, the items set forth in the punchlist to be delivered by the Company in connection with "Substantial Completion" under the Prime Construction Contract and all items that are listed on the "punchlists" furnished by the Building Department, the Nevada Department of Transportation or the Clark County Department of Public Works in connection with, or after, the issuance of the Project temporary certificate of occupancy as those that must be completed in order for the Building Department to issue a Project permanent certificate of occupancy.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"Project Schedule" has the meaning given in </w:t>
      </w:r>
      <w:r>
        <w:rPr>
          <w:rFonts w:ascii="Times New Roman" w:cs="Times New Roman" w:eastAsia="Times New Roman" w:hAnsi="Times New Roman"/>
          <w:sz w:val="18"/>
          <w:szCs w:val="18"/>
          <w:i w:val="1"/>
          <w:iCs w:val="1"/>
          <w:color w:val="auto"/>
        </w:rPr>
        <w:t>Section 3.1.15</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"Project Secured Parties" means the Bank Agent, the Indenture Trustee, the Bank Lenders, the Second Mortgage Note Holders, the counterparties to any Interest Rate Agreements entered into by the Company under the Bank Credit Agreement (to the extent that the Credit Agreement permits such Interest Rate Agreements to be secured) and the Disbursement Agent acting on behalf of any one or more of the foregoing (but not on behalf of the FF&amp;E Agent or the FF&amp;E Lenders).</w:t>
      </w:r>
    </w:p>
    <w:p>
      <w:pPr>
        <w:spacing w:after="0" w:line="190"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"Project Security" means all real and personal property which is subject or is intended to become subject to the security interests or liens granted by any of the Security Documents.</w:t>
      </w:r>
    </w:p>
    <w:p>
      <w:pPr>
        <w:spacing w:after="0" w:line="174" w:lineRule="exact"/>
        <w:rPr>
          <w:sz w:val="20"/>
          <w:szCs w:val="20"/>
          <w:color w:val="auto"/>
        </w:rPr>
      </w:pPr>
    </w:p>
    <w:p>
      <w:pPr>
        <w:ind w:right="100" w:firstLine="351"/>
        <w:spacing w:after="0" w:line="285" w:lineRule="auto"/>
        <w:rPr>
          <w:sz w:val="20"/>
          <w:szCs w:val="20"/>
          <w:color w:val="auto"/>
        </w:rPr>
      </w:pPr>
      <w:r>
        <w:rPr>
          <w:rFonts w:ascii="Times New Roman" w:cs="Times New Roman" w:eastAsia="Times New Roman" w:hAnsi="Times New Roman"/>
          <w:sz w:val="16"/>
          <w:szCs w:val="16"/>
          <w:color w:val="auto"/>
        </w:rPr>
        <w:t>"Protective Advances" means any Advances with respect to (i) the payment of any delinquent taxes or insurance premiums owed by any of the Company or its Affiliates with respect to the Project or other Mortgaged Property, (ii) the removal of any lien or encumbrance on the Project or the Mortgaged Property or the defense of Company's or any of its Affiliates' title thereto or of the validity, enforceability, perfection or priority of the liens and security interests granted or purported to be granted pursuant to the Security Documents, (iii) the payment of Project Costs after delivery of a Stop Funding Notice by the Disbursement Agent, or (iv) the repair, maintenance, protection or preservation of the value of the Project or any portion thereof, including, without limitation, for payment of</w:t>
      </w:r>
    </w:p>
    <w:p>
      <w:pPr>
        <w:ind w:right="160" w:firstLine="8"/>
        <w:spacing w:after="0" w:line="254" w:lineRule="auto"/>
        <w:tabs>
          <w:tab w:leader="none" w:pos="28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gas, electric and other utility bills or (B) in the case of amounts paid by the Bank Agent or the Indenture Trustee, amounts reasonably necessary to prevent the provider of any financing pursuant to an FF&amp;E Facility (i) from terminating its agreement to advance funds thereunder, or (ii) from exercising rights under the FF&amp;E Security Documents so as to deprive the Project of the FF&amp;E Component procured in whole or in part with Advances made pursuant to the FF&amp;E Facility.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"Projections" means the financial information and projections set forth in the Business Plan.</w:t>
      </w:r>
    </w:p>
    <w:p>
      <w:pPr>
        <w:spacing w:after="0" w:line="225" w:lineRule="exact"/>
        <w:rPr>
          <w:sz w:val="20"/>
          <w:szCs w:val="20"/>
          <w:color w:val="auto"/>
        </w:rPr>
      </w:pPr>
    </w:p>
    <w:p>
      <w:pPr>
        <w:ind w:right="600" w:firstLine="351"/>
        <w:spacing w:after="0" w:line="275" w:lineRule="auto"/>
        <w:rPr>
          <w:sz w:val="20"/>
          <w:szCs w:val="20"/>
          <w:color w:val="auto"/>
        </w:rPr>
      </w:pPr>
      <w:r>
        <w:rPr>
          <w:rFonts w:ascii="Times New Roman" w:cs="Times New Roman" w:eastAsia="Times New Roman" w:hAnsi="Times New Roman"/>
          <w:sz w:val="18"/>
          <w:szCs w:val="18"/>
          <w:color w:val="auto"/>
        </w:rPr>
        <w:t>"Rating Agencies" means, collectively, Moody's and S&amp;P (or, if either or both of them is no longer in the business of rating debt securities, any other nationally recognized rating agency or agencies).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"Rating Downgrade" means a lowering by either Rating Agency of the then current credit rating of the Second Mortgage Notes.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"Realized Savings" means:</w:t>
      </w:r>
    </w:p>
    <w:p>
      <w:pPr>
        <w:spacing w:after="0" w:line="225" w:lineRule="exact"/>
        <w:rPr>
          <w:sz w:val="20"/>
          <w:szCs w:val="20"/>
          <w:color w:val="auto"/>
        </w:rPr>
      </w:pPr>
    </w:p>
    <w:p>
      <w:pPr>
        <w:ind w:left="540" w:right="380" w:firstLine="359"/>
        <w:spacing w:after="0" w:line="258" w:lineRule="auto"/>
        <w:tabs>
          <w:tab w:leader="none" w:pos="117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"Marnell Corrao GMP Contract," "Golf Course" and "Parking Garage" Line Item Categories, a decrease in the anticipated cost to complete the work contemplated by such Line Item Category but only to the extent that the applicable Contractor certifies (or the Construction Consultant is otherwise reasonably satisfied) that the "Guaranteed Maximum Price" under and as defined in the applicable Construction Agreement has been reduced as a result of such decrease in the anticipated cost;</w:t>
      </w:r>
    </w:p>
    <w:p>
      <w:pPr>
        <w:spacing w:after="0" w:line="190" w:lineRule="exact"/>
        <w:rPr>
          <w:rFonts w:ascii="Times New Roman" w:cs="Times New Roman" w:eastAsia="Times New Roman" w:hAnsi="Times New Roman"/>
          <w:sz w:val="18"/>
          <w:szCs w:val="18"/>
          <w:color w:val="auto"/>
        </w:rPr>
      </w:pPr>
    </w:p>
    <w:p>
      <w:pPr>
        <w:ind w:left="540" w:right="20" w:firstLine="359"/>
        <w:spacing w:after="0" w:line="256" w:lineRule="auto"/>
        <w:tabs>
          <w:tab w:leader="none" w:pos="11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"Miscellaneous Capital Projects" Line Item Category, a decrease in the anticipated cost to complete the work contemplated by such Line Item Category which (i) results from a decrease in the anticipated cost to complete the work which the Company is able to demonstrate to the reasonable satisfaction of the Construction Consultant, or (ii) results from a Scope Change which (A) complies with the requirements of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xml:space="preserve"> of the Disbursement Agreement and (B) results, to the reasonable satisfaction of the Construction Consultant, in a quantifiable decrease in materials, supplies, or required services;</w:t>
      </w:r>
    </w:p>
    <w:p>
      <w:pPr>
        <w:spacing w:after="0" w:line="192" w:lineRule="exact"/>
        <w:rPr>
          <w:rFonts w:ascii="Times New Roman" w:cs="Times New Roman" w:eastAsia="Times New Roman" w:hAnsi="Times New Roman"/>
          <w:sz w:val="18"/>
          <w:szCs w:val="18"/>
          <w:color w:val="auto"/>
        </w:rPr>
      </w:pPr>
    </w:p>
    <w:p>
      <w:pPr>
        <w:ind w:left="540" w:right="40" w:firstLine="359"/>
        <w:spacing w:after="0" w:line="262" w:lineRule="auto"/>
        <w:tabs>
          <w:tab w:leader="none" w:pos="117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"Governmental Approvals and Permits" Line Item Category, a decrease in the cost anticipated to be incurred to obtain the permits and pay the fees contemplated by such Line Item Category as a result of the Company having obtained a permit for an amount that is less than the amount budgeted for such permit, which the Company is able to demonstrate to the reasonable satisfaction of the Disbursement Agent;</w:t>
      </w:r>
    </w:p>
    <w:p>
      <w:pPr>
        <w:sectPr>
          <w:pgSz w:w="11900" w:h="16838" w:orient="portrait"/>
          <w:cols w:equalWidth="0" w:num="1">
            <w:col w:w="11420"/>
          </w:cols>
          <w:pgMar w:left="240" w:top="125" w:right="239" w:bottom="356"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356" w:gutter="0" w:footer="0" w:header="0"/>
          <w:type w:val="continuous"/>
        </w:sectPr>
      </w:pPr>
    </w:p>
    <w:bookmarkStart w:id="77" w:name="page78"/>
    <w:bookmarkEnd w:id="77"/>
    <w:p>
      <w:pPr>
        <w:ind w:left="540" w:right="420" w:firstLine="359"/>
        <w:spacing w:after="0" w:line="262" w:lineRule="auto"/>
        <w:tabs>
          <w:tab w:leader="none" w:pos="11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"Transaction Fees and Expenses," "Design and Engineering Fees," "Entertainment Production," and Insurance/Utilities/Security" Line Item Categories, a decrease in the anticipated cost to complete the work contemplated by such Line Item Category which the Company is able to demonstrate to the reasonable satisfaction of the Disbursement Agent;</w:t>
      </w:r>
    </w:p>
    <w:p>
      <w:pPr>
        <w:spacing w:after="0" w:line="186" w:lineRule="exact"/>
        <w:rPr>
          <w:rFonts w:ascii="Times New Roman" w:cs="Times New Roman" w:eastAsia="Times New Roman" w:hAnsi="Times New Roman"/>
          <w:sz w:val="18"/>
          <w:szCs w:val="18"/>
          <w:color w:val="auto"/>
        </w:rPr>
      </w:pPr>
    </w:p>
    <w:p>
      <w:pPr>
        <w:ind w:left="540" w:right="60" w:firstLine="359"/>
        <w:spacing w:after="0" w:line="262" w:lineRule="auto"/>
        <w:tabs>
          <w:tab w:leader="none" w:pos="117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"Property Taxes" Line Item Category, a decrease in the anticipated cost to complete the work contemplated by such Line Item Category as a result of tax bills or assessment for real estate taxes being lower than the amounts budgeted therefor, which the Company is able to demonstrate to the reasonable satisfaction of the Disbursement Agent;</w:t>
      </w:r>
    </w:p>
    <w:p>
      <w:pPr>
        <w:spacing w:after="0" w:line="186" w:lineRule="exact"/>
        <w:rPr>
          <w:sz w:val="20"/>
          <w:szCs w:val="20"/>
          <w:color w:val="auto"/>
        </w:rPr>
      </w:pPr>
    </w:p>
    <w:p>
      <w:pPr>
        <w:ind w:left="540" w:firstLine="359"/>
        <w:spacing w:after="0" w:line="258" w:lineRule="auto"/>
        <w:tabs>
          <w:tab w:leader="none" w:pos="11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"Capitalized Interest and Commitment Fees" Line Item Category, a decrease in the anticipated cost of construction period interest or commitment fees resulting from a decrease in the interest rates payable by the Company during construction as determined by the Company with the concurrence of the Disbursement Agent (acting in its sole discretion exercised in good faith) taking into account the current and future anticipated interest rates and the anticipated times and amounts of draws under the relevant Facilities for the payment of Project Costs;</w:t>
      </w:r>
    </w:p>
    <w:p>
      <w:pPr>
        <w:spacing w:after="0" w:line="190" w:lineRule="exact"/>
        <w:rPr>
          <w:rFonts w:ascii="Times New Roman" w:cs="Times New Roman" w:eastAsia="Times New Roman" w:hAnsi="Times New Roman"/>
          <w:sz w:val="18"/>
          <w:szCs w:val="18"/>
          <w:color w:val="auto"/>
        </w:rPr>
      </w:pPr>
    </w:p>
    <w:p>
      <w:pPr>
        <w:ind w:left="540" w:firstLine="359"/>
        <w:spacing w:after="0" w:line="258" w:lineRule="auto"/>
        <w:tabs>
          <w:tab w:leader="none" w:pos="11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"Interior Furnishings/Signage/Electronic Systems" Line Item Category, a decrease in the anticipated cost to complete the work contemplated by such Line Item Category which (i) results from a Scope Change that (A) complies with the requirements of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xml:space="preserve"> of the Disbursement Agreement and (B) results, to the reasonable satisfaction of the Construction Consultant, in a quantifiable decrease in materials, supplies or required services or (ii) the Company is otherwise able to demonstrate to the reasonable satisfaction of the Construction Consultant;</w:t>
      </w:r>
    </w:p>
    <w:p>
      <w:pPr>
        <w:spacing w:after="0" w:line="190" w:lineRule="exact"/>
        <w:rPr>
          <w:rFonts w:ascii="Times New Roman" w:cs="Times New Roman" w:eastAsia="Times New Roman" w:hAnsi="Times New Roman"/>
          <w:sz w:val="18"/>
          <w:szCs w:val="18"/>
          <w:color w:val="auto"/>
        </w:rPr>
      </w:pPr>
    </w:p>
    <w:p>
      <w:pPr>
        <w:ind w:left="540" w:right="60" w:firstLine="359"/>
        <w:spacing w:after="0" w:line="262" w:lineRule="auto"/>
        <w:tabs>
          <w:tab w:leader="none" w:pos="123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"Pre-Opening Expenses," and "Miscellaneous Operating Costs" Line Item Categories, a decrease of up to ten percent (10%) in the cost anticipated to be incurred to complete the work contemplated by such Line Item Category if the Company certifies that it does not intend to spend more than the reduced amount and that such reduced amount is an appropriate amount for such Line Item Category; and</w:t>
      </w:r>
    </w:p>
    <w:p>
      <w:pPr>
        <w:spacing w:after="0" w:line="186" w:lineRule="exact"/>
        <w:rPr>
          <w:rFonts w:ascii="Times New Roman" w:cs="Times New Roman" w:eastAsia="Times New Roman" w:hAnsi="Times New Roman"/>
          <w:sz w:val="18"/>
          <w:szCs w:val="18"/>
          <w:color w:val="auto"/>
        </w:rPr>
      </w:pPr>
    </w:p>
    <w:p>
      <w:pPr>
        <w:jc w:val="both"/>
        <w:ind w:left="540" w:right="80" w:firstLine="359"/>
        <w:spacing w:after="0" w:line="262" w:lineRule="auto"/>
        <w:tabs>
          <w:tab w:leader="none" w:pos="123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"Owner FF&amp;E" Line Item Category, a decrease in the anticipated cost to complete the work contemplated by such Line Item Category which results from a Scope Change that (i) complies with the requirements of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xml:space="preserve"> of the Disbursement Agreement and (ii) results, to the reasonable satisfaction of the Construction Consultant in a quantifiable decrease in materials, supplies or required services;</w:t>
      </w:r>
    </w:p>
    <w:p>
      <w:pPr>
        <w:spacing w:after="0" w:line="18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each case, which is documented by the Company in a Realized Savings Certificate in the form of </w:t>
      </w:r>
      <w:r>
        <w:rPr>
          <w:rFonts w:ascii="Times New Roman" w:cs="Times New Roman" w:eastAsia="Times New Roman" w:hAnsi="Times New Roman"/>
          <w:sz w:val="18"/>
          <w:szCs w:val="18"/>
          <w:i w:val="1"/>
          <w:iCs w:val="1"/>
          <w:color w:val="auto"/>
        </w:rPr>
        <w:t>Exhibit L</w:t>
      </w:r>
      <w:r>
        <w:rPr>
          <w:rFonts w:ascii="Times New Roman" w:cs="Times New Roman" w:eastAsia="Times New Roman" w:hAnsi="Times New Roman"/>
          <w:sz w:val="18"/>
          <w:szCs w:val="18"/>
          <w:color w:val="auto"/>
        </w:rPr>
        <w:t xml:space="preserve"> attached to the Disbursement Agreement, duly executed and completed with all exhibits and attachments thereto. No Realized Savings shall be obtainable with respect to the "Land and Buildings," "Global Express Airplane Purchase," "Working Capital Requirements at Opening" and "Construction Contingency" Line Item Categories. The Disbursement Agent shall be entitled to rely on certifications from the Company (and, where contemplated above, the Construction Consultant) set forth in the Company's Realized Savings Certificate in determining whether "Realized Savings" has been achieved.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"Related Agreements" has the meaning given in </w:t>
      </w:r>
      <w:r>
        <w:rPr>
          <w:rFonts w:ascii="Times New Roman" w:cs="Times New Roman" w:eastAsia="Times New Roman" w:hAnsi="Times New Roman"/>
          <w:sz w:val="18"/>
          <w:szCs w:val="18"/>
          <w:i w:val="1"/>
          <w:iCs w:val="1"/>
          <w:color w:val="auto"/>
        </w:rPr>
        <w:t>Section 9.1</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280" w:firstLine="351"/>
        <w:spacing w:after="0" w:line="310" w:lineRule="auto"/>
        <w:rPr>
          <w:sz w:val="20"/>
          <w:szCs w:val="20"/>
          <w:color w:val="auto"/>
        </w:rPr>
      </w:pPr>
      <w:r>
        <w:rPr>
          <w:rFonts w:ascii="Times New Roman" w:cs="Times New Roman" w:eastAsia="Times New Roman" w:hAnsi="Times New Roman"/>
          <w:sz w:val="16"/>
          <w:szCs w:val="16"/>
          <w:color w:val="auto"/>
        </w:rPr>
        <w:t>"Release" means,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firstLine="351"/>
        <w:spacing w:after="0" w:line="258" w:lineRule="auto"/>
        <w:rPr>
          <w:sz w:val="20"/>
          <w:szCs w:val="20"/>
          <w:color w:val="auto"/>
        </w:rPr>
      </w:pPr>
      <w:r>
        <w:rPr>
          <w:rFonts w:ascii="Times New Roman" w:cs="Times New Roman" w:eastAsia="Times New Roman" w:hAnsi="Times New Roman"/>
          <w:sz w:val="18"/>
          <w:szCs w:val="18"/>
          <w:color w:val="auto"/>
        </w:rPr>
        <w:t xml:space="preserve">"Remaining Costs" means, at any given time for any Line Item Category or Line Item (other than the "Construction Contingency" Line Item Category), the "Balance to Complete (Net Amount)" set forth in column N of the Monthly Requisition Report (as in effect from time to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from and after the Completion Date, any Remaining Costs which do not constitute Project Costs shall be disregarded for purposes of calculating whether the Project is In Balance.</w:t>
      </w:r>
    </w:p>
    <w:p>
      <w:pPr>
        <w:spacing w:after="0" w:line="190"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"Representatives of the Underwriters" means Deutsche Bank Securities, Inc., Bear Stearns &amp; Co. Inc., Banc of America Securities LLC and Dresdner Kleinwort Wasserstein—Grantchester, Inc.</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"Required Completion Amount" has the meaning given in </w:t>
      </w:r>
      <w:r>
        <w:rPr>
          <w:rFonts w:ascii="Times New Roman" w:cs="Times New Roman" w:eastAsia="Times New Roman" w:hAnsi="Times New Roman"/>
          <w:sz w:val="18"/>
          <w:szCs w:val="18"/>
          <w:i w:val="1"/>
          <w:iCs w:val="1"/>
          <w:color w:val="auto"/>
        </w:rPr>
        <w:t>Section 2.9(a)</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 xml:space="preserve">"Required Contractor Certificates" means, with respect to each Advance Request, the Contractor certificates required to be attached thereto pursuant to </w:t>
      </w:r>
      <w:r>
        <w:rPr>
          <w:rFonts w:ascii="Times New Roman" w:cs="Times New Roman" w:eastAsia="Times New Roman" w:hAnsi="Times New Roman"/>
          <w:sz w:val="18"/>
          <w:szCs w:val="18"/>
          <w:i w:val="1"/>
          <w:iCs w:val="1"/>
          <w:color w:val="auto"/>
        </w:rPr>
        <w:t xml:space="preserve">Section 2.4.1(b) </w:t>
      </w:r>
      <w:r>
        <w:rPr>
          <w:rFonts w:ascii="Times New Roman" w:cs="Times New Roman" w:eastAsia="Times New Roman" w:hAnsi="Times New Roman"/>
          <w:sz w:val="18"/>
          <w:szCs w:val="18"/>
          <w:color w:val="auto"/>
        </w:rPr>
        <w:t>of the Disbursement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"Required Minimum Contingency" means:</w:t>
      </w:r>
    </w:p>
    <w:p>
      <w:pPr>
        <w:spacing w:after="0" w:line="225" w:lineRule="exact"/>
        <w:rPr>
          <w:sz w:val="20"/>
          <w:szCs w:val="20"/>
          <w:color w:val="auto"/>
        </w:rPr>
      </w:pPr>
    </w:p>
    <w:p>
      <w:pPr>
        <w:ind w:left="1000" w:hanging="546"/>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$21,707,526;</w:t>
      </w:r>
    </w:p>
    <w:p>
      <w:pPr>
        <w:spacing w:after="0" w:line="225" w:lineRule="exact"/>
        <w:rPr>
          <w:rFonts w:ascii="Times New Roman" w:cs="Times New Roman" w:eastAsia="Times New Roman" w:hAnsi="Times New Roman"/>
          <w:sz w:val="18"/>
          <w:szCs w:val="18"/>
          <w:color w:val="auto"/>
        </w:rPr>
      </w:pPr>
    </w:p>
    <w:p>
      <w:pPr>
        <w:ind w:left="1000" w:right="640" w:hanging="546"/>
        <w:spacing w:after="0" w:line="275"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after the Twenty Five Percent Completion Date and prior to the Completion Date, the amount determined pursuant to the following formula:</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RMC</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$2,500,000 + ($19,207,526 * (1.00 - (PC - 25/75))</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4"/>
              </w:rPr>
              <w:t>Where:</w:t>
            </w:r>
          </w:p>
        </w:tc>
        <w:tc>
          <w:tcPr>
            <w:tcW w:w="68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RMC</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Required Minimum Contingency;</w:t>
            </w:r>
          </w:p>
        </w:tc>
      </w:tr>
      <w:tr>
        <w:trPr>
          <w:trHeight w:val="42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   Percentage of the Project completed as of the calculation date based upon the Hard Costs incurred as of such date in accordance</w:t>
            </w:r>
          </w:p>
        </w:tc>
      </w:tr>
      <w:tr>
        <w:trPr>
          <w:trHeight w:val="216"/>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 the Project Budget and allocated to the following Line Item Categories: the "Marnell Corrao GMP Contract," "Interior</w:t>
            </w:r>
          </w:p>
        </w:tc>
      </w:tr>
      <w:tr>
        <w:trPr>
          <w:trHeight w:val="216"/>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Furnishings/ Signage/ Electronic Systems," Miscellaneous Capital Projects," "Golf Course" and "Parking Garage" compared to</w:t>
            </w:r>
          </w:p>
        </w:tc>
      </w:tr>
      <w:tr>
        <w:trPr>
          <w:trHeight w:val="228"/>
        </w:trPr>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total amount set forth such Line Item Categories in the Project Budget;</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ind w:left="460" w:right="40"/>
        <w:spacing w:after="0" w:line="342" w:lineRule="auto"/>
        <w:rPr>
          <w:sz w:val="20"/>
          <w:szCs w:val="20"/>
          <w:color w:val="auto"/>
        </w:rPr>
      </w:pPr>
      <w:r>
        <w:rPr>
          <w:rFonts w:ascii="Times New Roman" w:cs="Times New Roman" w:eastAsia="Times New Roman" w:hAnsi="Times New Roman"/>
          <w:sz w:val="16"/>
          <w:szCs w:val="16"/>
          <w:i w:val="1"/>
          <w:iCs w:val="1"/>
          <w:color w:val="auto"/>
        </w:rPr>
        <w:t>For example, if, as of the calculation date, the Twenty Five Percent Completion Date has occurred (but the initial advance of funds from the Second Mortgage Notes Proceeds Account has not occurred) and thirty percent (30%) of the Hard Costs allocated to the foregoing Line Item Categories have been</w:t>
      </w:r>
    </w:p>
    <w:p>
      <w:pPr>
        <w:sectPr>
          <w:pgSz w:w="11900" w:h="16838" w:orient="portrait"/>
          <w:cols w:equalWidth="0" w:num="1">
            <w:col w:w="11420"/>
          </w:cols>
          <w:pgMar w:left="240" w:top="125" w:right="239" w:bottom="0" w:gutter="0" w:footer="0" w:header="0"/>
          <w:type w:val="continuous"/>
        </w:sectPr>
      </w:pPr>
    </w:p>
    <w:bookmarkStart w:id="78" w:name="page79"/>
    <w:bookmarkEnd w:id="78"/>
    <w:p>
      <w:pPr>
        <w:ind w:left="460" w:right="20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incurred in accordance with the Project Budget (PC=30), then </w:t>
      </w:r>
      <w:r>
        <w:rPr>
          <w:rFonts w:ascii="Times New Roman" w:cs="Times New Roman" w:eastAsia="Times New Roman" w:hAnsi="Times New Roman"/>
          <w:sz w:val="18"/>
          <w:szCs w:val="18"/>
          <w:b w:val="1"/>
          <w:bCs w:val="1"/>
          <w:i w:val="1"/>
          <w:iCs w:val="1"/>
          <w:color w:val="auto"/>
        </w:rPr>
        <w:t>RMC</w:t>
      </w:r>
      <w:r>
        <w:rPr>
          <w:rFonts w:ascii="Times New Roman" w:cs="Times New Roman" w:eastAsia="Times New Roman" w:hAnsi="Times New Roman"/>
          <w:sz w:val="18"/>
          <w:szCs w:val="18"/>
          <w:i w:val="1"/>
          <w:iCs w:val="1"/>
          <w:color w:val="auto"/>
        </w:rPr>
        <w:t xml:space="preserve"> = $2,500,000 + $19,207,526 * (1.00 - ((30-25)/75)) = $2,500,000 + $17,927,024 = </w:t>
      </w:r>
      <w:r>
        <w:rPr>
          <w:rFonts w:ascii="Times New Roman" w:cs="Times New Roman" w:eastAsia="Times New Roman" w:hAnsi="Times New Roman"/>
          <w:sz w:val="18"/>
          <w:szCs w:val="18"/>
          <w:b w:val="1"/>
          <w:bCs w:val="1"/>
          <w:i w:val="1"/>
          <w:iCs w:val="1"/>
          <w:color w:val="auto"/>
        </w:rPr>
        <w:t>$20,427,024.</w:t>
      </w:r>
    </w:p>
    <w:p>
      <w:pPr>
        <w:spacing w:after="0" w:line="194" w:lineRule="exact"/>
        <w:rPr>
          <w:sz w:val="20"/>
          <w:szCs w:val="20"/>
          <w:color w:val="auto"/>
        </w:rPr>
      </w:pPr>
    </w:p>
    <w:p>
      <w:pPr>
        <w:ind w:left="460" w:right="180"/>
        <w:spacing w:after="0" w:line="259"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at the time of the initial advance of funds from the Second Mortgage Notes Proceeds Account (the "</w:t>
      </w:r>
      <w:r>
        <w:rPr>
          <w:rFonts w:ascii="Times New Roman" w:cs="Times New Roman" w:eastAsia="Times New Roman" w:hAnsi="Times New Roman"/>
          <w:sz w:val="18"/>
          <w:szCs w:val="18"/>
          <w:i w:val="1"/>
          <w:iCs w:val="1"/>
          <w:color w:val="auto"/>
        </w:rPr>
        <w:t>Second Mortgage Notes Initial Advance Date</w:t>
      </w:r>
      <w:r>
        <w:rPr>
          <w:rFonts w:ascii="Times New Roman" w:cs="Times New Roman" w:eastAsia="Times New Roman" w:hAnsi="Times New Roman"/>
          <w:sz w:val="18"/>
          <w:szCs w:val="18"/>
          <w:color w:val="auto"/>
        </w:rPr>
        <w:t>") the conditions precedent set forth in</w:t>
      </w:r>
      <w:r>
        <w:rPr>
          <w:rFonts w:ascii="Times New Roman" w:cs="Times New Roman" w:eastAsia="Times New Roman" w:hAnsi="Times New Roman"/>
          <w:sz w:val="18"/>
          <w:szCs w:val="18"/>
          <w:i w:val="1"/>
          <w:iCs w:val="1"/>
          <w:color w:val="auto"/>
        </w:rPr>
        <w:t xml:space="preserve"> Section 3.3.22(b) </w:t>
      </w:r>
      <w:r>
        <w:rPr>
          <w:rFonts w:ascii="Times New Roman" w:cs="Times New Roman" w:eastAsia="Times New Roman" w:hAnsi="Times New Roman"/>
          <w:sz w:val="18"/>
          <w:szCs w:val="18"/>
          <w:color w:val="auto"/>
        </w:rPr>
        <w:t>of the Disbursement Agreement have not been satisfied, then from and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initial advance date until such time (if ever) as the conditions precedent set forth in </w:t>
      </w:r>
      <w:r>
        <w:rPr>
          <w:rFonts w:ascii="Times New Roman" w:cs="Times New Roman" w:eastAsia="Times New Roman" w:hAnsi="Times New Roman"/>
          <w:sz w:val="18"/>
          <w:szCs w:val="18"/>
          <w:i w:val="1"/>
          <w:iCs w:val="1"/>
          <w:color w:val="auto"/>
        </w:rPr>
        <w:t>Section 3.3.22(b)</w:t>
      </w:r>
      <w:r>
        <w:rPr>
          <w:rFonts w:ascii="Times New Roman" w:cs="Times New Roman" w:eastAsia="Times New Roman" w:hAnsi="Times New Roman"/>
          <w:sz w:val="18"/>
          <w:szCs w:val="18"/>
          <w:color w:val="auto"/>
        </w:rPr>
        <w:t xml:space="preserve"> of the Disbursement Agreement have been satisfied, the amount determined pursuant to the following formula: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RMC</w:t>
            </w:r>
          </w:p>
        </w:tc>
        <w:tc>
          <w:tcPr>
            <w:tcW w:w="9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$7,500,000 + (AA* (1.00 (PC - SMN) / (1 - SMN)))</w:t>
            </w:r>
          </w:p>
        </w:tc>
      </w:tr>
      <w:tr>
        <w:trPr>
          <w:trHeight w:val="432"/>
        </w:trPr>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4"/>
              </w:rPr>
              <w:t>Where:</w:t>
            </w:r>
          </w:p>
        </w:tc>
        <w:tc>
          <w:tcPr>
            <w:tcW w:w="68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432"/>
        </w:trPr>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RMC</w:t>
            </w:r>
          </w:p>
        </w:tc>
        <w:tc>
          <w:tcPr>
            <w:tcW w:w="9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Required Minimum Contingency;</w:t>
            </w:r>
          </w:p>
        </w:tc>
      </w:tr>
      <w:tr>
        <w:trPr>
          <w:trHeight w:val="891"/>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32</w:t>
            </w:r>
          </w:p>
        </w:tc>
      </w:tr>
      <w:tr>
        <w:trPr>
          <w:trHeight w:val="228"/>
        </w:trPr>
        <w:tc>
          <w:tcPr>
            <w:tcW w:w="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tcPr>
          <w:p>
            <w:pPr>
              <w:spacing w:after="0"/>
              <w:rPr>
                <w:sz w:val="19"/>
                <w:szCs w:val="19"/>
                <w:color w:val="auto"/>
              </w:rPr>
            </w:pPr>
          </w:p>
        </w:tc>
      </w:tr>
      <w:tr>
        <w:trPr>
          <w:trHeight w:val="523"/>
        </w:trPr>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w:t>
            </w:r>
          </w:p>
        </w:tc>
        <w:tc>
          <w:tcPr>
            <w:tcW w:w="9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Percentage of the Project completed as of the calculation date based upon the Hard Costs incurred as of such date in accordance</w:t>
            </w: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 the Project Budget and allocated to the following Line Item Categories: the "Marnell Corrao GMP Contract," "Interior</w:t>
            </w: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Furnishings/ Signage/ Electronic Systems," Miscellaneous Capital Projects," "Golf Course" and "Parking Garage" compared to</w:t>
            </w:r>
          </w:p>
        </w:tc>
      </w:tr>
      <w:tr>
        <w:trPr>
          <w:trHeight w:val="228"/>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total amount set forth such Line Item Categories in the Project Budget;</w:t>
            </w:r>
          </w:p>
        </w:tc>
      </w:tr>
      <w:tr>
        <w:trPr>
          <w:trHeight w:val="420"/>
        </w:trPr>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(iii)</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SMN</w:t>
            </w:r>
          </w:p>
        </w:tc>
        <w:tc>
          <w:tcPr>
            <w:tcW w:w="97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   Percentage of the Project completed as of the Second Mortgage Notes Initial Advance Date based upon the Hard Costs incurred as</w:t>
            </w: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of such date in accordance with the Project Budget and allocated to the following Line Item Categories: the "Marnell Corrao GMP</w:t>
            </w: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Contract," "Interior Furnishings/ Signage/ Electronic Systems," Miscellaneous Capital Projects," "Golf Course" and "Parking</w:t>
            </w:r>
          </w:p>
        </w:tc>
      </w:tr>
      <w:tr>
        <w:trPr>
          <w:trHeight w:val="228"/>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Garage" compared to the total amount set forth such Line Item Categories in the Project Budget;</w:t>
            </w:r>
          </w:p>
        </w:tc>
      </w:tr>
      <w:tr>
        <w:trPr>
          <w:trHeight w:val="420"/>
        </w:trPr>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(iv)</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9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The adjusted amortized amount calculated as of the Second Mortgage Notes Initial Advance Date calculated pursuant to the</w:t>
            </w:r>
          </w:p>
        </w:tc>
      </w:tr>
      <w:tr>
        <w:trPr>
          <w:trHeight w:val="228"/>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following formula (for definition of "SMN" as used in this clause (iv), see clause (iii)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-1863090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-1863090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($19,207,526 * (1.00 - (SMN - 25)/75)) - $5,000,000</w:t>
      </w:r>
    </w:p>
    <w:p>
      <w:pPr>
        <w:spacing w:after="0" w:line="250"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 example, if, as of the calculation date, the Twenty Five Percent Completion Date has occurred, the initial advance of funds from the Second Mortgage Notes Proceeds Account occurred on the date when fifty percent (50%) of the Hard Costs allocated to the foregoing Line Items had been incurred in accordance with the Project Budget but the conditions precedent set forth in Section 3.3.22(b) of the Disbursement Agreement have not yet been satisfied as of the calculation date (SMN=50) and seventy percent (70%) of the Hard Costs allocated to the foregoing Line Item Categories have been incurred to date (PC=70), then AA = ($19,207,526 * (1.00 - (50-25)/75)) - $5,000,000 = $7,805,071 and </w:t>
      </w:r>
      <w:r>
        <w:rPr>
          <w:rFonts w:ascii="Times New Roman" w:cs="Times New Roman" w:eastAsia="Times New Roman" w:hAnsi="Times New Roman"/>
          <w:sz w:val="18"/>
          <w:szCs w:val="18"/>
          <w:b w:val="1"/>
          <w:bCs w:val="1"/>
          <w:i w:val="1"/>
          <w:iCs w:val="1"/>
          <w:color w:val="auto"/>
        </w:rPr>
        <w:t>RMC</w:t>
      </w:r>
      <w:r>
        <w:rPr>
          <w:rFonts w:ascii="Times New Roman" w:cs="Times New Roman" w:eastAsia="Times New Roman" w:hAnsi="Times New Roman"/>
          <w:sz w:val="18"/>
          <w:szCs w:val="18"/>
          <w:i w:val="1"/>
          <w:iCs w:val="1"/>
          <w:color w:val="auto"/>
        </w:rPr>
        <w:t xml:space="preserve"> = $7,500,000 + ($7,805,071*(1.00 - ((70-50)/50)) = $7,500,000 + $7,805,071*(0.60)=</w:t>
      </w:r>
      <w:r>
        <w:rPr>
          <w:rFonts w:ascii="Times New Roman" w:cs="Times New Roman" w:eastAsia="Times New Roman" w:hAnsi="Times New Roman"/>
          <w:sz w:val="18"/>
          <w:szCs w:val="18"/>
          <w:b w:val="1"/>
          <w:bCs w:val="1"/>
          <w:i w:val="1"/>
          <w:iCs w:val="1"/>
          <w:color w:val="auto"/>
        </w:rPr>
        <w:t>$12,183,010</w:t>
      </w:r>
    </w:p>
    <w:p>
      <w:pPr>
        <w:spacing w:after="0" w:line="195" w:lineRule="exact"/>
        <w:rPr>
          <w:sz w:val="20"/>
          <w:szCs w:val="20"/>
          <w:color w:val="auto"/>
        </w:rPr>
      </w:pPr>
    </w:p>
    <w:p>
      <w:pPr>
        <w:ind w:left="1000" w:hanging="546"/>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after the Completion Date, 150% of the Project Punchlist Completion Amount;</w:t>
      </w:r>
    </w:p>
    <w:p>
      <w:pPr>
        <w:spacing w:after="0" w:line="225" w:lineRule="exact"/>
        <w:rPr>
          <w:sz w:val="20"/>
          <w:szCs w:val="20"/>
          <w:color w:val="auto"/>
        </w:rPr>
      </w:pPr>
    </w:p>
    <w:p>
      <w:pPr>
        <w:ind w:right="360" w:firstLine="351"/>
        <w:spacing w:after="0" w:line="262" w:lineRule="auto"/>
        <w:rPr>
          <w:sz w:val="20"/>
          <w:szCs w:val="20"/>
          <w:color w:val="auto"/>
        </w:rPr>
      </w:pPr>
      <w:r>
        <w:rPr>
          <w:rFonts w:ascii="Times New Roman" w:cs="Times New Roman" w:eastAsia="Times New Roman" w:hAnsi="Times New Roman"/>
          <w:sz w:val="18"/>
          <w:szCs w:val="18"/>
          <w:color w:val="auto"/>
        </w:rPr>
        <w:t>"Required Scope Change Approval" means, with respect to each proposed Scope Change, each of the following: (a) the consent of the Construction Consultant, (b) the consent of the Bank Agent, (c) the consent of the FF&amp;E Agent, and, (d) the consent of a majority in principal amount of the holders of the Second Mortgage Notes.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"Reserved Amounts" has the meaning given in </w:t>
      </w:r>
      <w:r>
        <w:rPr>
          <w:rFonts w:ascii="Times New Roman" w:cs="Times New Roman" w:eastAsia="Times New Roman" w:hAnsi="Times New Roman"/>
          <w:sz w:val="18"/>
          <w:szCs w:val="18"/>
          <w:i w:val="1"/>
          <w:iCs w:val="1"/>
          <w:color w:val="auto"/>
        </w:rPr>
        <w:t>Section 2.10</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"Resort Component" means all portions of the Project other than the FF&amp;E Component.</w:t>
      </w:r>
    </w:p>
    <w:p>
      <w:pPr>
        <w:spacing w:after="0" w:line="225"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"Resort Component Funding Sources" means the Bank Credit Facility, the Second Mortgage Notes Proceeds and amounts on deposit in the Company's Funds Account.</w:t>
      </w:r>
    </w:p>
    <w:p>
      <w:pPr>
        <w:spacing w:after="0" w:line="174"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"Responsible Officer" means as to any Person, the chief executive officer, president or chief financial officer of such Person, but in any event, with respect to financial matters, the chief financial officer of such Person.</w:t>
      </w:r>
    </w:p>
    <w:p>
      <w:pPr>
        <w:spacing w:after="0" w:line="174"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"Retainage Amounts" means at any given time amounts which have accrued and are owing under the terms of a Contract for work or services already provided but which at such time (and in accordance with the terms of the Contract) are being withheld from payment to the Contractor, until certain subsequent events (e.g., completion benchmarks) have been achieved under the Contract.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20" w:firstLine="351"/>
        <w:spacing w:after="0" w:line="339" w:lineRule="auto"/>
        <w:rPr>
          <w:sz w:val="20"/>
          <w:szCs w:val="20"/>
          <w:color w:val="auto"/>
        </w:rPr>
      </w:pPr>
      <w:r>
        <w:rPr>
          <w:rFonts w:ascii="Times New Roman" w:cs="Times New Roman" w:eastAsia="Times New Roman" w:hAnsi="Times New Roman"/>
          <w:sz w:val="16"/>
          <w:szCs w:val="16"/>
          <w:color w:val="auto"/>
        </w:rPr>
        <w:t>"Reviewing Accountant" means Deloitte &amp; Touche or any subsequent nationally recognized firm of independent public accountants selected by the Company, with the consent of the Bank Agent from time to time (which shall not be unreasonably withheld or delayed), as auditors of the Company.</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"Revolving Credit Loans" has the meaning given in the Bank Credit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"S&amp;P" means Standard &amp; Poor's Ratings Group, a New York corporation, or any successor thereof.</w:t>
      </w:r>
    </w:p>
    <w:p>
      <w:pPr>
        <w:spacing w:after="0" w:line="225"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 xml:space="preserve">"Safe Harbor Scope Change" means any Scope Change if, after giving effect thereto the Project will be within or shall exceed the "standards" set forth on </w:t>
      </w:r>
      <w:r>
        <w:rPr>
          <w:rFonts w:ascii="Times New Roman" w:cs="Times New Roman" w:eastAsia="Times New Roman" w:hAnsi="Times New Roman"/>
          <w:sz w:val="18"/>
          <w:szCs w:val="18"/>
          <w:i w:val="1"/>
          <w:iCs w:val="1"/>
          <w:color w:val="auto"/>
        </w:rPr>
        <w:t xml:space="preserve">Exhibit X-1 </w:t>
      </w:r>
      <w:r>
        <w:rPr>
          <w:rFonts w:ascii="Times New Roman" w:cs="Times New Roman" w:eastAsia="Times New Roman" w:hAnsi="Times New Roman"/>
          <w:sz w:val="18"/>
          <w:szCs w:val="18"/>
          <w:color w:val="auto"/>
        </w:rPr>
        <w:t>to the Disbursement Agreement.</w:t>
      </w:r>
    </w:p>
    <w:p>
      <w:pPr>
        <w:sectPr>
          <w:pgSz w:w="11900" w:h="16838" w:orient="portrait"/>
          <w:cols w:equalWidth="0" w:num="1">
            <w:col w:w="11420"/>
          </w:cols>
          <w:pgMar w:left="240" w:top="121" w:right="239" w:bottom="0" w:gutter="0" w:footer="0" w:header="0"/>
        </w:sectPr>
      </w:pPr>
    </w:p>
    <w:bookmarkStart w:id="79" w:name="page80"/>
    <w:bookmarkEnd w:id="79"/>
    <w:p>
      <w:pPr>
        <w:ind w:right="8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"Scheduled Completion Date" means April 30, 2005, as the same may from time to time be extended pursuant to </w:t>
      </w:r>
      <w:r>
        <w:rPr>
          <w:rFonts w:ascii="Times New Roman" w:cs="Times New Roman" w:eastAsia="Times New Roman" w:hAnsi="Times New Roman"/>
          <w:sz w:val="18"/>
          <w:szCs w:val="18"/>
          <w:i w:val="1"/>
          <w:iCs w:val="1"/>
          <w:color w:val="auto"/>
        </w:rPr>
        <w:t>Section 6.4</w:t>
      </w:r>
      <w:r>
        <w:rPr>
          <w:rFonts w:ascii="Times New Roman" w:cs="Times New Roman" w:eastAsia="Times New Roman" w:hAnsi="Times New Roman"/>
          <w:sz w:val="18"/>
          <w:szCs w:val="18"/>
          <w:color w:val="auto"/>
        </w:rPr>
        <w:t xml:space="preserve"> of the Disbursement Agreement.</w:t>
      </w:r>
    </w:p>
    <w:p>
      <w:pPr>
        <w:spacing w:after="0" w:line="17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"Scope Change" means any change in the Plans and Specifications or any other change to the design, layout, architecture or quality of the Project from that which is contemplated on the Closing Date, (unless such change is required by Legal Requirements), including, without limitation, (a) changes to the "Premises and Assumptions" (as defined in the Prime Construction Contract), (b) approval or submission to the Prime Contractor of "Drawings" or "Specifications" (each as defined in the Prime Construction Contract) that are inconsistent with the Premises and Assumptions, (c) additions, deletions or modifications in the "Work" (as defined in the Prime Construction Contract) (including, without limitation, the acceptance of any non-conforming "</w:t>
      </w:r>
      <w:r>
        <w:rPr>
          <w:rFonts w:ascii="Times New Roman" w:cs="Times New Roman" w:eastAsia="Times New Roman" w:hAnsi="Times New Roman"/>
          <w:sz w:val="18"/>
          <w:szCs w:val="18"/>
          <w:i w:val="1"/>
          <w:iCs w:val="1"/>
          <w:color w:val="auto"/>
        </w:rPr>
        <w:t>Work</w:t>
      </w:r>
      <w:r>
        <w:rPr>
          <w:rFonts w:ascii="Times New Roman" w:cs="Times New Roman" w:eastAsia="Times New Roman" w:hAnsi="Times New Roman"/>
          <w:sz w:val="18"/>
          <w:szCs w:val="18"/>
          <w:color w:val="auto"/>
        </w:rPr>
        <w:t xml:space="preserve">" (as defined in the Prime Construction Contract) pursuant to </w:t>
      </w:r>
      <w:r>
        <w:rPr>
          <w:rFonts w:ascii="Times New Roman" w:cs="Times New Roman" w:eastAsia="Times New Roman" w:hAnsi="Times New Roman"/>
          <w:sz w:val="18"/>
          <w:szCs w:val="18"/>
          <w:i w:val="1"/>
          <w:iCs w:val="1"/>
          <w:color w:val="auto"/>
        </w:rPr>
        <w:t>Section 10.9</w:t>
      </w:r>
      <w:r>
        <w:rPr>
          <w:rFonts w:ascii="Times New Roman" w:cs="Times New Roman" w:eastAsia="Times New Roman" w:hAnsi="Times New Roman"/>
          <w:sz w:val="18"/>
          <w:szCs w:val="18"/>
          <w:color w:val="auto"/>
        </w:rPr>
        <w:t xml:space="preserve"> of the Prime Construction Contract), (d) the issuance of a "Construction Change Directive" (as defined in the Prime Construction Contract) directing a "Change" (as defined in the Prime Construction Contract) in the work and a proposed basis for adjustments, if any, in the "Guaranteed Maximum Price" (as defined in the Prime Construction Contract) or "Contract Time" (as defined in the Prime Construction Contract), or any combination of them, and (e) modifications to the "Drawings" (as defined in the Architect's Agreement) to the extent the same constitute an Additional Service under the Architect's Agreement.</w:t>
      </w:r>
    </w:p>
    <w:p>
      <w:pPr>
        <w:spacing w:after="0" w:line="195"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means the 12% Mortgage Notes Due 2010 in the aggregate principal amount of $370 million, priced to yield 13.5% at maturity, issued by the Company and Capital Corp., as co-issuers, pursuant to the Second Mortgage Notes Indenture.</w:t>
      </w:r>
    </w:p>
    <w:p>
      <w:pPr>
        <w:spacing w:after="0" w:line="174"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Company Collateral Account Agreement" means that certain Second Mortgage Notes Company Collateral Account Agreement dated as of October 30, 2002 among the Company, the Indenture Trustee, the Disbursement Agent and the Securities Intermediary.</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"Second Mortgage Notes Completion Guaranty Collateral Account Agreement" means that certain Second Mortgage Notes Completion Guaranty Collateral Account Agreement dated as of October 30, 2002 among the Completion Guarantor, the Indenture Trustee, the Disbursement Agent and the Securities Intermediary.</w:t>
      </w:r>
    </w:p>
    <w:p>
      <w:pPr>
        <w:spacing w:after="0" w:line="186"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"Second Mortgage Notes Deeds of Trust" means, collectively, the Second Mortgage Notes Golf Course Deed of Trust, the Second Mortgage Notes Hotel/Casino Deed of Trust, the Second Mortgage Notes Phase II Deed of Trust, the Second Mortgage Notes Palo Deed of Trust, and the Second Mortgage Notes DIIC Deed of Trust.</w:t>
      </w:r>
    </w:p>
    <w:p>
      <w:pPr>
        <w:spacing w:after="0" w:line="184" w:lineRule="exact"/>
        <w:rPr>
          <w:sz w:val="20"/>
          <w:szCs w:val="20"/>
          <w:color w:val="auto"/>
        </w:rPr>
      </w:pPr>
    </w:p>
    <w:p>
      <w:pPr>
        <w:jc w:val="both"/>
        <w:ind w:right="8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"Second Mortgage Notes DIIC Deed of Trust" means that certain Deed of Trust to be entered into pursuant to </w:t>
      </w:r>
      <w:r>
        <w:rPr>
          <w:rFonts w:ascii="Times New Roman" w:cs="Times New Roman" w:eastAsia="Times New Roman" w:hAnsi="Times New Roman"/>
          <w:sz w:val="18"/>
          <w:szCs w:val="18"/>
          <w:i w:val="1"/>
          <w:iCs w:val="1"/>
          <w:color w:val="auto"/>
        </w:rPr>
        <w:t>Section 3.3.22</w:t>
      </w:r>
      <w:r>
        <w:rPr>
          <w:rFonts w:ascii="Times New Roman" w:cs="Times New Roman" w:eastAsia="Times New Roman" w:hAnsi="Times New Roman"/>
          <w:sz w:val="18"/>
          <w:szCs w:val="18"/>
          <w:color w:val="auto"/>
        </w:rPr>
        <w:t xml:space="preserve"> of the Disbursement Agreement, between Desert Inn Improvement as trustor, and Nevada Title Company as trustee, for the benefit of the Indenture Trustee as beneficiary, substantially in the form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to the Bank Credit Agreement.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Golf Course Deed of Trust" means that certain Deed of Trust dated as of October 30, 2002 between Wynn Resorts Holdings as trustor, and Nevada Title Company as trustee, for the benefit of Indenture Trustee as beneficiary.</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Guarantee and Collateral Agreement" means that certain Guarantee and Collateral Agreement dated as of October 30, 2002 and made by Wynn Las Vegas and each other Loan Party for the benefit of the Indenture Trustee.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"Second Mortgage Note Holders" means the holders of the Second Mortgage Notes.</w:t>
      </w:r>
    </w:p>
    <w:p>
      <w:pPr>
        <w:spacing w:after="0" w:line="225"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Hotel/Casino Deed of Trust" means that certain Deed of Trust dated as of October 30, 2002 between Wynn Las Vegas as trustor, and Nevada Title Company as trustee, for the benefit of the Indenture Trustee as beneficiary.</w:t>
      </w:r>
    </w:p>
    <w:p>
      <w:pPr>
        <w:spacing w:after="0" w:line="174"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Indenture" means that certain Second Mortgage Notes Indenture dated as of October 30, 2002 among the Wynn Las Vegas, Capital Corp., the guarantors signatory thereto and the Indenture Trustee.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"Second Mortgage Notes Interest Reserve Amount" means Forty Four Million Four Hundred Thousand Dollars ($44,400,000).</w:t>
      </w:r>
    </w:p>
    <w:p>
      <w:pPr>
        <w:spacing w:after="0" w:line="225" w:lineRule="exact"/>
        <w:rPr>
          <w:sz w:val="20"/>
          <w:szCs w:val="20"/>
          <w:color w:val="auto"/>
        </w:rPr>
      </w:pPr>
    </w:p>
    <w:p>
      <w:pPr>
        <w:jc w:val="both"/>
        <w:ind w:right="380" w:firstLine="351"/>
        <w:spacing w:after="0" w:line="262" w:lineRule="auto"/>
        <w:rPr>
          <w:sz w:val="20"/>
          <w:szCs w:val="20"/>
          <w:color w:val="auto"/>
        </w:rPr>
      </w:pPr>
      <w:r>
        <w:rPr>
          <w:rFonts w:ascii="Times New Roman" w:cs="Times New Roman" w:eastAsia="Times New Roman" w:hAnsi="Times New Roman"/>
          <w:sz w:val="18"/>
          <w:szCs w:val="18"/>
          <w:color w:val="auto"/>
        </w:rPr>
        <w:t xml:space="preserve">"Second Mortgage Notes Local Company Collateral Account Agreement(s)" means one or more control agreements with respect to the Soft Costs Cash Management Account, the Hard Costs Cash Management Account, the Company's Payment Account and the Operating Account substantially in the form of </w:t>
      </w:r>
      <w:r>
        <w:rPr>
          <w:rFonts w:ascii="Times New Roman" w:cs="Times New Roman" w:eastAsia="Times New Roman" w:hAnsi="Times New Roman"/>
          <w:sz w:val="18"/>
          <w:szCs w:val="18"/>
          <w:i w:val="1"/>
          <w:iCs w:val="1"/>
          <w:color w:val="auto"/>
        </w:rPr>
        <w:t xml:space="preserve">Exhibit Z-2 </w:t>
      </w:r>
      <w:r>
        <w:rPr>
          <w:rFonts w:ascii="Times New Roman" w:cs="Times New Roman" w:eastAsia="Times New Roman" w:hAnsi="Times New Roman"/>
          <w:sz w:val="18"/>
          <w:szCs w:val="18"/>
          <w:color w:val="auto"/>
        </w:rPr>
        <w:t>and entered into by a bank that is reasonably acceptable to the Disbursement Agent pursuant to</w:t>
      </w:r>
      <w:r>
        <w:rPr>
          <w:rFonts w:ascii="Times New Roman" w:cs="Times New Roman" w:eastAsia="Times New Roman" w:hAnsi="Times New Roman"/>
          <w:sz w:val="18"/>
          <w:szCs w:val="18"/>
          <w:i w:val="1"/>
          <w:iCs w:val="1"/>
          <w:color w:val="auto"/>
        </w:rPr>
        <w:t xml:space="preserve"> Sections 2.3.4, 2.3.8 and 2.3.9</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IP Security Agreement" means that certain Intellectual Property Security Agreement dated as of October 30, 2002 and made by Wynn Las Vegas and Capital Corp. for the benefit of the Indenture Trustee.</w:t>
      </w:r>
    </w:p>
    <w:p>
      <w:pPr>
        <w:spacing w:after="0" w:line="174"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Palo Deed of Trust" means that certain Deed of Trust dated as of October 30, 2002 between Palo as trustor, and Nevada Title Company as trustee, for the benefit of the Indenture Trustee as beneficiary.</w:t>
      </w:r>
    </w:p>
    <w:p>
      <w:pPr>
        <w:spacing w:after="0" w:line="174"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Parent Guarantee" means that certain Parent Guarantee dated as of October 30, 2002 entered into by Wynn Resorts, Limited for the benefit of the Indenture Trustee and the Second Mortgage Notes Holders.</w:t>
      </w:r>
    </w:p>
    <w:p>
      <w:pPr>
        <w:spacing w:after="0" w:line="174"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"Second Mortgage Notes Phase II Deed of Trust" means that certain Deed of Trust dated as of October 30, 2002 between Valvino as trustor, and Nevada Title Company as trustee, for the benefit of Indenture Trustee as beneficiary.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"Second Mortgage Notes Proceeds" means the amounts deposited in the Second Mortgage Notes Proceeds Account on the Closing Date.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"Second Mortgage Notes Proceeds Account" has the meaning given in the Second Mortgage Notes Collateral Account Agreement.</w:t>
      </w:r>
    </w:p>
    <w:p>
      <w:pPr>
        <w:spacing w:after="0" w:line="225" w:lineRule="exact"/>
        <w:rPr>
          <w:sz w:val="20"/>
          <w:szCs w:val="20"/>
          <w:color w:val="auto"/>
        </w:rPr>
      </w:pPr>
    </w:p>
    <w:p>
      <w:pPr>
        <w:jc w:val="both"/>
        <w:ind w:right="100" w:firstLine="351"/>
        <w:spacing w:after="0" w:line="310" w:lineRule="auto"/>
        <w:rPr>
          <w:sz w:val="20"/>
          <w:szCs w:val="20"/>
          <w:color w:val="auto"/>
        </w:rPr>
      </w:pPr>
      <w:r>
        <w:rPr>
          <w:rFonts w:ascii="Times New Roman" w:cs="Times New Roman" w:eastAsia="Times New Roman" w:hAnsi="Times New Roman"/>
          <w:sz w:val="16"/>
          <w:szCs w:val="16"/>
          <w:color w:val="auto"/>
        </w:rPr>
        <w:t>"Second Mortgage Notes Security Documents" means, collectively, the Second Mortgage Notes Deeds of Trust, the Second Mortgages Notes Guaranty and Collateral Agreement, the Second Mortgage Notes Parent Guarantee, the Collateral Agency Agreement, the Second Mortgage Notes IP Security Agreement, the Second Mortgage Notes Company Collateral Account Agreement, the Second Mortgage Notes Completion Guaranty Collateral Account Agreement, the Second</w:t>
      </w:r>
    </w:p>
    <w:p>
      <w:pPr>
        <w:sectPr>
          <w:pgSz w:w="11900" w:h="16838" w:orient="portrait"/>
          <w:cols w:equalWidth="0" w:num="1">
            <w:col w:w="11400"/>
          </w:cols>
          <w:pgMar w:left="240" w:top="123" w:right="259" w:bottom="0" w:gutter="0" w:footer="0" w:header="0"/>
        </w:sectPr>
      </w:pPr>
    </w:p>
    <w:bookmarkStart w:id="80" w:name="page81"/>
    <w:bookmarkEnd w:id="80"/>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Mortgage Notes Local Company Collateral Account Agreements, the Completion Guaranty and any guaranties, deeds of trust, security agreements or collateral account agreements executed from time to time by any of the Loan Parties or one or more of their direct or indirect Subsidiaries in favor of the Indenture Trustee or</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Mortgage Notes Holders to guaranty the obligations under the Second Mortgage Notes and the Second Mortgage Notes Indenture.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"Secured Parties" means, collectively, the Project Secured Parties and the FF&amp;E Secured Parties.</w:t>
      </w:r>
    </w:p>
    <w:p>
      <w:pPr>
        <w:spacing w:after="0" w:line="225"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"Securities Intermediary" means Deutsche Bank Trust Company Americas in its capacity as securities intermediary under the Company Collateral Account Agreements and the Completion Guaranty Collateral Account Agreements and Bank of America, N.A. in its capacity as securities intermediary under the Local Account Company Collateral Account Agreements and the FF&amp;E Local Company Collateral Account Agreement, in each case, and its successors in such capacity.</w:t>
      </w:r>
    </w:p>
    <w:p>
      <w:pPr>
        <w:spacing w:after="0" w:line="190"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"Security Documents" means, collectively and without duplication, the Bank Security Documents, the Second Mortgage Notes Security Documents, the FF&amp;E Security Documents, the Completion Guaranty, the Construction Guaranty, each Payment and Performance Bond, the Collateral Account Agreements, the Consents, and any other deeds of trust, security agreements or collateral account agreements entered into by any of the Loan Parties and/or one or more of their direct or indirect Subsidiaries for the benefit of any Secured Party in accordance with the terms of the Financing Agreements or the Intercreditor Agreements.</w:t>
      </w:r>
    </w:p>
    <w:p>
      <w:pPr>
        <w:spacing w:after="0" w:line="15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"Shuttle Easement" means that certain Easement Agreement dated as of October 30, 2002 by and among Wynn Resorts and Valvino, as grantors, and Wynn Las Vegas, as grantee.</w:t>
      </w:r>
    </w:p>
    <w:p>
      <w:pPr>
        <w:spacing w:after="0" w:line="17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"Site" means all or any portion of the Project, as described in </w:t>
      </w:r>
      <w:r>
        <w:rPr>
          <w:rFonts w:ascii="Times New Roman" w:cs="Times New Roman" w:eastAsia="Times New Roman" w:hAnsi="Times New Roman"/>
          <w:sz w:val="18"/>
          <w:szCs w:val="18"/>
          <w:i w:val="1"/>
          <w:iCs w:val="1"/>
          <w:color w:val="auto"/>
        </w:rPr>
        <w:t>Exhibit T-4</w:t>
      </w:r>
      <w:r>
        <w:rPr>
          <w:rFonts w:ascii="Times New Roman" w:cs="Times New Roman" w:eastAsia="Times New Roman" w:hAnsi="Times New Roman"/>
          <w:sz w:val="18"/>
          <w:szCs w:val="18"/>
          <w:color w:val="auto"/>
        </w:rPr>
        <w:t xml:space="preserve"> to the Disbursement Agreement. The Site includes the Casino Land, the Golf Course Land (including (a) the Water Utility Land, (b) the Wynn Home Site until such time (if ever) as the Wynn Home Site Release Conditions shall have been satisfied and (c) the Home Site Land and Palo Home Site Land until such time (if ever) as the release conditions set forth in </w:t>
      </w:r>
      <w:r>
        <w:rPr>
          <w:rFonts w:ascii="Times New Roman" w:cs="Times New Roman" w:eastAsia="Times New Roman" w:hAnsi="Times New Roman"/>
          <w:sz w:val="18"/>
          <w:szCs w:val="18"/>
          <w:i w:val="1"/>
          <w:iCs w:val="1"/>
          <w:color w:val="auto"/>
        </w:rPr>
        <w:t>Section 7.5(l)</w:t>
      </w:r>
      <w:r>
        <w:rPr>
          <w:rFonts w:ascii="Times New Roman" w:cs="Times New Roman" w:eastAsia="Times New Roman" w:hAnsi="Times New Roman"/>
          <w:sz w:val="18"/>
          <w:szCs w:val="18"/>
          <w:color w:val="auto"/>
        </w:rPr>
        <w:t xml:space="preserve"> of the Bank Credit Agreement and </w:t>
      </w:r>
      <w:r>
        <w:rPr>
          <w:rFonts w:ascii="Times New Roman" w:cs="Times New Roman" w:eastAsia="Times New Roman" w:hAnsi="Times New Roman"/>
          <w:sz w:val="18"/>
          <w:szCs w:val="18"/>
          <w:i w:val="1"/>
          <w:iCs w:val="1"/>
          <w:color w:val="auto"/>
        </w:rPr>
        <w:t>Section 10.03</w:t>
      </w:r>
      <w:r>
        <w:rPr>
          <w:rFonts w:ascii="Times New Roman" w:cs="Times New Roman" w:eastAsia="Times New Roman" w:hAnsi="Times New Roman"/>
          <w:sz w:val="18"/>
          <w:szCs w:val="18"/>
          <w:color w:val="auto"/>
        </w:rPr>
        <w:t xml:space="preserve"> of the Second Mortgage Notes Indenture shall have been satisfied), the Phase II Land (until such time (if ever) as the release conditions set forth in </w:t>
      </w:r>
      <w:r>
        <w:rPr>
          <w:rFonts w:ascii="Times New Roman" w:cs="Times New Roman" w:eastAsia="Times New Roman" w:hAnsi="Times New Roman"/>
          <w:sz w:val="18"/>
          <w:szCs w:val="18"/>
          <w:i w:val="1"/>
          <w:iCs w:val="1"/>
          <w:color w:val="auto"/>
        </w:rPr>
        <w:t>Sections 7.5(j), (k), (l) and (m)</w:t>
      </w:r>
      <w:r>
        <w:rPr>
          <w:rFonts w:ascii="Times New Roman" w:cs="Times New Roman" w:eastAsia="Times New Roman" w:hAnsi="Times New Roman"/>
          <w:sz w:val="18"/>
          <w:szCs w:val="18"/>
          <w:color w:val="auto"/>
        </w:rPr>
        <w:t xml:space="preserve"> of the Bank Credit Agreement and </w:t>
      </w:r>
      <w:r>
        <w:rPr>
          <w:rFonts w:ascii="Times New Roman" w:cs="Times New Roman" w:eastAsia="Times New Roman" w:hAnsi="Times New Roman"/>
          <w:sz w:val="18"/>
          <w:szCs w:val="18"/>
          <w:i w:val="1"/>
          <w:iCs w:val="1"/>
          <w:color w:val="auto"/>
        </w:rPr>
        <w:t>Section 10.03</w:t>
      </w:r>
      <w:r>
        <w:rPr>
          <w:rFonts w:ascii="Times New Roman" w:cs="Times New Roman" w:eastAsia="Times New Roman" w:hAnsi="Times New Roman"/>
          <w:sz w:val="18"/>
          <w:szCs w:val="18"/>
          <w:color w:val="auto"/>
        </w:rPr>
        <w:t xml:space="preserve"> of the Indenture shall have been satisfied) and any other real property which is subject to a lien under any Bank Deed of Trust or any Second Mortgage Notes Deed of Trust.</w:t>
      </w:r>
    </w:p>
    <w:p>
      <w:pPr>
        <w:spacing w:after="0" w:line="195" w:lineRule="exact"/>
        <w:rPr>
          <w:sz w:val="20"/>
          <w:szCs w:val="20"/>
          <w:color w:val="auto"/>
        </w:rPr>
      </w:pPr>
    </w:p>
    <w:p>
      <w:pPr>
        <w:jc w:val="both"/>
        <w:ind w:right="60" w:firstLine="351"/>
        <w:spacing w:after="0" w:line="258" w:lineRule="auto"/>
        <w:rPr>
          <w:sz w:val="20"/>
          <w:szCs w:val="20"/>
          <w:color w:val="auto"/>
        </w:rPr>
      </w:pPr>
      <w:r>
        <w:rPr>
          <w:rFonts w:ascii="Times New Roman" w:cs="Times New Roman" w:eastAsia="Times New Roman" w:hAnsi="Times New Roman"/>
          <w:sz w:val="18"/>
          <w:szCs w:val="18"/>
          <w:color w:val="auto"/>
        </w:rPr>
        <w:t xml:space="preserve">"Site Easements" means the easements appurtenant, easements in gross, license agreements and other rights running for the benefit of the Company and/or appurtenant to the Site, including, without limitation, those certain easements and licenses described in the Title Policy. The Site Easements include (a) the Golf Course Land Easements and (b) the Phase II Land Easements (until such time (if ever) as the release conditions set forth in </w:t>
      </w:r>
      <w:r>
        <w:rPr>
          <w:rFonts w:ascii="Times New Roman" w:cs="Times New Roman" w:eastAsia="Times New Roman" w:hAnsi="Times New Roman"/>
          <w:sz w:val="18"/>
          <w:szCs w:val="18"/>
          <w:i w:val="1"/>
          <w:iCs w:val="1"/>
          <w:color w:val="auto"/>
        </w:rPr>
        <w:t>Sections 7.5(j)</w:t>
      </w:r>
      <w:r>
        <w:rPr>
          <w:rFonts w:ascii="Times New Roman" w:cs="Times New Roman" w:eastAsia="Times New Roman" w:hAnsi="Times New Roman"/>
          <w:sz w:val="18"/>
          <w:szCs w:val="18"/>
          <w:color w:val="auto"/>
        </w:rPr>
        <w:t xml:space="preserve">, (k), (l) and (m) of the Bank Credit Agreement and </w:t>
      </w:r>
      <w:r>
        <w:rPr>
          <w:rFonts w:ascii="Times New Roman" w:cs="Times New Roman" w:eastAsia="Times New Roman" w:hAnsi="Times New Roman"/>
          <w:sz w:val="18"/>
          <w:szCs w:val="18"/>
          <w:i w:val="1"/>
          <w:iCs w:val="1"/>
          <w:color w:val="auto"/>
        </w:rPr>
        <w:t>Section 10.03</w:t>
      </w:r>
      <w:r>
        <w:rPr>
          <w:rFonts w:ascii="Times New Roman" w:cs="Times New Roman" w:eastAsia="Times New Roman" w:hAnsi="Times New Roman"/>
          <w:sz w:val="18"/>
          <w:szCs w:val="18"/>
          <w:color w:val="auto"/>
        </w:rPr>
        <w:t xml:space="preserve"> of the Second Mortgage Notes Indenture shall have been satisfied).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"Soft Costs" means the Project Costs set forth in the Project Budget under (a) the "Soft Cost Construction Contingency" Line Item under the "Construction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Contingency" Line Item Category, together with (b) following other Line Item Categories:</w:t>
      </w:r>
    </w:p>
    <w:p>
      <w:pPr>
        <w:spacing w:after="0" w:line="213" w:lineRule="exact"/>
        <w:rPr>
          <w:sz w:val="20"/>
          <w:szCs w:val="20"/>
          <w:color w:val="auto"/>
        </w:rPr>
      </w:pPr>
    </w:p>
    <w:p>
      <w:pPr>
        <w:ind w:left="1240" w:hanging="253"/>
        <w:spacing w:after="0"/>
        <w:tabs>
          <w:tab w:leader="none" w:pos="124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and Commitment Fees;</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and Expenses;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Engineering Fees;</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at Opening;</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w:t>
      </w:r>
    </w:p>
    <w:p>
      <w:pPr>
        <w:spacing w:after="0" w:line="225" w:lineRule="exact"/>
        <w:rPr>
          <w:rFonts w:ascii="Times New Roman" w:cs="Times New Roman" w:eastAsia="Times New Roman" w:hAnsi="Times New Roman"/>
          <w:sz w:val="18"/>
          <w:szCs w:val="18"/>
          <w:color w:val="auto"/>
        </w:rPr>
      </w:pPr>
    </w:p>
    <w:p>
      <w:pPr>
        <w:ind w:left="1200" w:hanging="388"/>
        <w:spacing w:after="0"/>
        <w:tabs>
          <w:tab w:leader="none" w:pos="12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Insurance/Utilities/Security;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hanging="448"/>
        <w:spacing w:after="0"/>
        <w:tabs>
          <w:tab w:leader="none" w:pos="12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Taxes;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Approvals and Permits; and</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Operating Costs.</w:t>
      </w:r>
    </w:p>
    <w:p>
      <w:pPr>
        <w:spacing w:after="0" w:line="223" w:lineRule="exact"/>
        <w:rPr>
          <w:sz w:val="20"/>
          <w:szCs w:val="20"/>
          <w:color w:val="auto"/>
        </w:rPr>
      </w:pPr>
    </w:p>
    <w:p>
      <w:pPr>
        <w:ind w:right="3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"Soft Costs Cash Management Account" means the account referenced in </w:t>
      </w:r>
      <w:r>
        <w:rPr>
          <w:rFonts w:ascii="Times New Roman" w:cs="Times New Roman" w:eastAsia="Times New Roman" w:hAnsi="Times New Roman"/>
          <w:sz w:val="18"/>
          <w:szCs w:val="18"/>
          <w:i w:val="1"/>
          <w:iCs w:val="1"/>
          <w:color w:val="auto"/>
        </w:rPr>
        <w:t>Section 2.3.4</w:t>
      </w:r>
      <w:r>
        <w:rPr>
          <w:rFonts w:ascii="Times New Roman" w:cs="Times New Roman" w:eastAsia="Times New Roman" w:hAnsi="Times New Roman"/>
          <w:sz w:val="18"/>
          <w:szCs w:val="18"/>
          <w:color w:val="auto"/>
        </w:rPr>
        <w:t xml:space="preserve"> of the Disbursement Agreement and established pursuant to the Local Account Company Collateral Account Agreements.</w:t>
      </w:r>
    </w:p>
    <w:p>
      <w:pPr>
        <w:spacing w:after="0" w:line="172"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"Solvent"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(d) such Person will be able to pay its debts as they mature, and (e) such Person is not insolvent within the meaning of any applicable Requirements of Law. For purposes of this definition, (i) "debt" means liability on a "claim", and (ii) "claim" means any (x) right to payment, whether or not such a right is reduced to judgment, liquidated,</w:t>
      </w:r>
    </w:p>
    <w:p>
      <w:pPr>
        <w:sectPr>
          <w:pgSz w:w="11900" w:h="16838" w:orient="portrait"/>
          <w:cols w:equalWidth="0" w:num="1">
            <w:col w:w="11340"/>
          </w:cols>
          <w:pgMar w:left="240" w:top="125" w:right="319" w:bottom="0" w:gutter="0" w:footer="0" w:header="0"/>
        </w:sectPr>
      </w:pPr>
    </w:p>
    <w:bookmarkStart w:id="81" w:name="page82"/>
    <w:bookmarkEnd w:id="81"/>
    <w:p>
      <w:pPr>
        <w:ind w:right="20"/>
        <w:spacing w:after="0" w:line="262" w:lineRule="auto"/>
        <w:rPr>
          <w:sz w:val="20"/>
          <w:szCs w:val="20"/>
          <w:color w:val="auto"/>
        </w:rPr>
      </w:pPr>
      <w:r>
        <w:rPr>
          <w:rFonts w:ascii="Times New Roman" w:cs="Times New Roman" w:eastAsia="Times New Roman" w:hAnsi="Times New Roman"/>
          <w:sz w:val="18"/>
          <w:szCs w:val="18"/>
          <w:color w:val="auto"/>
        </w:rPr>
        <w:t>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"Stop Funding Notice" has the meaning given in </w:t>
      </w:r>
      <w:r>
        <w:rPr>
          <w:rFonts w:ascii="Times New Roman" w:cs="Times New Roman" w:eastAsia="Times New Roman" w:hAnsi="Times New Roman"/>
          <w:sz w:val="18"/>
          <w:szCs w:val="18"/>
          <w:i w:val="1"/>
          <w:iCs w:val="1"/>
          <w:color w:val="auto"/>
        </w:rPr>
        <w:t>Section 2.4.3(b)</w:t>
      </w:r>
      <w:r>
        <w:rPr>
          <w:rFonts w:ascii="Times New Roman" w:cs="Times New Roman" w:eastAsia="Times New Roman" w:hAnsi="Times New Roman"/>
          <w:sz w:val="18"/>
          <w:szCs w:val="18"/>
          <w:color w:val="auto"/>
        </w:rPr>
        <w:t xml:space="preserve"> of the Disbursement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"Stop Funding Request" has the meaning given in </w:t>
      </w:r>
      <w:r>
        <w:rPr>
          <w:rFonts w:ascii="Times New Roman" w:cs="Times New Roman" w:eastAsia="Times New Roman" w:hAnsi="Times New Roman"/>
          <w:sz w:val="18"/>
          <w:szCs w:val="18"/>
          <w:i w:val="1"/>
          <w:iCs w:val="1"/>
          <w:color w:val="auto"/>
        </w:rPr>
        <w:t>Section 2.4.4(b)</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"Subcontract" means any subcontract or purchase order entered into with any Subcontractor.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"Subcontractor" means any direct or indirect subcontractor of any tier under any Contract.</w:t>
      </w:r>
    </w:p>
    <w:p>
      <w:pPr>
        <w:spacing w:after="0" w:line="22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"Subsidiary"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the Disbursement Agreement shall refer to a Subsidiary or Subsidiaries of Wynn Las Vegas.</w:t>
      </w:r>
    </w:p>
    <w:p>
      <w:pPr>
        <w:spacing w:after="0" w:line="191"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"Summary Anticipated Cost Report" means an Anticipated Cost Report in the form of </w:t>
      </w:r>
      <w:r>
        <w:rPr>
          <w:rFonts w:ascii="Times New Roman" w:cs="Times New Roman" w:eastAsia="Times New Roman" w:hAnsi="Times New Roman"/>
          <w:sz w:val="18"/>
          <w:szCs w:val="18"/>
          <w:i w:val="1"/>
          <w:iCs w:val="1"/>
          <w:color w:val="auto"/>
        </w:rPr>
        <w:t>Exhibit H-2</w:t>
      </w:r>
      <w:r>
        <w:rPr>
          <w:rFonts w:ascii="Times New Roman" w:cs="Times New Roman" w:eastAsia="Times New Roman" w:hAnsi="Times New Roman"/>
          <w:sz w:val="18"/>
          <w:szCs w:val="18"/>
          <w:color w:val="auto"/>
        </w:rPr>
        <w:t xml:space="preserve"> to the Disbursement Agreement and which provides the information indicated therein segregated by each Line Item Category.</w:t>
      </w:r>
    </w:p>
    <w:p>
      <w:pPr>
        <w:spacing w:after="0" w:line="172" w:lineRule="exact"/>
        <w:rPr>
          <w:sz w:val="20"/>
          <w:szCs w:val="20"/>
          <w:color w:val="auto"/>
        </w:rPr>
      </w:pPr>
    </w:p>
    <w:p>
      <w:pPr>
        <w:ind w:right="340" w:firstLine="351"/>
        <w:spacing w:after="0" w:line="310" w:lineRule="auto"/>
        <w:rPr>
          <w:sz w:val="20"/>
          <w:szCs w:val="20"/>
          <w:color w:val="auto"/>
        </w:rPr>
      </w:pPr>
      <w:r>
        <w:rPr>
          <w:rFonts w:ascii="Times New Roman" w:cs="Times New Roman" w:eastAsia="Times New Roman" w:hAnsi="Times New Roman"/>
          <w:sz w:val="16"/>
          <w:szCs w:val="16"/>
          <w:color w:val="auto"/>
        </w:rPr>
        <w:t>"Tax" shall mean shall mean any federal, state, local, foreign or other tax, levy, impost, fee, assessment or other government charge, including without limitation income, estimated income, business, occupation, franchise, property, payroll, personal property, sales, transfer, use, employment, commercial rent, occupancy, franchise or withholding taxes, and any premium, including without limitation interest, penalties and additions in connection therewith.</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"Term Loans" has the meaning given in the Bank Credit Agreement.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"Third Party Claims" has the meaning given in </w:t>
      </w:r>
      <w:r>
        <w:rPr>
          <w:rFonts w:ascii="Times New Roman" w:cs="Times New Roman" w:eastAsia="Times New Roman" w:hAnsi="Times New Roman"/>
          <w:sz w:val="18"/>
          <w:szCs w:val="18"/>
          <w:i w:val="1"/>
          <w:iCs w:val="1"/>
          <w:color w:val="auto"/>
        </w:rPr>
        <w:t>Section 10.3</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"Third Party Financing Agreement" means any loan or security document entered into on, prior to, or after the Closing Date with parties other than any one or more of the Bank Agent, the Indenture Trustee or the FF&amp;E Lender.</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Insurer" means Nevada Title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"Title Policies" means, collectively, the policies of title insurance issued by Title Insurer as of the Closing Date, as provided in </w:t>
      </w:r>
      <w:r>
        <w:rPr>
          <w:rFonts w:ascii="Times New Roman" w:cs="Times New Roman" w:eastAsia="Times New Roman" w:hAnsi="Times New Roman"/>
          <w:sz w:val="18"/>
          <w:szCs w:val="18"/>
          <w:i w:val="1"/>
          <w:iCs w:val="1"/>
          <w:color w:val="auto"/>
        </w:rPr>
        <w:t>Section 3.1.28(i)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and</w:t>
      </w:r>
    </w:p>
    <w:p>
      <w:pPr>
        <w:spacing w:after="0" w:line="23" w:lineRule="exact"/>
        <w:rPr>
          <w:sz w:val="20"/>
          <w:szCs w:val="20"/>
          <w:color w:val="auto"/>
        </w:rPr>
      </w:pPr>
    </w:p>
    <w:p>
      <w:pPr>
        <w:ind w:left="360" w:right="1740" w:hanging="352"/>
        <w:spacing w:after="0" w:line="492" w:lineRule="auto"/>
        <w:tabs>
          <w:tab w:leader="none" w:pos="316" w:val="left"/>
        </w:tabs>
        <w:numPr>
          <w:ilvl w:val="0"/>
          <w:numId w:val="1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of the Disbursement Agreement, including all amendments thereto, endorsements thereof and substitutions or replacements therefor. "Trust Estate" shall have, with respect to each Deed of Trust, the meaning set forth in such Deed of Trust.</w:t>
      </w:r>
    </w:p>
    <w:p>
      <w:pPr>
        <w:spacing w:after="0" w:line="1"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 xml:space="preserve">"Twenty Five Percent Completion Date" means the date the following conditions have been satisfied as set forth in a certificate in the form of </w:t>
      </w:r>
      <w:r>
        <w:rPr>
          <w:rFonts w:ascii="Times New Roman" w:cs="Times New Roman" w:eastAsia="Times New Roman" w:hAnsi="Times New Roman"/>
          <w:sz w:val="16"/>
          <w:szCs w:val="16"/>
          <w:i w:val="1"/>
          <w:iCs w:val="1"/>
          <w:color w:val="auto"/>
        </w:rPr>
        <w:t>Exhibit V-1</w:t>
      </w:r>
      <w:r>
        <w:rPr>
          <w:rFonts w:ascii="Times New Roman" w:cs="Times New Roman" w:eastAsia="Times New Roman" w:hAnsi="Times New Roman"/>
          <w:sz w:val="16"/>
          <w:szCs w:val="16"/>
          <w:color w:val="auto"/>
        </w:rPr>
        <w:t xml:space="preserve"> to the Disbursement Agreement delivered by the Company and (other than with respect to clause (b)(B) below) a certificate in the form of </w:t>
      </w:r>
      <w:r>
        <w:rPr>
          <w:rFonts w:ascii="Times New Roman" w:cs="Times New Roman" w:eastAsia="Times New Roman" w:hAnsi="Times New Roman"/>
          <w:sz w:val="16"/>
          <w:szCs w:val="16"/>
          <w:i w:val="1"/>
          <w:iCs w:val="1"/>
          <w:color w:val="auto"/>
        </w:rPr>
        <w:t>Exhibit V-2</w:t>
      </w:r>
      <w:r>
        <w:rPr>
          <w:rFonts w:ascii="Times New Roman" w:cs="Times New Roman" w:eastAsia="Times New Roman" w:hAnsi="Times New Roman"/>
          <w:sz w:val="16"/>
          <w:szCs w:val="16"/>
          <w:color w:val="auto"/>
        </w:rPr>
        <w:t xml:space="preserve"> to the Disbursement Agreement delivered by the Construction Consultant: (a) 25% of the work required to achieve completion of the Project has been completed (determined by (i) the amount of Hard Costs incurred to such date and allocated to the "Marnell Corrao GMP Contract," "Interior Furnishings/Signage/Electronic Systems," "Miscellaneous Capital Projects," "Golf Course" and "Parking Garage" Line Item Categories under the Project Budget, as compared to (ii) the total amount of Hard Costs set forth in the Project Budget (as then in effect) under the following Line Item Categories:"Marnell Corrao GMP Contract," "Interior Furnishings/Signage/Electronic Systems," "Miscellaneous Capital Projects," "Golf Course" and "Parking Garage"), and (b) all Contractors and Subcontractors have been paid in full for work performed through such date or will be paid in full with the pending Advance Request (other than (A) Retainage Amounts, and other amounts, that, as of the Twenty Five Percent Completion Date, are being withheld from the Contractors and Subcontractors in accordance with the provisions of the Project Documents, and (B) amounts being contested in accordance with the Financing Agreements so long as adequate reserves have been established through an allocation in the Anticipated Cost Report and in accordance with any requirements of such Financing Agreements) and have provided lien waivers to the extent required under </w:t>
      </w:r>
      <w:r>
        <w:rPr>
          <w:rFonts w:ascii="Times New Roman" w:cs="Times New Roman" w:eastAsia="Times New Roman" w:hAnsi="Times New Roman"/>
          <w:sz w:val="16"/>
          <w:szCs w:val="16"/>
          <w:i w:val="1"/>
          <w:iCs w:val="1"/>
          <w:color w:val="auto"/>
        </w:rPr>
        <w:t>Section 3.3.7</w:t>
      </w:r>
      <w:r>
        <w:rPr>
          <w:rFonts w:ascii="Times New Roman" w:cs="Times New Roman" w:eastAsia="Times New Roman" w:hAnsi="Times New Roman"/>
          <w:sz w:val="16"/>
          <w:szCs w:val="16"/>
          <w:color w:val="auto"/>
        </w:rPr>
        <w:t xml:space="preserve"> of the Disbursement Agreement for all work performed prior to the Twenty Five Percent Completion Date.</w:t>
      </w:r>
    </w:p>
    <w:p>
      <w:pPr>
        <w:spacing w:after="0" w:line="3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"UCC" means the Uniform Commercial Code of the jurisdiction the law of which governs the document with respect to the term is used.</w:t>
      </w:r>
    </w:p>
    <w:p>
      <w:pPr>
        <w:spacing w:after="0" w:line="22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"Unallocated Contingency Balance" means, from time to time, the amount of the "Construction Contingency" Line Item Category as set forth in the Project Budget then in effect.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"Unincorporated Materials" has the meaning given in </w:t>
      </w:r>
      <w:r>
        <w:rPr>
          <w:rFonts w:ascii="Times New Roman" w:cs="Times New Roman" w:eastAsia="Times New Roman" w:hAnsi="Times New Roman"/>
          <w:sz w:val="18"/>
          <w:szCs w:val="18"/>
          <w:i w:val="1"/>
          <w:iCs w:val="1"/>
          <w:color w:val="auto"/>
        </w:rPr>
        <w:t>Section 3.3.26</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"Valvino" means Valvino Lamore, LLC, a Nevada limited liability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"Valvino Permitted Encumbrances" has the meaning given in </w:t>
      </w:r>
      <w:r>
        <w:rPr>
          <w:rFonts w:ascii="Times New Roman" w:cs="Times New Roman" w:eastAsia="Times New Roman" w:hAnsi="Times New Roman"/>
          <w:sz w:val="18"/>
          <w:szCs w:val="18"/>
          <w:i w:val="1"/>
          <w:iCs w:val="1"/>
          <w:color w:val="auto"/>
        </w:rPr>
        <w:t>Section 3.1.28</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"Water Supply Contract" means that certain [water supply contract] between Desert Inn Improvement, as supplier, and Wynn Las Vegas, as purchaser, dated as of October 30, 2002.</w:t>
      </w:r>
    </w:p>
    <w:p>
      <w:pPr>
        <w:spacing w:after="0" w:line="174"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 xml:space="preserve">"Water Utility Land" means the approximately 0.17-acre tract of land located on the Golf Course owned by Desert Inn Improvement, as more particularly described in </w:t>
      </w:r>
      <w:r>
        <w:rPr>
          <w:rFonts w:ascii="Times New Roman" w:cs="Times New Roman" w:eastAsia="Times New Roman" w:hAnsi="Times New Roman"/>
          <w:sz w:val="18"/>
          <w:szCs w:val="18"/>
          <w:i w:val="1"/>
          <w:iCs w:val="1"/>
          <w:color w:val="auto"/>
        </w:rPr>
        <w:t>Exhibit T-4</w:t>
      </w:r>
      <w:r>
        <w:rPr>
          <w:rFonts w:ascii="Times New Roman" w:cs="Times New Roman" w:eastAsia="Times New Roman" w:hAnsi="Times New Roman"/>
          <w:sz w:val="18"/>
          <w:szCs w:val="18"/>
          <w:color w:val="auto"/>
        </w:rPr>
        <w:t xml:space="preserve"> of the Disbursement Agreement.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"World Travel" means World Travel, LLC, a Nevada limited liability company.</w:t>
      </w:r>
    </w:p>
    <w:p>
      <w:pPr>
        <w:sectPr>
          <w:pgSz w:w="11900" w:h="16838" w:orient="portrait"/>
          <w:cols w:equalWidth="0" w:num="1">
            <w:col w:w="11360"/>
          </w:cols>
          <w:pgMar w:left="240" w:top="125" w:right="299" w:bottom="5" w:gutter="0" w:footer="0" w:header="0"/>
        </w:sectPr>
      </w:pPr>
    </w:p>
    <w:bookmarkStart w:id="82" w:name="page83"/>
    <w:bookmarkEnd w:id="82"/>
    <w:p>
      <w:pPr>
        <w:ind w:left="360"/>
        <w:spacing w:after="0"/>
        <w:rPr>
          <w:sz w:val="20"/>
          <w:szCs w:val="20"/>
          <w:color w:val="auto"/>
        </w:rPr>
      </w:pPr>
      <w:r>
        <w:rPr>
          <w:rFonts w:ascii="Times New Roman" w:cs="Times New Roman" w:eastAsia="Times New Roman" w:hAnsi="Times New Roman"/>
          <w:sz w:val="18"/>
          <w:szCs w:val="18"/>
          <w:color w:val="auto"/>
        </w:rPr>
        <w:t>"Wynn Design" means Wynn Design and Development, LLC, a Nevada limited liability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"Wynn Home Site" means the approximately two-acre tract of land located on the Golf Course where Stephen A. Wynn's personal residence may be built.</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Home Site Release Conditions" means:</w:t>
      </w:r>
    </w:p>
    <w:p>
      <w:pPr>
        <w:spacing w:after="0" w:line="223" w:lineRule="exact"/>
        <w:rPr>
          <w:sz w:val="20"/>
          <w:szCs w:val="20"/>
          <w:color w:val="auto"/>
        </w:rPr>
      </w:pPr>
    </w:p>
    <w:p>
      <w:pPr>
        <w:ind w:left="1180" w:hanging="281"/>
        <w:spacing w:after="0"/>
        <w:tabs>
          <w:tab w:leader="none" w:pos="11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Bank Agent shall have confirmed that the conditions set forth in </w:t>
      </w:r>
      <w:r>
        <w:rPr>
          <w:rFonts w:ascii="Times New Roman" w:cs="Times New Roman" w:eastAsia="Times New Roman" w:hAnsi="Times New Roman"/>
          <w:sz w:val="16"/>
          <w:szCs w:val="16"/>
          <w:i w:val="1"/>
          <w:iCs w:val="1"/>
          <w:color w:val="auto"/>
        </w:rPr>
        <w:t>Section 7.5(j)</w:t>
      </w:r>
      <w:r>
        <w:rPr>
          <w:rFonts w:ascii="Times New Roman" w:cs="Times New Roman" w:eastAsia="Times New Roman" w:hAnsi="Times New Roman"/>
          <w:sz w:val="16"/>
          <w:szCs w:val="16"/>
          <w:color w:val="auto"/>
        </w:rPr>
        <w:t xml:space="preserve"> of the Bank Credit Agreement shall have been satisfied; and</w:t>
      </w:r>
    </w:p>
    <w:p>
      <w:pPr>
        <w:spacing w:after="0" w:line="248" w:lineRule="exact"/>
        <w:rPr>
          <w:rFonts w:ascii="Times New Roman" w:cs="Times New Roman" w:eastAsia="Times New Roman" w:hAnsi="Times New Roman"/>
          <w:sz w:val="16"/>
          <w:szCs w:val="16"/>
          <w:color w:val="auto"/>
        </w:rPr>
      </w:pPr>
    </w:p>
    <w:p>
      <w:pPr>
        <w:ind w:left="540" w:right="320" w:firstLine="359"/>
        <w:spacing w:after="0" w:line="277" w:lineRule="auto"/>
        <w:tabs>
          <w:tab w:leader="none" w:pos="118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Indenture Trustee shall have confirmed that all the conditions set forth in </w:t>
      </w:r>
      <w:r>
        <w:rPr>
          <w:rFonts w:ascii="Times New Roman" w:cs="Times New Roman" w:eastAsia="Times New Roman" w:hAnsi="Times New Roman"/>
          <w:sz w:val="18"/>
          <w:szCs w:val="18"/>
          <w:i w:val="1"/>
          <w:iCs w:val="1"/>
          <w:color w:val="auto"/>
        </w:rPr>
        <w:t>Section 10.03(d)</w:t>
      </w:r>
      <w:r>
        <w:rPr>
          <w:rFonts w:ascii="Times New Roman" w:cs="Times New Roman" w:eastAsia="Times New Roman" w:hAnsi="Times New Roman"/>
          <w:sz w:val="18"/>
          <w:szCs w:val="18"/>
          <w:color w:val="auto"/>
        </w:rPr>
        <w:t xml:space="preserve"> of the Second Mortgage Notes Indenture shall have been satisfied.</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means Wynn Las Vegas, LLC, a Nevada limited liability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"Wynn Las Vegas Permitted Encumbrances" has the meaning given in </w:t>
      </w:r>
      <w:r>
        <w:rPr>
          <w:rFonts w:ascii="Times New Roman" w:cs="Times New Roman" w:eastAsia="Times New Roman" w:hAnsi="Times New Roman"/>
          <w:sz w:val="18"/>
          <w:szCs w:val="18"/>
          <w:i w:val="1"/>
          <w:iCs w:val="1"/>
          <w:color w:val="auto"/>
        </w:rPr>
        <w:t>Section 3.1.28</w:t>
      </w:r>
      <w:r>
        <w:rPr>
          <w:rFonts w:ascii="Times New Roman" w:cs="Times New Roman" w:eastAsia="Times New Roman" w:hAnsi="Times New Roman"/>
          <w:sz w:val="18"/>
          <w:szCs w:val="18"/>
          <w:color w:val="auto"/>
        </w:rPr>
        <w:t xml:space="preserve"> of the Disbursement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Resorts Holdings" means Wynn Resorts Holdings, LLC, a Nevada limited liability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"Wynn Resorts Holdings Permitted Encumbrances" has the meaning given in </w:t>
      </w:r>
      <w:r>
        <w:rPr>
          <w:rFonts w:ascii="Times New Roman" w:cs="Times New Roman" w:eastAsia="Times New Roman" w:hAnsi="Times New Roman"/>
          <w:sz w:val="18"/>
          <w:szCs w:val="18"/>
          <w:i w:val="1"/>
          <w:iCs w:val="1"/>
          <w:color w:val="auto"/>
        </w:rPr>
        <w:t>Section 3.1.28</w:t>
      </w:r>
      <w:r>
        <w:rPr>
          <w:rFonts w:ascii="Times New Roman" w:cs="Times New Roman" w:eastAsia="Times New Roman" w:hAnsi="Times New Roman"/>
          <w:sz w:val="18"/>
          <w:szCs w:val="18"/>
          <w:color w:val="auto"/>
        </w:rPr>
        <w:t xml:space="preserve"> of the Disbursement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p>
      <w:pPr>
        <w:spacing w:after="0" w:line="229" w:lineRule="exact"/>
        <w:rPr>
          <w:sz w:val="20"/>
          <w:szCs w:val="20"/>
          <w:color w:val="auto"/>
        </w:rPr>
      </w:pPr>
    </w:p>
    <w:p>
      <w:pPr>
        <w:ind w:left="660" w:hanging="21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the plural includes the singular.</w:t>
      </w:r>
    </w:p>
    <w:p>
      <w:pPr>
        <w:spacing w:after="0" w:line="225" w:lineRule="exact"/>
        <w:rPr>
          <w:rFonts w:ascii="Times New Roman" w:cs="Times New Roman" w:eastAsia="Times New Roman" w:hAnsi="Times New Roman"/>
          <w:sz w:val="18"/>
          <w:szCs w:val="18"/>
          <w:color w:val="auto"/>
        </w:rPr>
      </w:pPr>
    </w:p>
    <w:p>
      <w:pPr>
        <w:ind w:left="660" w:hanging="21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225" w:lineRule="exact"/>
        <w:rPr>
          <w:rFonts w:ascii="Times New Roman" w:cs="Times New Roman" w:eastAsia="Times New Roman" w:hAnsi="Times New Roman"/>
          <w:sz w:val="18"/>
          <w:szCs w:val="18"/>
          <w:color w:val="auto"/>
        </w:rPr>
      </w:pPr>
    </w:p>
    <w:p>
      <w:pPr>
        <w:ind w:right="280" w:firstLine="447"/>
        <w:spacing w:after="0" w:line="275" w:lineRule="auto"/>
        <w:tabs>
          <w:tab w:leader="none" w:pos="6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Legal Requirement includes any amendment or modification of such Legal Requirement, and all regulations, rulings and other Legal Requirements promulgated under such Legal Requirement.</w:t>
      </w:r>
    </w:p>
    <w:p>
      <w:pPr>
        <w:spacing w:after="0" w:line="173" w:lineRule="exact"/>
        <w:rPr>
          <w:rFonts w:ascii="Times New Roman" w:cs="Times New Roman" w:eastAsia="Times New Roman" w:hAnsi="Times New Roman"/>
          <w:sz w:val="18"/>
          <w:szCs w:val="18"/>
          <w:color w:val="auto"/>
        </w:rPr>
      </w:pPr>
    </w:p>
    <w:p>
      <w:pPr>
        <w:ind w:left="660" w:hanging="21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includes its permitted successors and permitted assigns.</w:t>
      </w:r>
    </w:p>
    <w:p>
      <w:pPr>
        <w:spacing w:after="0" w:line="225" w:lineRule="exact"/>
        <w:rPr>
          <w:rFonts w:ascii="Times New Roman" w:cs="Times New Roman" w:eastAsia="Times New Roman" w:hAnsi="Times New Roman"/>
          <w:sz w:val="18"/>
          <w:szCs w:val="18"/>
          <w:color w:val="auto"/>
        </w:rPr>
      </w:pPr>
    </w:p>
    <w:p>
      <w:pPr>
        <w:ind w:left="660" w:hanging="21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have the meanings assigned to them by U.S. GAAP, as applied by the accounting entity to which they refer.</w:t>
      </w:r>
    </w:p>
    <w:p>
      <w:pPr>
        <w:spacing w:after="0" w:line="225" w:lineRule="exact"/>
        <w:rPr>
          <w:rFonts w:ascii="Times New Roman" w:cs="Times New Roman" w:eastAsia="Times New Roman" w:hAnsi="Times New Roman"/>
          <w:sz w:val="18"/>
          <w:szCs w:val="18"/>
          <w:color w:val="auto"/>
        </w:rPr>
      </w:pPr>
    </w:p>
    <w:p>
      <w:pPr>
        <w:ind w:left="660" w:hanging="21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are not limiting.</w:t>
      </w:r>
    </w:p>
    <w:p>
      <w:pPr>
        <w:spacing w:after="0" w:line="225" w:lineRule="exact"/>
        <w:rPr>
          <w:rFonts w:ascii="Times New Roman" w:cs="Times New Roman" w:eastAsia="Times New Roman" w:hAnsi="Times New Roman"/>
          <w:sz w:val="18"/>
          <w:szCs w:val="18"/>
          <w:color w:val="auto"/>
        </w:rPr>
      </w:pPr>
    </w:p>
    <w:p>
      <w:pPr>
        <w:ind w:left="660" w:hanging="213"/>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a document to an Article, Section, Exhibit, Schedule, Annex or Appendix is to the Article, Section, Exhibit, Schedule, Annex or</w:t>
      </w:r>
    </w:p>
    <w:p>
      <w:pPr>
        <w:spacing w:after="0" w:line="21" w:lineRule="exact"/>
        <w:rPr>
          <w:rFonts w:ascii="Times New Roman" w:cs="Times New Roman" w:eastAsia="Times New Roman" w:hAnsi="Times New Roman"/>
          <w:sz w:val="18"/>
          <w:szCs w:val="18"/>
          <w:color w:val="auto"/>
        </w:rPr>
      </w:pPr>
    </w:p>
    <w:p>
      <w:pPr>
        <w:ind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of such document unless otherwise indicated. Exhibits, Schedules, Annexes or Appendices to any document shall be deemed incorporated by reference in such document.</w:t>
      </w:r>
    </w:p>
    <w:p>
      <w:pPr>
        <w:spacing w:after="0" w:line="185" w:lineRule="exact"/>
        <w:rPr>
          <w:rFonts w:ascii="Times New Roman" w:cs="Times New Roman" w:eastAsia="Times New Roman" w:hAnsi="Times New Roman"/>
          <w:sz w:val="18"/>
          <w:szCs w:val="18"/>
          <w:color w:val="auto"/>
        </w:rPr>
      </w:pPr>
    </w:p>
    <w:p>
      <w:pPr>
        <w:ind w:right="120" w:firstLine="447"/>
        <w:spacing w:after="0" w:line="258" w:lineRule="auto"/>
        <w:tabs>
          <w:tab w:leader="none" w:pos="65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document, instrument or agreement (a) shall include all exhibits, schedules and other attachments thereto, (b) shall include all documents, instruments or agreements issued or executed in replacement thereof, and (c) shall mean, unless specifically indicated, such document, instrument or agreement as in effect on the date hereof, notwithstanding any termination, such expiration or amendment of such agreement unless all of the parties to the Disbursement Agreement are signatories to such amendment, in which case any references shall be to such agreement as so amended.</w:t>
      </w:r>
    </w:p>
    <w:p>
      <w:pPr>
        <w:spacing w:after="0" w:line="190" w:lineRule="exact"/>
        <w:rPr>
          <w:rFonts w:ascii="Times New Roman" w:cs="Times New Roman" w:eastAsia="Times New Roman" w:hAnsi="Times New Roman"/>
          <w:sz w:val="18"/>
          <w:szCs w:val="18"/>
          <w:color w:val="auto"/>
        </w:rPr>
      </w:pPr>
    </w:p>
    <w:p>
      <w:pPr>
        <w:ind w:right="120" w:firstLine="447"/>
        <w:spacing w:after="0" w:line="275"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any document shall refer to such document as a whole and not to any particular provision of such document.</w:t>
      </w:r>
    </w:p>
    <w:p>
      <w:pPr>
        <w:spacing w:after="0" w:line="173"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shall mean calendar days, unless the term "Banking Days" shall be used.</w:t>
      </w:r>
    </w:p>
    <w:p>
      <w:pPr>
        <w:spacing w:after="0" w:line="225" w:lineRule="exact"/>
        <w:rPr>
          <w:rFonts w:ascii="Times New Roman" w:cs="Times New Roman" w:eastAsia="Times New Roman" w:hAnsi="Times New Roman"/>
          <w:sz w:val="18"/>
          <w:szCs w:val="18"/>
          <w:color w:val="auto"/>
        </w:rPr>
      </w:pPr>
    </w:p>
    <w:p>
      <w:pPr>
        <w:ind w:right="120" w:firstLine="359"/>
        <w:spacing w:after="0" w:line="262" w:lineRule="auto"/>
        <w:tabs>
          <w:tab w:leader="none" w:pos="6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Agreements are the result of negotiations among, and have been reviewed by, the Company, Valvino, Valvino's subsidiaries, the Funding Agents, the Lenders and the Disbursement Agent. Accordingly, the Financing Agreements shall be deemed to be the product of all parties thereto, and no ambiguity shall be construed in favor of or against any such Person.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J</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 Disbursement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 Reve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Project Timeline with Key Dates</w:t>
      </w:r>
    </w:p>
    <w:p>
      <w:pPr>
        <w:sectPr>
          <w:pgSz w:w="11900" w:h="16838" w:orient="portrait"/>
          <w:cols w:equalWidth="0" w:num="1">
            <w:col w:w="11420"/>
          </w:cols>
          <w:pgMar w:left="240" w:top="125" w:right="2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806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78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T-2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the Disbursement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Eligible FF&amp;E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Elevators and Escalators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 Generators and Power Supplies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 keeping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Laundry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and surveillance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Theater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Z-1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the Disbursement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LOCAL BANK COLLATERAL ACCOUNT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LOCAL BANK COLLATERAL ACCOUNT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dated as of October 30, 2002 and entered into by and among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LAS VEGAS, LLC</w:t>
      </w:r>
      <w:r>
        <w:rPr>
          <w:rFonts w:ascii="Times New Roman" w:cs="Times New Roman" w:eastAsia="Times New Roman" w:hAnsi="Times New Roman"/>
          <w:sz w:val="18"/>
          <w:szCs w:val="18"/>
          <w:color w:val="auto"/>
        </w:rPr>
        <w:t>, a Nevada limited liability company ("</w:t>
      </w:r>
      <w:r>
        <w:rPr>
          <w:rFonts w:ascii="Times New Roman" w:cs="Times New Roman" w:eastAsia="Times New Roman" w:hAnsi="Times New Roman"/>
          <w:sz w:val="18"/>
          <w:szCs w:val="18"/>
          <w:b w:val="1"/>
          <w:bCs w:val="1"/>
          <w:color w:val="auto"/>
        </w:rPr>
        <w:t>Wynn Las Vegas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WYNN LAS VEGAS CAPITAL CORP.</w:t>
      </w:r>
      <w:r>
        <w:rPr>
          <w:rFonts w:ascii="Times New Roman" w:cs="Times New Roman" w:eastAsia="Times New Roman" w:hAnsi="Times New Roman"/>
          <w:sz w:val="18"/>
          <w:szCs w:val="18"/>
          <w:color w:val="auto"/>
        </w:rPr>
        <w:t>, a Nevada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Corp.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WYNN DESIGN &amp; DEVELOPMENT, LLC</w:t>
      </w:r>
      <w:r>
        <w:rPr>
          <w:rFonts w:ascii="Times New Roman" w:cs="Times New Roman" w:eastAsia="Times New Roman" w:hAnsi="Times New Roman"/>
          <w:sz w:val="16"/>
          <w:szCs w:val="16"/>
          <w:color w:val="auto"/>
        </w:rPr>
        <w:t>, a Nevada limited liability company ("</w:t>
      </w:r>
      <w:r>
        <w:rPr>
          <w:rFonts w:ascii="Times New Roman" w:cs="Times New Roman" w:eastAsia="Times New Roman" w:hAnsi="Times New Roman"/>
          <w:sz w:val="16"/>
          <w:szCs w:val="16"/>
          <w:b w:val="1"/>
          <w:bCs w:val="1"/>
          <w:color w:val="auto"/>
        </w:rPr>
        <w:t>Wynn Design</w:t>
      </w:r>
      <w:r>
        <w:rPr>
          <w:rFonts w:ascii="Times New Roman" w:cs="Times New Roman" w:eastAsia="Times New Roman" w:hAnsi="Times New Roman"/>
          <w:sz w:val="16"/>
          <w:szCs w:val="16"/>
          <w:color w:val="auto"/>
        </w:rPr>
        <w:t>" and, jointly and severally with Wynn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 Vegas and Capital Corp., "</w:t>
      </w:r>
      <w:r>
        <w:rPr>
          <w:rFonts w:ascii="Times New Roman" w:cs="Times New Roman" w:eastAsia="Times New Roman" w:hAnsi="Times New Roman"/>
          <w:sz w:val="16"/>
          <w:szCs w:val="16"/>
          <w:b w:val="1"/>
          <w:bCs w:val="1"/>
          <w:color w:val="auto"/>
        </w:rPr>
        <w:t>Pledgor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DEUTSCHE BANK TRUST COMPANY AMERICAS</w:t>
      </w:r>
      <w:r>
        <w:rPr>
          <w:rFonts w:ascii="Times New Roman" w:cs="Times New Roman" w:eastAsia="Times New Roman" w:hAnsi="Times New Roman"/>
          <w:sz w:val="16"/>
          <w:szCs w:val="16"/>
          <w:color w:val="auto"/>
        </w:rPr>
        <w:t>, as Bank Agent under the Bank Credit Agreement (in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capacity herein called "</w:t>
      </w:r>
      <w:r>
        <w:rPr>
          <w:rFonts w:ascii="Times New Roman" w:cs="Times New Roman" w:eastAsia="Times New Roman" w:hAnsi="Times New Roman"/>
          <w:sz w:val="16"/>
          <w:szCs w:val="16"/>
          <w:b w:val="1"/>
          <w:bCs w:val="1"/>
          <w:color w:val="auto"/>
        </w:rPr>
        <w:t>Secured Party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BANK OF AMERICA, N.A.</w:t>
      </w:r>
      <w:r>
        <w:rPr>
          <w:rFonts w:ascii="Times New Roman" w:cs="Times New Roman" w:eastAsia="Times New Roman" w:hAnsi="Times New Roman"/>
          <w:sz w:val="16"/>
          <w:szCs w:val="16"/>
          <w:color w:val="auto"/>
        </w:rPr>
        <w:t>, as custodian and securities intermediary for the Pledgor and Secured Party (in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w:t>
      </w:r>
      <w:r>
        <w:rPr>
          <w:rFonts w:ascii="Times New Roman" w:cs="Times New Roman" w:eastAsia="Times New Roman" w:hAnsi="Times New Roman"/>
          <w:sz w:val="18"/>
          <w:szCs w:val="18"/>
          <w:b w:val="1"/>
          <w:bCs w:val="1"/>
          <w:color w:val="auto"/>
        </w:rPr>
        <w:t>Securities Intermediary</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ectPr>
          <w:pgSz w:w="11900" w:h="16838" w:orient="portrait"/>
          <w:cols w:equalWidth="0" w:num="1">
            <w:col w:w="11420"/>
          </w:cols>
          <w:pgMar w:left="240" w:top="1440" w:right="239" w:bottom="0" w:gutter="0" w:footer="0" w:header="0"/>
        </w:sectPr>
      </w:pPr>
    </w:p>
    <w:bookmarkStart w:id="84" w:name="page85"/>
    <w:bookmarkEnd w:id="84"/>
    <w:p>
      <w:pPr>
        <w:ind w:right="60" w:firstLine="349"/>
        <w:spacing w:after="0" w:line="277" w:lineRule="auto"/>
        <w:tabs>
          <w:tab w:leader="none" w:pos="6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Project. </w:t>
      </w:r>
      <w:r>
        <w:rPr>
          <w:rFonts w:ascii="Times New Roman" w:cs="Times New Roman" w:eastAsia="Times New Roman" w:hAnsi="Times New Roman"/>
          <w:sz w:val="18"/>
          <w:szCs w:val="18"/>
          <w:color w:val="auto"/>
        </w:rPr>
        <w:t>Pledgor proposes to develop, construct and operate the Le Rêve Casino Resort with related parking structure and golf course facilities,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redevelopment of the site of the former Desert Inn in Las Vegas, Nevada.</w:t>
      </w:r>
    </w:p>
    <w:p>
      <w:pPr>
        <w:spacing w:after="0" w:line="170" w:lineRule="exact"/>
        <w:rPr>
          <w:rFonts w:ascii="Times New Roman" w:cs="Times New Roman" w:eastAsia="Times New Roman" w:hAnsi="Times New Roman"/>
          <w:sz w:val="18"/>
          <w:szCs w:val="18"/>
          <w:color w:val="auto"/>
        </w:rPr>
      </w:pPr>
    </w:p>
    <w:p>
      <w:pPr>
        <w:ind w:right="40" w:firstLine="359"/>
        <w:spacing w:after="0" w:line="254" w:lineRule="auto"/>
        <w:tabs>
          <w:tab w:leader="none" w:pos="6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 Credit Agreement. </w:t>
      </w:r>
      <w:r>
        <w:rPr>
          <w:rFonts w:ascii="Times New Roman" w:cs="Times New Roman" w:eastAsia="Times New Roman" w:hAnsi="Times New Roman"/>
          <w:sz w:val="18"/>
          <w:szCs w:val="18"/>
          <w:color w:val="auto"/>
        </w:rPr>
        <w:t>Concurrently herewith, Wynn Las Vegas, the Bank Agent, Deutsche Bank Securities, Inc., as advisor, lead arranger and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 running manager, Banc of America Securities LLC, as advisor, lead arranger, joint book running manager and syndication agent, Bear, Stearns &amp; Co. Inc., as advisor, arranger and joint book running manager, Bear Stearns Corporate Lending Inc., as joint documentation agent, Dresdner Bank AG, New York and Grand Cayman Branches, as arranger and joint documentation agent, and the Bank Lenders have entered into the Bank Credit Agreement pursuant to which the Bank Lenders have agreed, subject to the terms thereof, to provide certain revolving loans to Wynn Las Vegas in an aggregate principal amount not to exceed $750,000,000 and certain delay draw term loans to Wynn Las Vegas in an aggregate principal amount not to exceed $250,000,000, as more particularly described therein. Valvino, Wynn Resorts Holdings and certain other guarantors have, pursuant to the Bank Guarantee and Collateral Agreement, guaranteed the obligations of Wynn Las Vegas under the Bank Credit Agreement.</w:t>
      </w:r>
    </w:p>
    <w:p>
      <w:pPr>
        <w:spacing w:after="0" w:line="192" w:lineRule="exact"/>
        <w:rPr>
          <w:rFonts w:ascii="Times New Roman" w:cs="Times New Roman" w:eastAsia="Times New Roman" w:hAnsi="Times New Roman"/>
          <w:sz w:val="18"/>
          <w:szCs w:val="18"/>
          <w:color w:val="auto"/>
        </w:rPr>
      </w:pPr>
    </w:p>
    <w:p>
      <w:pPr>
        <w:ind w:right="200" w:firstLine="359"/>
        <w:spacing w:after="0" w:line="264" w:lineRule="auto"/>
        <w:tabs>
          <w:tab w:leader="none" w:pos="6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 Mortgage Notes Indenture. </w:t>
      </w:r>
      <w:r>
        <w:rPr>
          <w:rFonts w:ascii="Times New Roman" w:cs="Times New Roman" w:eastAsia="Times New Roman" w:hAnsi="Times New Roman"/>
          <w:sz w:val="18"/>
          <w:szCs w:val="18"/>
          <w:color w:val="auto"/>
        </w:rPr>
        <w:t>Concurrently herewith, Wynn Las Vegas, Capital Corp., certain guarantors signatory thereto (including Valvino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Wynn Resorts Holdings) and the Indenture Trustee have entered into the Second Mortgage Notes Indenture pursuant to which Wynn Las Vegas and Capital Corp. will issue the Second Mortgage Notes due 2010 to finance Project Costs, as more particularly described therein.</w:t>
      </w:r>
    </w:p>
    <w:p>
      <w:pPr>
        <w:spacing w:after="0" w:line="181" w:lineRule="exact"/>
        <w:rPr>
          <w:rFonts w:ascii="Times New Roman" w:cs="Times New Roman" w:eastAsia="Times New Roman" w:hAnsi="Times New Roman"/>
          <w:sz w:val="18"/>
          <w:szCs w:val="18"/>
          <w:color w:val="auto"/>
        </w:rPr>
      </w:pPr>
    </w:p>
    <w:p>
      <w:pPr>
        <w:ind w:right="100" w:firstLine="359"/>
        <w:spacing w:after="0" w:line="259" w:lineRule="auto"/>
        <w:tabs>
          <w:tab w:leader="none" w:pos="69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FF&amp;E Facility Agreement. </w:t>
      </w:r>
      <w:r>
        <w:rPr>
          <w:rFonts w:ascii="Times New Roman" w:cs="Times New Roman" w:eastAsia="Times New Roman" w:hAnsi="Times New Roman"/>
          <w:sz w:val="18"/>
          <w:szCs w:val="18"/>
          <w:color w:val="auto"/>
        </w:rPr>
        <w:t>Concurrently herewith, Wynn Las Vegas and Wells Fargo Bank, National Association, as the FF&amp;E Agent, and the FF&amp;E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have entered into the FF&amp;E Facility Agreement pursuant to which the FF&amp;E Lenders have agreed, subject to the terms thereof, to provide certain loans in an aggregate principal amount not to exceed $188,500,000 to finance acquisition and installation costs for the FF&amp;E Component, as more particularly described therein.</w:t>
      </w:r>
    </w:p>
    <w:p>
      <w:pPr>
        <w:spacing w:after="0" w:line="186" w:lineRule="exact"/>
        <w:rPr>
          <w:rFonts w:ascii="Times New Roman" w:cs="Times New Roman" w:eastAsia="Times New Roman" w:hAnsi="Times New Roman"/>
          <w:sz w:val="18"/>
          <w:szCs w:val="18"/>
          <w:color w:val="auto"/>
        </w:rPr>
      </w:pPr>
    </w:p>
    <w:p>
      <w:pPr>
        <w:ind w:right="20" w:firstLine="359"/>
        <w:spacing w:after="0" w:line="255" w:lineRule="auto"/>
        <w:tabs>
          <w:tab w:leader="none" w:pos="6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Intercreditor Agreements. </w:t>
      </w:r>
      <w:r>
        <w:rPr>
          <w:rFonts w:ascii="Times New Roman" w:cs="Times New Roman" w:eastAsia="Times New Roman" w:hAnsi="Times New Roman"/>
          <w:sz w:val="18"/>
          <w:szCs w:val="18"/>
          <w:color w:val="auto"/>
        </w:rPr>
        <w:t>Concurrently herewith, (i) the Bank Agent (acting on behalf of itself and the Bank Lenders) and the Indenture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on behalf of itself and the Second Mortgage Note Holders) have entered into the Project Lenders Intercreditor Agreement and (ii) the Bank Agent (acting on behalf of itself and the Bank Lenders), the Indenture Trustee (acting on behalf of itself and the Second Mortgage Note Holders) and the FF&amp;E Agent (acting on behalf of itself and the FF&amp;E Lenders) have entered into the FF&amp;E Intercreditor Agreement, pursuant to each of which the parties thereto have set forth certain intercreditor provisions, including the priority of the liens, the method of decision making among the Lenders party thereto, the arrangements applicable to actions in respect of</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rights and waivers, the limitations on rights of enforcement upon default and the application of proceeds upon enforcement.</w:t>
      </w:r>
    </w:p>
    <w:p>
      <w:pPr>
        <w:spacing w:after="0" w:line="223" w:lineRule="exact"/>
        <w:rPr>
          <w:sz w:val="20"/>
          <w:szCs w:val="20"/>
          <w:color w:val="auto"/>
        </w:rPr>
      </w:pPr>
    </w:p>
    <w:p>
      <w:pPr>
        <w:ind w:right="240" w:firstLine="359"/>
        <w:spacing w:after="0" w:line="312" w:lineRule="auto"/>
        <w:tabs>
          <w:tab w:leader="none" w:pos="654"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Completion Guaranty. </w:t>
      </w:r>
      <w:r>
        <w:rPr>
          <w:rFonts w:ascii="Times New Roman" w:cs="Times New Roman" w:eastAsia="Times New Roman" w:hAnsi="Times New Roman"/>
          <w:sz w:val="16"/>
          <w:szCs w:val="16"/>
          <w:color w:val="auto"/>
        </w:rPr>
        <w:t>Concurrently herewith, the Completion Guarantor has executed in favor of the Bank Agent (acting on behalf of the Bank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Lenders) and the Indenture Trustee (acting on behalf of the Second Mortgage Note Holders) the Completion Guaranty pursuant to which the Completion Guarantor has agreed, subject to the terms and limitations thereof, to guaranty completion of the Project and payment by the Company of certain Project Costs.</w:t>
      </w:r>
    </w:p>
    <w:p>
      <w:pPr>
        <w:spacing w:after="0" w:line="146" w:lineRule="exact"/>
        <w:rPr>
          <w:rFonts w:ascii="Times New Roman" w:cs="Times New Roman" w:eastAsia="Times New Roman" w:hAnsi="Times New Roman"/>
          <w:sz w:val="16"/>
          <w:szCs w:val="16"/>
          <w:color w:val="auto"/>
        </w:rPr>
      </w:pPr>
    </w:p>
    <w:p>
      <w:pPr>
        <w:ind w:right="40" w:firstLine="359"/>
        <w:spacing w:after="0" w:line="293" w:lineRule="auto"/>
        <w:tabs>
          <w:tab w:leader="none" w:pos="69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Master Disbursement Agreement. </w:t>
      </w:r>
      <w:r>
        <w:rPr>
          <w:rFonts w:ascii="Times New Roman" w:cs="Times New Roman" w:eastAsia="Times New Roman" w:hAnsi="Times New Roman"/>
          <w:sz w:val="16"/>
          <w:szCs w:val="16"/>
          <w:color w:val="auto"/>
        </w:rPr>
        <w:t>Concurrently herewith, the Pledgor, the Bank Agent (acting on behalf of itself and the Bank Lenders), the Indenture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Trustee (acting on behalf of itself and the Second Mortgage Note Holders), the FF&amp;E Agent (acting on behalf of itself and the FF&amp;E Lenders) and Deutsche Bank Trust Company Americas as "</w:t>
      </w:r>
      <w:r>
        <w:rPr>
          <w:rFonts w:ascii="Times New Roman" w:cs="Times New Roman" w:eastAsia="Times New Roman" w:hAnsi="Times New Roman"/>
          <w:sz w:val="16"/>
          <w:szCs w:val="16"/>
          <w:b w:val="1"/>
          <w:bCs w:val="1"/>
          <w:color w:val="auto"/>
        </w:rPr>
        <w:t>Disbursement Agent</w:t>
      </w:r>
      <w:r>
        <w:rPr>
          <w:rFonts w:ascii="Times New Roman" w:cs="Times New Roman" w:eastAsia="Times New Roman" w:hAnsi="Times New Roman"/>
          <w:sz w:val="16"/>
          <w:szCs w:val="16"/>
          <w:color w:val="auto"/>
        </w:rPr>
        <w:t>" have entered into that certain Master Disbursement Agreement ("</w:t>
      </w:r>
      <w:r>
        <w:rPr>
          <w:rFonts w:ascii="Times New Roman" w:cs="Times New Roman" w:eastAsia="Times New Roman" w:hAnsi="Times New Roman"/>
          <w:sz w:val="16"/>
          <w:szCs w:val="16"/>
          <w:b w:val="1"/>
          <w:bCs w:val="1"/>
          <w:color w:val="auto"/>
        </w:rPr>
        <w:t>Disbursement Agreement</w:t>
      </w:r>
      <w:r>
        <w:rPr>
          <w:rFonts w:ascii="Times New Roman" w:cs="Times New Roman" w:eastAsia="Times New Roman" w:hAnsi="Times New Roman"/>
          <w:sz w:val="16"/>
          <w:szCs w:val="16"/>
          <w:color w:val="auto"/>
        </w:rPr>
        <w:t>") for the purpose of setting forth, among other things, (a) the mechanics for and allocation of the Company's requests for Advances under the various Facilities and from the Company's Funds Account, (b) the conditions precedent to the Closing Date, to the initial Advance and to subsequent Advances, (c) certain common representations, warranties and covenants of the Company in favor of the Funding Agents and the Lenders and (d) the common events of default and remedies.</w:t>
      </w:r>
    </w:p>
    <w:p>
      <w:pPr>
        <w:spacing w:after="0" w:line="164" w:lineRule="exact"/>
        <w:rPr>
          <w:rFonts w:ascii="Times New Roman" w:cs="Times New Roman" w:eastAsia="Times New Roman" w:hAnsi="Times New Roman"/>
          <w:sz w:val="16"/>
          <w:szCs w:val="16"/>
          <w:color w:val="auto"/>
        </w:rPr>
      </w:pPr>
    </w:p>
    <w:p>
      <w:pPr>
        <w:ind w:right="360" w:firstLine="359"/>
        <w:spacing w:after="0" w:line="342" w:lineRule="auto"/>
        <w:tabs>
          <w:tab w:leader="none" w:pos="69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Condition. </w:t>
      </w:r>
      <w:r>
        <w:rPr>
          <w:rFonts w:ascii="Times New Roman" w:cs="Times New Roman" w:eastAsia="Times New Roman" w:hAnsi="Times New Roman"/>
          <w:sz w:val="16"/>
          <w:szCs w:val="16"/>
          <w:color w:val="auto"/>
        </w:rPr>
        <w:t>It is a condition precedent to the extensions of the Bank Credit Facility by the Bank Lenders that Pledgor shall have established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Accounts, granted control to the Bank Agent (as Secured Party) of such accounts, and undertaken the obligations contemplated by this Agreement.</w:t>
      </w:r>
    </w:p>
    <w:p>
      <w:pPr>
        <w:spacing w:after="0" w:line="124"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in order to induce the Bank Lenders to extend the Bank Credit Facility under the Bank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for other good and valuable consideration, the receipt and adequacy of which are hereby acknowledged, Pledgor hereby agrees with Secured Party as follows:</w:t>
      </w:r>
    </w:p>
    <w:p>
      <w:pPr>
        <w:spacing w:after="0" w:line="179"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6"/>
          <w:szCs w:val="16"/>
          <w:b w:val="1"/>
          <w:bCs w:val="1"/>
          <w:i w:val="1"/>
          <w:iCs w:val="1"/>
          <w:color w:val="auto"/>
        </w:rPr>
        <w:t>Certain Definitions.</w:t>
      </w:r>
    </w:p>
    <w:p>
      <w:pPr>
        <w:spacing w:after="0" w:line="227" w:lineRule="exact"/>
        <w:rPr>
          <w:sz w:val="20"/>
          <w:szCs w:val="20"/>
          <w:color w:val="auto"/>
        </w:rPr>
      </w:pPr>
    </w:p>
    <w:p>
      <w:pPr>
        <w:ind w:left="720" w:hanging="361"/>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Specific Definitions.  </w:t>
      </w:r>
      <w:r>
        <w:rPr>
          <w:rFonts w:ascii="Times New Roman" w:cs="Times New Roman" w:eastAsia="Times New Roman" w:hAnsi="Times New Roman"/>
          <w:sz w:val="18"/>
          <w:szCs w:val="18"/>
          <w:color w:val="auto"/>
        </w:rPr>
        <w:t>The following terms used in this Agreement shall have the following meanings: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Broker-Dealer</w:t>
      </w:r>
      <w:r>
        <w:rPr>
          <w:rFonts w:ascii="Times New Roman" w:cs="Times New Roman" w:eastAsia="Times New Roman" w:hAnsi="Times New Roman"/>
          <w:sz w:val="18"/>
          <w:szCs w:val="18"/>
          <w:color w:val="auto"/>
        </w:rPr>
        <w:t>" means a person registered as a broker or dealer under the Securities Exchange Act of 1934, as amended.</w:t>
      </w:r>
    </w:p>
    <w:p>
      <w:pPr>
        <w:spacing w:after="0" w:line="225" w:lineRule="exact"/>
        <w:rPr>
          <w:sz w:val="20"/>
          <w:szCs w:val="20"/>
          <w:color w:val="auto"/>
        </w:rPr>
      </w:pPr>
    </w:p>
    <w:p>
      <w:pPr>
        <w:ind w:left="540" w:right="2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any other day which is a legal holiday or a day on which banking institutions are permitted to be closed in New York or Nevada.</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Uniform Commercial Code as in effect in New York.</w:t>
      </w:r>
    </w:p>
    <w:p>
      <w:pPr>
        <w:spacing w:after="0" w:line="225" w:lineRule="exact"/>
        <w:rPr>
          <w:sz w:val="20"/>
          <w:szCs w:val="20"/>
          <w:color w:val="auto"/>
        </w:rPr>
      </w:pPr>
    </w:p>
    <w:p>
      <w:pPr>
        <w:ind w:left="540" w:right="12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(i) the Collateral Accounts, (ii) all amounts held from time to time in the Collateral Accounts, (iii) all Investments, including all Financial Assets, security entitlements, securities (whether certificated or uncertificated), instruments, accounts, general intangibles and deposits representing or evidencing any Investments, (iv) all interest, dividends, cash, instruments, securities and other property from time to time received, receivable or otherwise distributed in respect of or in exchange for any or all of the Collateral, and (v) to the extent not covered by clauses (i) through (iv) above, all proceeds of any or all of the foregoing Collateral.</w:t>
      </w:r>
    </w:p>
    <w:p>
      <w:pPr>
        <w:spacing w:after="0" w:line="188" w:lineRule="exact"/>
        <w:rPr>
          <w:sz w:val="20"/>
          <w:szCs w:val="20"/>
          <w:color w:val="auto"/>
        </w:rPr>
      </w:pPr>
    </w:p>
    <w:p>
      <w:pPr>
        <w:ind w:left="540" w:right="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Accounts</w:t>
      </w:r>
      <w:r>
        <w:rPr>
          <w:rFonts w:ascii="Times New Roman" w:cs="Times New Roman" w:eastAsia="Times New Roman" w:hAnsi="Times New Roman"/>
          <w:sz w:val="18"/>
          <w:szCs w:val="18"/>
          <w:color w:val="auto"/>
        </w:rPr>
        <w:t>" means the Securities Account and the Deposit Accounts and any other accounts or subaccounts in which Investments may be held or registered.</w:t>
      </w:r>
    </w:p>
    <w:p>
      <w:pPr>
        <w:spacing w:after="0" w:line="170" w:lineRule="exact"/>
        <w:rPr>
          <w:sz w:val="20"/>
          <w:szCs w:val="20"/>
          <w:color w:val="auto"/>
        </w:rPr>
      </w:pPr>
    </w:p>
    <w:p>
      <w:pPr>
        <w:ind w:left="540"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"Deposit Accounts" </w:t>
      </w:r>
      <w:r>
        <w:rPr>
          <w:rFonts w:ascii="Times New Roman" w:cs="Times New Roman" w:eastAsia="Times New Roman" w:hAnsi="Times New Roman"/>
          <w:sz w:val="18"/>
          <w:szCs w:val="18"/>
          <w:color w:val="auto"/>
        </w:rPr>
        <w:t>means the deposit accounts established and maintained by Pledgor and Secured Party with Securities Intermediary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 including the Soft Costs Cash</w:t>
      </w:r>
    </w:p>
    <w:p>
      <w:pPr>
        <w:sectPr>
          <w:pgSz w:w="11900" w:h="16838" w:orient="portrait"/>
          <w:cols w:equalWidth="0" w:num="1">
            <w:col w:w="11420"/>
          </w:cols>
          <w:pgMar w:left="240" w:top="123" w:right="239" w:bottom="0" w:gutter="0" w:footer="0" w:header="0"/>
        </w:sectPr>
      </w:pPr>
    </w:p>
    <w:bookmarkStart w:id="85" w:name="page86"/>
    <w:bookmarkEnd w:id="85"/>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Account, Hard Costs Cash Management Account, the Operating Account and the Company's Payment Account.</w:t>
      </w:r>
    </w:p>
    <w:p>
      <w:pPr>
        <w:spacing w:after="0" w:line="223" w:lineRule="exact"/>
        <w:rPr>
          <w:sz w:val="20"/>
          <w:szCs w:val="20"/>
          <w:color w:val="auto"/>
        </w:rPr>
      </w:pPr>
    </w:p>
    <w:p>
      <w:pPr>
        <w:ind w:left="520" w:right="20"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16"/>
          <w:szCs w:val="16"/>
          <w:color w:val="auto"/>
        </w:rPr>
        <w:t>" means any Financial Assets credited to the Securities Account or the Deposit Accounts, and any other property acquired by Securities Intermediary as securities intermediary hereunder in exchange for, with proceeds from or distributions on, or otherwise in respect of any Investments.</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Investments</w:t>
      </w:r>
      <w:r>
        <w:rPr>
          <w:rFonts w:ascii="Times New Roman" w:cs="Times New Roman" w:eastAsia="Times New Roman" w:hAnsi="Times New Roman"/>
          <w:sz w:val="18"/>
          <w:szCs w:val="18"/>
          <w:color w:val="auto"/>
        </w:rPr>
        <w:t>" means the investments described in paragraph (b) of the definition of Permitted Investments.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 prior to the Completion Date, the following:</w:t>
      </w:r>
    </w:p>
    <w:p>
      <w:pPr>
        <w:spacing w:after="0" w:line="227" w:lineRule="exact"/>
        <w:rPr>
          <w:sz w:val="20"/>
          <w:szCs w:val="20"/>
          <w:color w:val="auto"/>
        </w:rPr>
      </w:pPr>
    </w:p>
    <w:p>
      <w:pPr>
        <w:ind w:left="1060" w:right="120" w:firstLine="360"/>
        <w:spacing w:after="0" w:line="275" w:lineRule="auto"/>
        <w:tabs>
          <w:tab w:leader="none" w:pos="16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 or</w:t>
      </w:r>
    </w:p>
    <w:p>
      <w:pPr>
        <w:spacing w:after="0" w:line="173" w:lineRule="exact"/>
        <w:rPr>
          <w:rFonts w:ascii="Times New Roman" w:cs="Times New Roman" w:eastAsia="Times New Roman" w:hAnsi="Times New Roman"/>
          <w:sz w:val="18"/>
          <w:szCs w:val="18"/>
          <w:color w:val="auto"/>
        </w:rPr>
      </w:pPr>
    </w:p>
    <w:p>
      <w:pPr>
        <w:ind w:left="1060" w:right="560" w:firstLine="360"/>
        <w:spacing w:after="0" w:line="275" w:lineRule="auto"/>
        <w:tabs>
          <w:tab w:leader="none" w:pos="17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money market mutual or similar funds which invest exclusively in assets satisfying the requirements of clause (a) of this definition.</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From and after the Completion Date, "Permitted Investments" means the following:</w:t>
      </w:r>
    </w:p>
    <w:p>
      <w:pPr>
        <w:spacing w:after="0" w:line="225" w:lineRule="exact"/>
        <w:rPr>
          <w:sz w:val="20"/>
          <w:szCs w:val="20"/>
          <w:color w:val="auto"/>
        </w:rPr>
      </w:pPr>
    </w:p>
    <w:p>
      <w:pPr>
        <w:ind w:left="1720" w:hanging="300"/>
        <w:spacing w:after="0"/>
        <w:tabs>
          <w:tab w:leader="none" w:pos="17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225" w:lineRule="exact"/>
        <w:rPr>
          <w:rFonts w:ascii="Times New Roman" w:cs="Times New Roman" w:eastAsia="Times New Roman" w:hAnsi="Times New Roman"/>
          <w:sz w:val="18"/>
          <w:szCs w:val="18"/>
          <w:color w:val="auto"/>
        </w:rPr>
      </w:pPr>
    </w:p>
    <w:p>
      <w:pPr>
        <w:ind w:left="1060" w:right="20" w:firstLine="360"/>
        <w:spacing w:after="0" w:line="262" w:lineRule="auto"/>
        <w:tabs>
          <w:tab w:leader="none" w:pos="170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186" w:lineRule="exact"/>
        <w:rPr>
          <w:rFonts w:ascii="Times New Roman" w:cs="Times New Roman" w:eastAsia="Times New Roman" w:hAnsi="Times New Roman"/>
          <w:sz w:val="18"/>
          <w:szCs w:val="18"/>
          <w:color w:val="auto"/>
        </w:rPr>
      </w:pPr>
    </w:p>
    <w:p>
      <w:pPr>
        <w:ind w:left="1060" w:firstLine="360"/>
        <w:spacing w:after="0" w:line="258" w:lineRule="auto"/>
        <w:tabs>
          <w:tab w:leader="none" w:pos="170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90" w:lineRule="exact"/>
        <w:rPr>
          <w:rFonts w:ascii="Times New Roman" w:cs="Times New Roman" w:eastAsia="Times New Roman" w:hAnsi="Times New Roman"/>
          <w:sz w:val="18"/>
          <w:szCs w:val="18"/>
          <w:color w:val="auto"/>
        </w:rPr>
      </w:pPr>
    </w:p>
    <w:p>
      <w:pPr>
        <w:ind w:left="1720" w:hanging="300"/>
        <w:spacing w:after="0"/>
        <w:tabs>
          <w:tab w:leader="none" w:pos="17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(2) and</w:t>
      </w:r>
    </w:p>
    <w:p>
      <w:pPr>
        <w:spacing w:after="0" w:line="21" w:lineRule="exact"/>
        <w:rPr>
          <w:rFonts w:ascii="Times New Roman" w:cs="Times New Roman" w:eastAsia="Times New Roman" w:hAnsi="Times New Roman"/>
          <w:sz w:val="18"/>
          <w:szCs w:val="18"/>
          <w:color w:val="auto"/>
        </w:rPr>
      </w:pPr>
    </w:p>
    <w:p>
      <w:pPr>
        <w:ind w:left="1320" w:hanging="252"/>
        <w:spacing w:after="0"/>
        <w:tabs>
          <w:tab w:leader="none" w:pos="1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entered into with any financial institution meeting the qualifications specified in clause (3) above;</w:t>
      </w:r>
    </w:p>
    <w:p>
      <w:pPr>
        <w:spacing w:after="0" w:line="212" w:lineRule="exact"/>
        <w:rPr>
          <w:rFonts w:ascii="Times New Roman" w:cs="Times New Roman" w:eastAsia="Times New Roman" w:hAnsi="Times New Roman"/>
          <w:sz w:val="18"/>
          <w:szCs w:val="18"/>
          <w:color w:val="auto"/>
        </w:rPr>
      </w:pPr>
    </w:p>
    <w:p>
      <w:pPr>
        <w:ind w:left="1060" w:right="140" w:firstLine="360"/>
        <w:spacing w:after="0" w:line="275" w:lineRule="auto"/>
        <w:tabs>
          <w:tab w:leader="none" w:pos="1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the highest rating obtainable from Moody's or S&amp;P and in each case maturing within six months after the date of acquisition;</w:t>
      </w:r>
    </w:p>
    <w:p>
      <w:pPr>
        <w:spacing w:after="0" w:line="173" w:lineRule="exact"/>
        <w:rPr>
          <w:rFonts w:ascii="Times New Roman" w:cs="Times New Roman" w:eastAsia="Times New Roman" w:hAnsi="Times New Roman"/>
          <w:sz w:val="18"/>
          <w:szCs w:val="18"/>
          <w:color w:val="auto"/>
        </w:rPr>
      </w:pPr>
    </w:p>
    <w:p>
      <w:pPr>
        <w:ind w:left="1060" w:right="500" w:firstLine="360"/>
        <w:spacing w:after="0" w:line="275" w:lineRule="auto"/>
        <w:tabs>
          <w:tab w:leader="none" w:pos="1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or mutual funds at least 95% of the assets of which constitute Permitted Investments of the kinds described in clauses (1) through (5) of this definition;</w:t>
      </w:r>
    </w:p>
    <w:p>
      <w:pPr>
        <w:spacing w:after="0" w:line="173" w:lineRule="exact"/>
        <w:rPr>
          <w:rFonts w:ascii="Times New Roman" w:cs="Times New Roman" w:eastAsia="Times New Roman" w:hAnsi="Times New Roman"/>
          <w:sz w:val="18"/>
          <w:szCs w:val="18"/>
          <w:color w:val="auto"/>
        </w:rPr>
      </w:pPr>
    </w:p>
    <w:p>
      <w:pPr>
        <w:ind w:left="1720" w:hanging="300"/>
        <w:spacing w:after="0"/>
        <w:tabs>
          <w:tab w:leader="none" w:pos="17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permitted by clauses (1)—(6) above, those items described in clauses (a) and (b) above.</w:t>
      </w:r>
    </w:p>
    <w:p>
      <w:pPr>
        <w:spacing w:after="0" w:line="223" w:lineRule="exact"/>
        <w:rPr>
          <w:sz w:val="20"/>
          <w:szCs w:val="20"/>
          <w:color w:val="auto"/>
        </w:rPr>
      </w:pPr>
    </w:p>
    <w:p>
      <w:pPr>
        <w:ind w:left="520" w:right="2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all of the Obligations owed by Pledgor and the other Loan Parties to Secured Party and the Bank Lenders from time to time under the Financing Documents.</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any securities account established and maintained with Securities Intermediary pursuant to Section 2.</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Intermediary</w:t>
      </w:r>
      <w:r>
        <w:rPr>
          <w:rFonts w:ascii="Times New Roman" w:cs="Times New Roman" w:eastAsia="Times New Roman" w:hAnsi="Times New Roman"/>
          <w:sz w:val="18"/>
          <w:szCs w:val="18"/>
          <w:color w:val="auto"/>
        </w:rPr>
        <w:t>" means Bank of America, N.A.</w:t>
      </w:r>
    </w:p>
    <w:p>
      <w:pPr>
        <w:spacing w:after="0" w:line="225" w:lineRule="exact"/>
        <w:rPr>
          <w:sz w:val="20"/>
          <w:szCs w:val="20"/>
          <w:color w:val="auto"/>
        </w:rPr>
      </w:pPr>
    </w:p>
    <w:p>
      <w:pPr>
        <w:ind w:left="520" w:right="6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Suspension Period</w:t>
      </w:r>
      <w:r>
        <w:rPr>
          <w:rFonts w:ascii="Times New Roman" w:cs="Times New Roman" w:eastAsia="Times New Roman" w:hAnsi="Times New Roman"/>
          <w:sz w:val="18"/>
          <w:szCs w:val="18"/>
          <w:color w:val="auto"/>
        </w:rPr>
        <w:t>" means the period (i) beginning promptly after receipt by Securities Intermediary of written notice from Secured Party, substantially in the form of the Prohibition Notice attached to this Agreement as Attachment 1, suspending Pledgor's right to direct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100"/>
        <w:spacing w:after="0" w:line="262" w:lineRule="auto"/>
        <w:rPr>
          <w:sz w:val="20"/>
          <w:szCs w:val="20"/>
          <w:color w:val="auto"/>
        </w:rPr>
      </w:pPr>
      <w:r>
        <w:rPr>
          <w:rFonts w:ascii="Times New Roman" w:cs="Times New Roman" w:eastAsia="Times New Roman" w:hAnsi="Times New Roman"/>
          <w:sz w:val="18"/>
          <w:szCs w:val="18"/>
          <w:color w:val="auto"/>
        </w:rPr>
        <w:t>investment of funds held for the credit of the Collateral Accounts, and (ii) ending promptly after receipt by Securities Intermediary of written notice from Secured Party, substantially in the form of the Rescission of Prohibition Notice attached to this Agreement as Attachment 2, rescinding the preceding Prohibition Notice.</w:t>
      </w:r>
    </w:p>
    <w:p>
      <w:pPr>
        <w:spacing w:after="0" w:line="184" w:lineRule="exact"/>
        <w:rPr>
          <w:sz w:val="20"/>
          <w:szCs w:val="20"/>
          <w:color w:val="auto"/>
        </w:rPr>
      </w:pPr>
    </w:p>
    <w:p>
      <w:pPr>
        <w:ind w:left="-20" w:right="60" w:firstLine="359"/>
        <w:spacing w:after="0" w:line="291" w:lineRule="auto"/>
        <w:tabs>
          <w:tab w:leader="none" w:pos="71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 Provisions. </w:t>
      </w:r>
      <w:r>
        <w:rPr>
          <w:rFonts w:ascii="Times New Roman" w:cs="Times New Roman" w:eastAsia="Times New Roman" w:hAnsi="Times New Roman"/>
          <w:sz w:val="16"/>
          <w:szCs w:val="16"/>
          <w:color w:val="auto"/>
        </w:rPr>
        <w:t>Capitalized terms used but not defined herein shall have the meaning given to such terms in</w:t>
      </w:r>
      <w:r>
        <w:rPr>
          <w:rFonts w:ascii="Times New Roman" w:cs="Times New Roman" w:eastAsia="Times New Roman" w:hAnsi="Times New Roman"/>
          <w:sz w:val="16"/>
          <w:szCs w:val="16"/>
          <w:i w:val="1"/>
          <w:iCs w:val="1"/>
          <w:color w:val="auto"/>
        </w:rPr>
        <w:t xml:space="preserve"> Exhibit A</w:t>
      </w:r>
      <w:r>
        <w:rPr>
          <w:rFonts w:ascii="Times New Roman" w:cs="Times New Roman" w:eastAsia="Times New Roman" w:hAnsi="Times New Roman"/>
          <w:sz w:val="16"/>
          <w:szCs w:val="16"/>
          <w:color w:val="auto"/>
        </w:rPr>
        <w:t>. Unless otherwise defined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herein or in Exhibit A, terms used in Articles 8 and 9 of the Code are used herein as therein defined. Words used herein, regardless of the number and gender specifically used, shall be deemed and construed to include any other number, singular or plural, and any other gender, masculine, feminine or neuter, as the context indicates is appropriate. When a reference is made in this Agreement to an Appendix, Exhibit, Introduction, Recital, Section or Schedule, such reference shall be to an Appendix, an Exhibit, the Introduction, a Recital or a Section of, or a Schedule to,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65"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6"/>
          <w:szCs w:val="16"/>
          <w:b w:val="1"/>
          <w:bCs w:val="1"/>
          <w:i w:val="1"/>
          <w:iCs w:val="1"/>
          <w:color w:val="auto"/>
        </w:rPr>
        <w:t>Establishment and Operation of the Collateral Accounts.</w:t>
      </w:r>
    </w:p>
    <w:p>
      <w:pPr>
        <w:spacing w:after="0" w:line="227" w:lineRule="exact"/>
        <w:rPr>
          <w:sz w:val="20"/>
          <w:szCs w:val="20"/>
          <w:color w:val="auto"/>
        </w:rPr>
      </w:pPr>
    </w:p>
    <w:p>
      <w:pPr>
        <w:ind w:left="-20" w:right="40" w:firstLine="359"/>
        <w:spacing w:after="0" w:line="312" w:lineRule="auto"/>
        <w:tabs>
          <w:tab w:leader="none" w:pos="70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Establishment of Operating Account. </w:t>
      </w:r>
      <w:r>
        <w:rPr>
          <w:rFonts w:ascii="Times New Roman" w:cs="Times New Roman" w:eastAsia="Times New Roman" w:hAnsi="Times New Roman"/>
          <w:sz w:val="16"/>
          <w:szCs w:val="16"/>
          <w:color w:val="auto"/>
        </w:rPr>
        <w:t>Pledgor and Secured Party hereby authorize and direct Securities Intermediary to establish and maintain at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 at 300 South Fourth Street, 2nd Floor, NV1-119-02-01, Las Vegas, Nevada, 89101-6014, a non-interest bearing deposit account in the name of Pledgor and under the control of Secured Party, designated as "Wynn Las Vegas, Operating Account". Securities Intermediary hereby undertakes to treat Pledgor as the person</w:t>
      </w:r>
    </w:p>
    <w:p>
      <w:pPr>
        <w:sectPr>
          <w:pgSz w:w="11900" w:h="16923" w:orient="portrait"/>
          <w:cols w:equalWidth="0" w:num="1">
            <w:col w:w="11400"/>
          </w:cols>
          <w:pgMar w:left="260" w:top="125" w:right="239" w:bottom="0" w:gutter="0" w:footer="0" w:header="0"/>
        </w:sectPr>
      </w:pPr>
    </w:p>
    <w:bookmarkStart w:id="86" w:name="page87"/>
    <w:bookmarkEnd w:id="86"/>
    <w:p>
      <w:pPr>
        <w:ind w:right="60"/>
        <w:spacing w:after="0" w:line="275" w:lineRule="auto"/>
        <w:rPr>
          <w:sz w:val="20"/>
          <w:szCs w:val="20"/>
          <w:color w:val="auto"/>
        </w:rPr>
      </w:pPr>
      <w:r>
        <w:rPr>
          <w:rFonts w:ascii="Times New Roman" w:cs="Times New Roman" w:eastAsia="Times New Roman" w:hAnsi="Times New Roman"/>
          <w:sz w:val="18"/>
          <w:szCs w:val="18"/>
          <w:color w:val="auto"/>
        </w:rPr>
        <w:t>entitled to exercise the rights that comprise any Financial Asset credited to the Operating Account. Secured Party and the Pledgor agree that this account shall be the "</w:t>
      </w:r>
      <w:r>
        <w:rPr>
          <w:rFonts w:ascii="Times New Roman" w:cs="Times New Roman" w:eastAsia="Times New Roman" w:hAnsi="Times New Roman"/>
          <w:sz w:val="18"/>
          <w:szCs w:val="18"/>
          <w:b w:val="1"/>
          <w:bCs w:val="1"/>
          <w:color w:val="auto"/>
        </w:rPr>
        <w:t>Operating Account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20" w:firstLine="359"/>
        <w:spacing w:after="0" w:line="257" w:lineRule="auto"/>
        <w:tabs>
          <w:tab w:leader="none" w:pos="73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Establishment of Soft Costs Cash Management Account. </w:t>
      </w:r>
      <w:r>
        <w:rPr>
          <w:rFonts w:ascii="Times New Roman" w:cs="Times New Roman" w:eastAsia="Times New Roman" w:hAnsi="Times New Roman"/>
          <w:sz w:val="18"/>
          <w:szCs w:val="18"/>
          <w:color w:val="auto"/>
        </w:rPr>
        <w:t>Pledgor and Secured Party hereby authorize and direct Securities Intermediary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maintain at its office at 300 South Fourth Street, 2nd Floor, NV1-119-02-01, Las Vegas, Nevada, 89101-6014, a non-interest bearing deposit account in the name of Pledgor and under the control of Secured Party, designated as "Wynn Las Vegas, Soft Costs Cash Management Account". Securities Intermediary hereby undertakes to treat Pledgor as the person entitled to exercise the rights that comprise any Financial Asset credited to the Soft Costs Cash Management Account. The Secured Party and the Pledgor agree that this account shall be the "</w:t>
      </w:r>
      <w:r>
        <w:rPr>
          <w:rFonts w:ascii="Times New Roman" w:cs="Times New Roman" w:eastAsia="Times New Roman" w:hAnsi="Times New Roman"/>
          <w:sz w:val="18"/>
          <w:szCs w:val="18"/>
          <w:b w:val="1"/>
          <w:bCs w:val="1"/>
          <w:color w:val="auto"/>
        </w:rPr>
        <w:t>Soft Costs Cash Management Account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40" w:firstLine="359"/>
        <w:spacing w:after="0" w:line="297" w:lineRule="auto"/>
        <w:tabs>
          <w:tab w:leader="none" w:pos="72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Establishment of Hard Cost Cash Management Account. </w:t>
      </w:r>
      <w:r>
        <w:rPr>
          <w:rFonts w:ascii="Times New Roman" w:cs="Times New Roman" w:eastAsia="Times New Roman" w:hAnsi="Times New Roman"/>
          <w:sz w:val="16"/>
          <w:szCs w:val="16"/>
          <w:color w:val="auto"/>
        </w:rPr>
        <w:t>Pledgor and Secured Party hereby authorize and direct Securities Intermediary to establish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maintain at its office at 300 South Fourth Street, 2nd Floor, NV1-119-02-01, Las Vegas, Nevada, 89101-6014, a non-interest bearing deposit account in the name of Pledgor and under the control of Secured Party, designated as "Wynn Las Vegas, Hard Costs Cash Management Account". Securities Intermediary hereby undertakes to treat Pledgor as the person entitled to exercise the rights that comprise any Financial Asset credited to the Hard Costs Cash Management Account. The Secured Party and the Pledgor agree that this account shall be the "</w:t>
      </w:r>
      <w:r>
        <w:rPr>
          <w:rFonts w:ascii="Times New Roman" w:cs="Times New Roman" w:eastAsia="Times New Roman" w:hAnsi="Times New Roman"/>
          <w:sz w:val="16"/>
          <w:szCs w:val="16"/>
          <w:b w:val="1"/>
          <w:bCs w:val="1"/>
          <w:color w:val="auto"/>
        </w:rPr>
        <w:t>Hard Costs Cash Management Account</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ind w:right="60" w:firstLine="359"/>
        <w:spacing w:after="0" w:line="257" w:lineRule="auto"/>
        <w:tabs>
          <w:tab w:leader="none" w:pos="73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Establishment of Company's Payment Account. </w:t>
      </w:r>
      <w:r>
        <w:rPr>
          <w:rFonts w:ascii="Times New Roman" w:cs="Times New Roman" w:eastAsia="Times New Roman" w:hAnsi="Times New Roman"/>
          <w:sz w:val="18"/>
          <w:szCs w:val="18"/>
          <w:color w:val="auto"/>
        </w:rPr>
        <w:t>Pledgor and Secured Party hereby authorize and direct Securities Intermediary to establish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at its office at 300 South Fourth Street, 2nd Floor, NV1-119-02-01, Las Vegas, Nevada, 89101-6014, a non-interest bearing deposit account in the name of Pledgor and under the control of Secured Party, designated as "Wynn Las Vegas, Company's Payment Account". Securities Intermediary hereby undertakes to treat Pledgor as the person entitled to exercise the rights that comprise any Financial Asset credited to the Company's Payment Account. The Secured Party and the Pledgor agree that this account shall be the "</w:t>
      </w:r>
      <w:r>
        <w:rPr>
          <w:rFonts w:ascii="Times New Roman" w:cs="Times New Roman" w:eastAsia="Times New Roman" w:hAnsi="Times New Roman"/>
          <w:sz w:val="18"/>
          <w:szCs w:val="18"/>
          <w:b w:val="1"/>
          <w:bCs w:val="1"/>
          <w:color w:val="auto"/>
        </w:rPr>
        <w:t>Company's Payment Account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0" w:firstLine="359"/>
        <w:spacing w:after="0" w:line="277" w:lineRule="auto"/>
        <w:tabs>
          <w:tab w:leader="none" w:pos="72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Operations of the Collateral Accounts. </w:t>
      </w:r>
      <w:r>
        <w:rPr>
          <w:rFonts w:ascii="Times New Roman" w:cs="Times New Roman" w:eastAsia="Times New Roman" w:hAnsi="Times New Roman"/>
          <w:sz w:val="18"/>
          <w:szCs w:val="18"/>
          <w:color w:val="auto"/>
        </w:rPr>
        <w:t>The Collateral Accounts shall be operated, and all Investments shall be acquired and registered or held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 accordance with the terms of this Agreement and the directions of Secured Party.</w:t>
      </w:r>
    </w:p>
    <w:p>
      <w:pPr>
        <w:spacing w:after="0" w:line="170" w:lineRule="exact"/>
        <w:rPr>
          <w:rFonts w:ascii="Times New Roman" w:cs="Times New Roman" w:eastAsia="Times New Roman" w:hAnsi="Times New Roman"/>
          <w:sz w:val="18"/>
          <w:szCs w:val="18"/>
          <w:color w:val="auto"/>
        </w:rPr>
      </w:pPr>
    </w:p>
    <w:p>
      <w:pPr>
        <w:ind w:right="80" w:firstLine="359"/>
        <w:spacing w:after="0" w:line="264" w:lineRule="auto"/>
        <w:tabs>
          <w:tab w:leader="none" w:pos="69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 Statements. </w:t>
      </w:r>
      <w:r>
        <w:rPr>
          <w:rFonts w:ascii="Times New Roman" w:cs="Times New Roman" w:eastAsia="Times New Roman" w:hAnsi="Times New Roman"/>
          <w:sz w:val="18"/>
          <w:szCs w:val="18"/>
          <w:color w:val="auto"/>
        </w:rPr>
        <w:t>Securities Intermediary shall send Secured Party and Pledgor written account statements with respect to the Collateral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less frequently than monthly. Absent mathematical or similar errors, reports or confirmations of the execution of orders and statements of account shall be conclusive if not objected to in writing within 30 days after delivery pursuant to Section 21.</w:t>
      </w:r>
    </w:p>
    <w:p>
      <w:pPr>
        <w:spacing w:after="0" w:line="179"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6"/>
          <w:szCs w:val="16"/>
          <w:b w:val="1"/>
          <w:bCs w:val="1"/>
          <w:i w:val="1"/>
          <w:iCs w:val="1"/>
          <w:color w:val="auto"/>
        </w:rPr>
        <w:t>Mechanics of Deposits of Funds in and between Collateral Accounts.</w:t>
      </w:r>
    </w:p>
    <w:p>
      <w:pPr>
        <w:spacing w:after="0" w:line="227" w:lineRule="exact"/>
        <w:rPr>
          <w:sz w:val="20"/>
          <w:szCs w:val="20"/>
          <w:color w:val="auto"/>
        </w:rPr>
      </w:pPr>
    </w:p>
    <w:p>
      <w:pPr>
        <w:ind w:right="140" w:firstLine="359"/>
        <w:spacing w:after="0" w:line="277" w:lineRule="auto"/>
        <w:tabs>
          <w:tab w:leader="none" w:pos="72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to Operating Account. </w:t>
      </w:r>
      <w:r>
        <w:rPr>
          <w:rFonts w:ascii="Times New Roman" w:cs="Times New Roman" w:eastAsia="Times New Roman" w:hAnsi="Times New Roman"/>
          <w:sz w:val="18"/>
          <w:szCs w:val="18"/>
          <w:color w:val="auto"/>
        </w:rPr>
        <w:t>All transfers of funds to the Operating Account shall be made by wire transfer (or, if applicable, intra-bank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another account with Securities Intermediary) of immediately available funds, in each case addressed as follows:</w:t>
      </w:r>
    </w:p>
    <w:p>
      <w:pPr>
        <w:spacing w:after="0" w:line="172"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Account No.:</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#004964891348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#122400724</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Reference:</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Le Rêve Project—Operating Account</w:t>
            </w:r>
          </w:p>
        </w:tc>
      </w:tr>
    </w:tbl>
    <w:p>
      <w:pPr>
        <w:spacing w:after="0" w:line="202" w:lineRule="exact"/>
        <w:rPr>
          <w:sz w:val="20"/>
          <w:szCs w:val="20"/>
          <w:color w:val="auto"/>
        </w:rPr>
      </w:pPr>
    </w:p>
    <w:p>
      <w:pPr>
        <w:ind w:firstLine="359"/>
        <w:spacing w:after="0" w:line="342" w:lineRule="auto"/>
        <w:tabs>
          <w:tab w:leader="none" w:pos="731"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Transfers to Soft Costs Cash Management Account. </w:t>
      </w:r>
      <w:r>
        <w:rPr>
          <w:rFonts w:ascii="Times New Roman" w:cs="Times New Roman" w:eastAsia="Times New Roman" w:hAnsi="Times New Roman"/>
          <w:sz w:val="16"/>
          <w:szCs w:val="16"/>
          <w:color w:val="auto"/>
        </w:rPr>
        <w:t>All transfers of funds to the Soft Costs Cash Management Account shall be made by wire transfer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if applicable, intra-bank transfer from another account with Securities Intermediary) of immediately available funds, in each case addressed as follows:</w:t>
      </w:r>
    </w:p>
    <w:p>
      <w:pPr>
        <w:spacing w:after="0" w:line="126"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Account No.:</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#004964891351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#122400724</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Reference:</w:t>
            </w: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Le Rêve Project—Soft-Costs Cash Management Account</w:t>
            </w:r>
          </w:p>
        </w:tc>
      </w:tr>
    </w:tbl>
    <w:p>
      <w:pPr>
        <w:spacing w:after="0" w:line="202" w:lineRule="exact"/>
        <w:rPr>
          <w:sz w:val="20"/>
          <w:szCs w:val="20"/>
          <w:color w:val="auto"/>
        </w:rPr>
      </w:pPr>
    </w:p>
    <w:p>
      <w:pPr>
        <w:ind w:right="440" w:firstLine="359"/>
        <w:spacing w:after="0" w:line="264" w:lineRule="auto"/>
        <w:tabs>
          <w:tab w:leader="none" w:pos="72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to Hard Costs Cash Management Account. </w:t>
      </w:r>
      <w:r>
        <w:rPr>
          <w:rFonts w:ascii="Times New Roman" w:cs="Times New Roman" w:eastAsia="Times New Roman" w:hAnsi="Times New Roman"/>
          <w:sz w:val="18"/>
          <w:szCs w:val="18"/>
          <w:color w:val="auto"/>
        </w:rPr>
        <w:t>All transfers of funds to the Hard Costs Cash Management Account shall be made by wire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(or, if applicable, intra-bank transfer from another account with Securities Intermediary) of immediately available funds, in each case addressed as follows:</w:t>
      </w:r>
    </w:p>
    <w:p>
      <w:pPr>
        <w:spacing w:after="0" w:line="18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Account No.:</w:t>
            </w: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#004964891364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#122400724</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Reference:</w:t>
            </w: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Le Rêve Project—Hard Costs Cash Management Account</w:t>
            </w:r>
          </w:p>
        </w:tc>
      </w:tr>
    </w:tbl>
    <w:p>
      <w:pPr>
        <w:spacing w:after="0" w:line="202" w:lineRule="exact"/>
        <w:rPr>
          <w:sz w:val="20"/>
          <w:szCs w:val="20"/>
          <w:color w:val="auto"/>
        </w:rPr>
      </w:pPr>
    </w:p>
    <w:p>
      <w:pPr>
        <w:ind w:right="220" w:firstLine="359"/>
        <w:spacing w:after="0" w:line="277" w:lineRule="auto"/>
        <w:tabs>
          <w:tab w:leader="none" w:pos="73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to Company's Payment Account. </w:t>
      </w:r>
      <w:r>
        <w:rPr>
          <w:rFonts w:ascii="Times New Roman" w:cs="Times New Roman" w:eastAsia="Times New Roman" w:hAnsi="Times New Roman"/>
          <w:sz w:val="18"/>
          <w:szCs w:val="18"/>
          <w:color w:val="auto"/>
        </w:rPr>
        <w:t>Transfers of funds to the Company's Payment Account shall be made by wire transfer (or, if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intra-bank transfer from another account with Securities Intermediary) of immediately available funds, in each case addressed as follows:</w:t>
      </w:r>
    </w:p>
    <w:p>
      <w:pPr>
        <w:spacing w:after="0" w:line="172"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Account No.:</w:t>
            </w:r>
          </w:p>
        </w:tc>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#004964891377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#122400724</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Reference:</w:t>
            </w:r>
          </w:p>
        </w:tc>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Le Rêve Project—Company's Payment Account</w:t>
            </w:r>
          </w:p>
        </w:tc>
      </w:tr>
    </w:tbl>
    <w:p>
      <w:pPr>
        <w:spacing w:after="0" w:line="202" w:lineRule="exact"/>
        <w:rPr>
          <w:sz w:val="20"/>
          <w:szCs w:val="20"/>
          <w:color w:val="auto"/>
        </w:rPr>
      </w:pPr>
    </w:p>
    <w:p>
      <w:pPr>
        <w:jc w:val="both"/>
        <w:ind w:right="80" w:firstLine="359"/>
        <w:spacing w:after="0" w:line="264" w:lineRule="auto"/>
        <w:tabs>
          <w:tab w:leader="none" w:pos="72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Transfers. </w:t>
      </w:r>
      <w:r>
        <w:rPr>
          <w:rFonts w:ascii="Times New Roman" w:cs="Times New Roman" w:eastAsia="Times New Roman" w:hAnsi="Times New Roman"/>
          <w:sz w:val="18"/>
          <w:szCs w:val="18"/>
          <w:color w:val="auto"/>
        </w:rPr>
        <w:t>In the event of any transfer of funds to or from the Collateral Accounts pursuant to any provision of Section 3, Pledgor,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or Securities Intermediary, as the case may be, shall promptly after initiating or sending out written instructions with respect to such transfer, give notice to each other such party by facsimile of the date and amount of such transfer.</w:t>
      </w:r>
    </w:p>
    <w:p>
      <w:pPr>
        <w:spacing w:after="0" w:line="179"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6"/>
          <w:szCs w:val="16"/>
          <w:b w:val="1"/>
          <w:bCs w:val="1"/>
          <w:i w:val="1"/>
          <w:iCs w:val="1"/>
          <w:color w:val="auto"/>
        </w:rPr>
        <w:t>Permitted Investments and Transfers of Amounts in the Collateral Accounts.</w:t>
      </w:r>
    </w:p>
    <w:p>
      <w:pPr>
        <w:spacing w:after="0" w:line="227" w:lineRule="exact"/>
        <w:rPr>
          <w:sz w:val="20"/>
          <w:szCs w:val="20"/>
          <w:color w:val="auto"/>
        </w:rPr>
      </w:pPr>
    </w:p>
    <w:p>
      <w:pPr>
        <w:ind w:firstLine="359"/>
        <w:spacing w:after="0" w:line="277" w:lineRule="auto"/>
        <w:tabs>
          <w:tab w:leader="none" w:pos="72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Strict Compliance. </w:t>
      </w:r>
      <w:r>
        <w:rPr>
          <w:rFonts w:ascii="Times New Roman" w:cs="Times New Roman" w:eastAsia="Times New Roman" w:hAnsi="Times New Roman"/>
          <w:sz w:val="18"/>
          <w:szCs w:val="18"/>
          <w:color w:val="auto"/>
        </w:rPr>
        <w:t>Cash and Investments held by Securities Intermediary in the Collateral Accounts shall not be (i) invested or reinvested, (ii) sold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redeemed, or (iii) transferred from or among the Collateral Accounts, except as provided in this Section 4.</w:t>
      </w:r>
    </w:p>
    <w:p>
      <w:pPr>
        <w:sectPr>
          <w:pgSz w:w="11900" w:h="16838" w:orient="portrait"/>
          <w:cols w:equalWidth="0" w:num="1">
            <w:col w:w="11380"/>
          </w:cols>
          <w:pgMar w:left="240" w:top="125" w:right="279" w:bottom="244" w:gutter="0" w:footer="0" w:header="0"/>
        </w:sectPr>
      </w:pP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244" w:gutter="0" w:footer="0" w:header="0"/>
          <w:type w:val="continuous"/>
        </w:sectPr>
      </w:pPr>
    </w:p>
    <w:bookmarkStart w:id="87" w:name="page88"/>
    <w:bookmarkEnd w:id="87"/>
    <w:p>
      <w:pPr>
        <w:ind w:right="40" w:firstLine="359"/>
        <w:spacing w:after="0" w:line="255" w:lineRule="auto"/>
        <w:tabs>
          <w:tab w:leader="none" w:pos="73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Pledgor's Right to Direct Investment. </w:t>
      </w:r>
      <w:r>
        <w:rPr>
          <w:rFonts w:ascii="Times New Roman" w:cs="Times New Roman" w:eastAsia="Times New Roman" w:hAnsi="Times New Roman"/>
          <w:sz w:val="18"/>
          <w:szCs w:val="18"/>
          <w:color w:val="auto"/>
        </w:rPr>
        <w:t>Except during any Suspension Period, Securities Intermediary shall, in accordance with Pledgor's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Entitlement Orders given to Securities Intermediary from time to time, sell or redeem Investments, and apply amounts transferred to or held for the credit of the respective Securities Account to make investments for credit to the Securities Account, in Securities Intermediary's name and as custodian under this Agreement, in Permitted Investments denominated and payable in United States Dollars. During any Suspension Period, (i) Pledgor's right to direct such investments under this Section 4(b) shall be suspended, and Securities Intermediary shall not accept Entitlement Orders with respect to the Securities Account from any person other than Secured Party; and (ii) any credit balances shall be invested and reinvested only as provided in Section 4(c).</w:t>
      </w:r>
    </w:p>
    <w:p>
      <w:pPr>
        <w:spacing w:after="0" w:line="193" w:lineRule="exact"/>
        <w:rPr>
          <w:rFonts w:ascii="Times New Roman" w:cs="Times New Roman" w:eastAsia="Times New Roman" w:hAnsi="Times New Roman"/>
          <w:sz w:val="18"/>
          <w:szCs w:val="18"/>
          <w:color w:val="auto"/>
        </w:rPr>
      </w:pPr>
    </w:p>
    <w:p>
      <w:pPr>
        <w:ind w:firstLine="359"/>
        <w:spacing w:after="0" w:line="255" w:lineRule="auto"/>
        <w:tabs>
          <w:tab w:leader="none" w:pos="72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Overnight Investments. </w:t>
      </w:r>
      <w:r>
        <w:rPr>
          <w:rFonts w:ascii="Times New Roman" w:cs="Times New Roman" w:eastAsia="Times New Roman" w:hAnsi="Times New Roman"/>
          <w:sz w:val="18"/>
          <w:szCs w:val="18"/>
          <w:color w:val="auto"/>
        </w:rPr>
        <w:t>To the extent that (i) with respect to the Deposit Accounts, there are credit balances expected in the Deposit Accounts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a day, or (ii) with respect to the Securities Account (A) a Suspension Period is then in effect or (B) based on the maturities of Investments then held in a Securities Account a credit balance is expected in such Securities Account as of 2:00 p.m., New York time on any Business Day after settlement of all pending transactions, unless otherwise instructed by Secured Party, Securities Intermediary shall apply such expected credit balances to acquire Overnight Investments. Any Overnight Investments shall be held for the credit of the Collateral Account from which the proceeds for acquisition was derived. Pledgor shall have no right to invest funds in a Securities Account to the extent that free balances have been invested in Overnight Investments pursuant to this Section. Except as specifically set forth above, any amount received after 1:00 p.m., New York time will remain uninvested and shall not bear interest.</w:t>
      </w:r>
    </w:p>
    <w:p>
      <w:pPr>
        <w:spacing w:after="0" w:line="189" w:lineRule="exact"/>
        <w:rPr>
          <w:rFonts w:ascii="Times New Roman" w:cs="Times New Roman" w:eastAsia="Times New Roman" w:hAnsi="Times New Roman"/>
          <w:sz w:val="18"/>
          <w:szCs w:val="18"/>
          <w:color w:val="auto"/>
        </w:rPr>
      </w:pPr>
    </w:p>
    <w:p>
      <w:pPr>
        <w:ind w:right="120" w:firstLine="359"/>
        <w:spacing w:after="0" w:line="255" w:lineRule="auto"/>
        <w:tabs>
          <w:tab w:leader="none" w:pos="72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of Securities Intermediary on Purchase of Investments. </w:t>
      </w:r>
      <w:r>
        <w:rPr>
          <w:rFonts w:ascii="Times New Roman" w:cs="Times New Roman" w:eastAsia="Times New Roman" w:hAnsi="Times New Roman"/>
          <w:sz w:val="18"/>
          <w:szCs w:val="18"/>
          <w:color w:val="auto"/>
        </w:rPr>
        <w:t>Promptly upon the purchase, acquisition or transfer for credit of any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any Investment, Securities Intermediary shall take all steps that it customarily takes in the ordinary course of its business to ensure that such Investment is credited on its books to the Collateral Account for which the Investment was acquired. Without limiting the generality of the foregoing, Securities Intermediary shall promptly (i) send to Pledgor and Secured Party a written confirmation of the acquisition of such Investment, and (ii) indicate by book entry in its records that such Investment has been credited to, and is held for the credit of, the specified Collateral Account. Securities Intermediary agrees with Pledgor and Secured Party that any credit balances or property credited to, or held for the credit of, the Collateral Accounts shall be treated as "Financial Assets" as that term is defined in Section 8-102(a)(9) of the Code.</w:t>
      </w:r>
    </w:p>
    <w:p>
      <w:pPr>
        <w:spacing w:after="0" w:line="189" w:lineRule="exact"/>
        <w:rPr>
          <w:rFonts w:ascii="Times New Roman" w:cs="Times New Roman" w:eastAsia="Times New Roman" w:hAnsi="Times New Roman"/>
          <w:sz w:val="18"/>
          <w:szCs w:val="18"/>
          <w:color w:val="auto"/>
        </w:rPr>
      </w:pPr>
    </w:p>
    <w:p>
      <w:pPr>
        <w:ind w:right="180" w:firstLine="359"/>
        <w:spacing w:after="0" w:line="277" w:lineRule="auto"/>
        <w:tabs>
          <w:tab w:leader="none" w:pos="72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Collateral Accounts. </w:t>
      </w:r>
      <w:r>
        <w:rPr>
          <w:rFonts w:ascii="Times New Roman" w:cs="Times New Roman" w:eastAsia="Times New Roman" w:hAnsi="Times New Roman"/>
          <w:sz w:val="18"/>
          <w:szCs w:val="18"/>
          <w:color w:val="auto"/>
        </w:rPr>
        <w:t>Amounts held on deposit or as credit balances, whether in a Deposit Account or a Securities Account shall not bear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although to the extent invested in Investments (including Overnight Investments), deposit or credit balances may realize interest income.</w:t>
      </w:r>
    </w:p>
    <w:p>
      <w:pPr>
        <w:spacing w:after="0" w:line="170" w:lineRule="exact"/>
        <w:rPr>
          <w:rFonts w:ascii="Times New Roman" w:cs="Times New Roman" w:eastAsia="Times New Roman" w:hAnsi="Times New Roman"/>
          <w:sz w:val="18"/>
          <w:szCs w:val="18"/>
          <w:color w:val="auto"/>
        </w:rPr>
      </w:pPr>
    </w:p>
    <w:p>
      <w:pPr>
        <w:ind w:firstLine="359"/>
        <w:spacing w:after="0" w:line="286" w:lineRule="auto"/>
        <w:tabs>
          <w:tab w:leader="none" w:pos="70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Control Agreement. </w:t>
      </w:r>
      <w:r>
        <w:rPr>
          <w:rFonts w:ascii="Times New Roman" w:cs="Times New Roman" w:eastAsia="Times New Roman" w:hAnsi="Times New Roman"/>
          <w:sz w:val="16"/>
          <w:szCs w:val="16"/>
          <w:color w:val="auto"/>
        </w:rPr>
        <w:t>Anything contained herein to the contrary notwithstanding, including the actual or alleged absence of a Potential Event of Default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Event of Default, Securities Intermediary shall, if and as directed in writing by Secured Party, without the consent of Pledgor, (i) comply with Entitlement Orders originated by Secured Party with respect to the Collateral Accounts and any Security Entitlements therein, (ii) comply with instructions, including, without limitation, instructions within the meaning of Section 9-104 of the Code originated by Secured Party directing the disposition of funds in the Collateral Accounts,</w:t>
      </w:r>
    </w:p>
    <w:p>
      <w:pPr>
        <w:spacing w:after="0" w:line="1" w:lineRule="exact"/>
        <w:rPr>
          <w:rFonts w:ascii="Times New Roman" w:cs="Times New Roman" w:eastAsia="Times New Roman" w:hAnsi="Times New Roman"/>
          <w:sz w:val="16"/>
          <w:szCs w:val="16"/>
          <w:color w:val="auto"/>
        </w:rPr>
      </w:pPr>
    </w:p>
    <w:p>
      <w:pPr>
        <w:ind w:right="140" w:firstLine="8"/>
        <w:spacing w:after="0" w:line="252" w:lineRule="auto"/>
        <w:tabs>
          <w:tab w:leader="none" w:pos="3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redeem any of the Collateral, (iv) transfer any or all of the Collateral to any account or accounts designated by Secured Party, including any Collateral Account or an account established in Secured Party's name (whether at Secured Party or Securities Intermediary or otherwise), (v) register title to any Collateral in any name specified by Secured Party, including the name of Secured Party or any of its nominees or agents, without reference to any interest of Pledgor, or (vi) otherwise deal with the Collateral as directed by Secured Party. Securities Intermediary shall act on any Entitlement Order or instruction of Secured Party notwithstanding assertions or proof that (1) Secured Party has no right under Sections 14 or 15 to originate the Entitlement Order or instruction or take the underlying action; (2) such Entitlement Order 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instruction or action constitutes a breach of this Agreement or any other agreement; or (3) this Agreement has terminated, unless notified in writing by Secured Party that this Agreement has terminated and such notice has not been withdrawn. Nothing contained in this paragraph shall constitute a waiver by Pledgor of any rights or remedies it may have against Secured Party under this Agreement or any other agreement.</w:t>
      </w:r>
    </w:p>
    <w:p>
      <w:pPr>
        <w:spacing w:after="0" w:line="184" w:lineRule="exact"/>
        <w:rPr>
          <w:sz w:val="20"/>
          <w:szCs w:val="20"/>
          <w:color w:val="auto"/>
        </w:rPr>
      </w:pPr>
    </w:p>
    <w:p>
      <w:pPr>
        <w:ind w:firstLine="359"/>
        <w:spacing w:after="0" w:line="255" w:lineRule="auto"/>
        <w:tabs>
          <w:tab w:leader="none" w:pos="73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Deposit of Proceeds, </w:t>
      </w:r>
      <w:r>
        <w:rPr>
          <w:rFonts w:ascii="Times New Roman" w:cs="Times New Roman" w:eastAsia="Times New Roman" w:hAnsi="Times New Roman"/>
          <w:sz w:val="18"/>
          <w:szCs w:val="18"/>
          <w:color w:val="auto"/>
        </w:rPr>
        <w:t>Any interest earned on the Deposit Accounts in accordance with Section 4(e), any interest, cash dividends or other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distributions received in respect of any Investments and the net proceeds of any sale or payment of any Investments shall be promptly credited to, and held for the credit of, the Collateral Account to which such Investment was credited. Any distribution of property in respect of any Investment shall be credited to and held for the credit of the Collateral Account to which the related Investment was credited;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unless otherwise instructed in writing by Secured Party, Securities Intermediary shall, for credit to the Collateral Accounts, promptly sell, redeem or otherwise liquidate any such property that, as of the date of receipt, is not a Permitted Investment.</w:t>
      </w:r>
    </w:p>
    <w:p>
      <w:pPr>
        <w:spacing w:after="0" w:line="193" w:lineRule="exact"/>
        <w:rPr>
          <w:rFonts w:ascii="Times New Roman" w:cs="Times New Roman" w:eastAsia="Times New Roman" w:hAnsi="Times New Roman"/>
          <w:sz w:val="18"/>
          <w:szCs w:val="18"/>
          <w:color w:val="auto"/>
        </w:rPr>
      </w:pPr>
    </w:p>
    <w:p>
      <w:pPr>
        <w:ind w:right="80" w:firstLine="359"/>
        <w:spacing w:after="0" w:line="277" w:lineRule="auto"/>
        <w:tabs>
          <w:tab w:leader="none" w:pos="73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Segregation of Accounts. </w:t>
      </w:r>
      <w:r>
        <w:rPr>
          <w:rFonts w:ascii="Times New Roman" w:cs="Times New Roman" w:eastAsia="Times New Roman" w:hAnsi="Times New Roman"/>
          <w:sz w:val="18"/>
          <w:szCs w:val="18"/>
          <w:color w:val="auto"/>
        </w:rPr>
        <w:t>Except to the extent otherwise instructed by Secured Party or as provided in Section 2(a), 2(b), 2(c), 2(d) or 4(g),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Intermediary shall separately maintain each of the Collateral Accounts and shall not transfer property or proceeds among the Collateral Accounts.</w:t>
      </w:r>
    </w:p>
    <w:p>
      <w:pPr>
        <w:spacing w:after="0" w:line="168"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i w:val="1"/>
          <w:iCs w:val="1"/>
          <w:color w:val="auto"/>
        </w:rPr>
        <w:t>Pledge of Security for Secured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Pledgor hereby pledges and assigns to Secured Party, and hereby grants to Secured Party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of the Bank Lenders a security interest in, all of Pledgor's right, title and interest in and to the Collateral as collateral security for the prompt payment or performance in full when due, whether at stated maturity, by required prepayment, declaration, acceleration, demand or otherwise (including the payment of amounts that would become due but for the operation of the automatic stay under Section 362(a) of the United States Bankruptcy Code, 11 U.S.C. 362(a)), of all Secured Obligations.</w:t>
      </w:r>
    </w:p>
    <w:p>
      <w:pPr>
        <w:spacing w:after="0" w:line="188"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6"/>
          <w:szCs w:val="16"/>
          <w:b w:val="1"/>
          <w:bCs w:val="1"/>
          <w:i w:val="1"/>
          <w:iCs w:val="1"/>
          <w:color w:val="auto"/>
        </w:rPr>
        <w:t>Acknowledgement of Security Interest in Favor of Secured Party; Covenant Against Creation of other Interests.</w:t>
      </w:r>
    </w:p>
    <w:p>
      <w:pPr>
        <w:spacing w:after="0" w:line="227" w:lineRule="exact"/>
        <w:rPr>
          <w:sz w:val="20"/>
          <w:szCs w:val="20"/>
          <w:color w:val="auto"/>
        </w:rPr>
      </w:pPr>
    </w:p>
    <w:p>
      <w:pPr>
        <w:ind w:right="100" w:firstLine="359"/>
        <w:spacing w:after="0" w:line="277" w:lineRule="auto"/>
        <w:tabs>
          <w:tab w:leader="none" w:pos="71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Acknowledgement of Security Interest. </w:t>
      </w:r>
      <w:r>
        <w:rPr>
          <w:rFonts w:ascii="Times New Roman" w:cs="Times New Roman" w:eastAsia="Times New Roman" w:hAnsi="Times New Roman"/>
          <w:sz w:val="18"/>
          <w:szCs w:val="18"/>
          <w:color w:val="auto"/>
        </w:rPr>
        <w:t>Securities Intermediary acknowledges the security interest granted by Pledgor in favor of Secured Party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w:t>
      </w:r>
    </w:p>
    <w:p>
      <w:pPr>
        <w:spacing w:after="0" w:line="170" w:lineRule="exact"/>
        <w:rPr>
          <w:rFonts w:ascii="Times New Roman" w:cs="Times New Roman" w:eastAsia="Times New Roman" w:hAnsi="Times New Roman"/>
          <w:sz w:val="18"/>
          <w:szCs w:val="18"/>
          <w:color w:val="auto"/>
        </w:rPr>
      </w:pPr>
    </w:p>
    <w:p>
      <w:pPr>
        <w:jc w:val="both"/>
        <w:ind w:right="200" w:firstLine="359"/>
        <w:spacing w:after="0" w:line="259" w:lineRule="auto"/>
        <w:tabs>
          <w:tab w:leader="none" w:pos="72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Acknowledgement of Securities Intermediary's Role. </w:t>
      </w:r>
      <w:r>
        <w:rPr>
          <w:rFonts w:ascii="Times New Roman" w:cs="Times New Roman" w:eastAsia="Times New Roman" w:hAnsi="Times New Roman"/>
          <w:sz w:val="18"/>
          <w:szCs w:val="18"/>
          <w:color w:val="auto"/>
        </w:rPr>
        <w:t>Securities Intermediary hereby further acknowledges that it holds the Collateral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Security Entitlements therein, as securities intermediary (as defined in Section 8-102(a)(14) of the Code) and custodian for, for the benefit of, and subject to the control of, Secured Party. Securities Intermediary shall, by book entry or otherwise, indicate that the Collateral Accounts, and all Security Entitlements registered to or held therein, are subject to the control of Secured Party as provided in Section 4(f).</w:t>
      </w:r>
    </w:p>
    <w:p>
      <w:pPr>
        <w:spacing w:after="0" w:line="186" w:lineRule="exact"/>
        <w:rPr>
          <w:rFonts w:ascii="Times New Roman" w:cs="Times New Roman" w:eastAsia="Times New Roman" w:hAnsi="Times New Roman"/>
          <w:sz w:val="18"/>
          <w:szCs w:val="18"/>
          <w:color w:val="auto"/>
        </w:rPr>
      </w:pPr>
    </w:p>
    <w:p>
      <w:pPr>
        <w:ind w:right="80" w:firstLine="359"/>
        <w:spacing w:after="0" w:line="302" w:lineRule="auto"/>
        <w:tabs>
          <w:tab w:leader="none" w:pos="72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Securities Intermediary Has No Notice of Adverse Claims. </w:t>
      </w:r>
      <w:r>
        <w:rPr>
          <w:rFonts w:ascii="Times New Roman" w:cs="Times New Roman" w:eastAsia="Times New Roman" w:hAnsi="Times New Roman"/>
          <w:sz w:val="16"/>
          <w:szCs w:val="16"/>
          <w:color w:val="auto"/>
        </w:rPr>
        <w:t>Securities Intermediary represents and warrants that (i) it has no notice of any adverse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claim against any of the Collateral other than the claim of Secured Party under this Agreement; and (ii) it is not, in its capacity as securities intermediary, party to any agreement other than this Agreement that governs its rights or duties, or limits or conflicts with the rights of Secured Party, including the exclusive right of Secured Party to control as provided in Section 4(f), with respect to the Collateral Accounts;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parties hereto recognize and</w:t>
      </w:r>
    </w:p>
    <w:p>
      <w:pPr>
        <w:sectPr>
          <w:pgSz w:w="11900" w:h="16838" w:orient="portrait"/>
          <w:cols w:equalWidth="0" w:num="1">
            <w:col w:w="11420"/>
          </w:cols>
          <w:pgMar w:left="240" w:top="123" w:right="239" w:bottom="0" w:gutter="0" w:footer="0" w:header="0"/>
        </w:sectPr>
      </w:pPr>
    </w:p>
    <w:bookmarkStart w:id="88" w:name="page89"/>
    <w:bookmarkEnd w:id="88"/>
    <w:p>
      <w:pPr>
        <w:ind w:right="80"/>
        <w:spacing w:after="0" w:line="256" w:lineRule="auto"/>
        <w:rPr>
          <w:sz w:val="20"/>
          <w:szCs w:val="20"/>
          <w:color w:val="auto"/>
        </w:rPr>
      </w:pPr>
      <w:r>
        <w:rPr>
          <w:rFonts w:ascii="Times New Roman" w:cs="Times New Roman" w:eastAsia="Times New Roman" w:hAnsi="Times New Roman"/>
          <w:sz w:val="18"/>
          <w:szCs w:val="18"/>
          <w:color w:val="auto"/>
        </w:rPr>
        <w:t>acknowledge that immediately after the execution and delivery of this Agreement, the Pledgor, Securities Intermediary and the Indenture Trustee will enter into a Local Second Mortgage Notes Collateral Account Agreement (the "Local Second Mortgage Notes Collateral Account Agreement") pursuant to which Pledgor shall grant a security interest in, and control over, certain of the Collateral Accounts to the Indenture Trustee. Pursuant to the Project Lenders Intercreditor Agreement, the security interest so granted to the Indenture Trustee shall be subject to and subordinate to the security interest over the same collateral granted to Secured Party hereunder.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Securities Intermediary agrees that until such time as it has been notified in writing by Secured Party that this Agreement has terminated, Securities Intermediary shall not comply with any Entitlement Orders originated by the Indenture Trustee or take any of the actions specified in clauses (i) through (vi) of Section 4(f) above, except with the consent of Secured Party.</w:t>
      </w:r>
    </w:p>
    <w:p>
      <w:pPr>
        <w:spacing w:after="0" w:line="184" w:lineRule="exact"/>
        <w:rPr>
          <w:sz w:val="20"/>
          <w:szCs w:val="20"/>
          <w:color w:val="auto"/>
        </w:rPr>
      </w:pPr>
    </w:p>
    <w:p>
      <w:pPr>
        <w:ind w:right="40" w:firstLine="359"/>
        <w:spacing w:after="0" w:line="259" w:lineRule="auto"/>
        <w:tabs>
          <w:tab w:leader="none" w:pos="73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Intermediary Shall Not Acknowledge Other Claims. </w:t>
      </w:r>
      <w:r>
        <w:rPr>
          <w:rFonts w:ascii="Times New Roman" w:cs="Times New Roman" w:eastAsia="Times New Roman" w:hAnsi="Times New Roman"/>
          <w:sz w:val="18"/>
          <w:szCs w:val="18"/>
          <w:color w:val="auto"/>
        </w:rPr>
        <w:t>Securities Intermediary agrees that, except as expressly provided in Section 6(c)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elsewhere in this Agreement or with the written consent of Secured Party, it shall not agree to or acknowledge (i) any right by any Person other than Secured Party to originate Entitlement Orders or control with respect to the Collateral Accounts; or (ii) any limitation on the right of Secured Party to originate Entitlement Orders with respect to or direct the transfer of any Investments or cash credited to the Collateral Accounts.</w:t>
      </w:r>
    </w:p>
    <w:p>
      <w:pPr>
        <w:spacing w:after="0" w:line="185"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6"/>
          <w:szCs w:val="16"/>
          <w:b w:val="1"/>
          <w:bCs w:val="1"/>
          <w:i w:val="1"/>
          <w:iCs w:val="1"/>
          <w:color w:val="auto"/>
        </w:rPr>
        <w:t>Securities Intermediary Maintenance of the Collateral Accounts.</w:t>
      </w:r>
    </w:p>
    <w:p>
      <w:pPr>
        <w:spacing w:after="0" w:line="227" w:lineRule="exact"/>
        <w:rPr>
          <w:sz w:val="20"/>
          <w:szCs w:val="20"/>
          <w:color w:val="auto"/>
        </w:rPr>
      </w:pPr>
    </w:p>
    <w:p>
      <w:pPr>
        <w:ind w:right="60" w:firstLine="359"/>
        <w:spacing w:after="0" w:line="264" w:lineRule="auto"/>
        <w:tabs>
          <w:tab w:leader="none" w:pos="72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Transactions Shall Comply With Rules. </w:t>
      </w:r>
      <w:r>
        <w:rPr>
          <w:rFonts w:ascii="Times New Roman" w:cs="Times New Roman" w:eastAsia="Times New Roman" w:hAnsi="Times New Roman"/>
          <w:sz w:val="18"/>
          <w:szCs w:val="18"/>
          <w:color w:val="auto"/>
        </w:rPr>
        <w:t>The parties acknowledge that all transactions in Financial Assets under this Agreement shall be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rules and customs of the exchange, market or clearing organization, if any, in which the transactions are executed or settled and in conformity with applicable law and regulations of governmental authorities and future amendments or supplements thereto.</w:t>
      </w:r>
    </w:p>
    <w:p>
      <w:pPr>
        <w:spacing w:after="0" w:line="181" w:lineRule="exact"/>
        <w:rPr>
          <w:rFonts w:ascii="Times New Roman" w:cs="Times New Roman" w:eastAsia="Times New Roman" w:hAnsi="Times New Roman"/>
          <w:sz w:val="18"/>
          <w:szCs w:val="18"/>
          <w:color w:val="auto"/>
        </w:rPr>
      </w:pPr>
    </w:p>
    <w:p>
      <w:pPr>
        <w:ind w:right="240" w:firstLine="359"/>
        <w:spacing w:after="0" w:line="264" w:lineRule="auto"/>
        <w:tabs>
          <w:tab w:leader="none" w:pos="73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Fees and Charges of Securities Intermediary. </w:t>
      </w:r>
      <w:r>
        <w:rPr>
          <w:rFonts w:ascii="Times New Roman" w:cs="Times New Roman" w:eastAsia="Times New Roman" w:hAnsi="Times New Roman"/>
          <w:sz w:val="18"/>
          <w:szCs w:val="18"/>
          <w:color w:val="auto"/>
        </w:rPr>
        <w:t>Pledgor shall pay to Securities Intermediary, in accordance with Securities Intermediary's usual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of charges or any written agreement between Securities Intermediary and Pledgor, any fees or charges reasonably imposed by Securities Intermediary with respect to, the establishment, maintenance and transactions in or affecting the Collateral Accounts.</w:t>
      </w:r>
    </w:p>
    <w:p>
      <w:pPr>
        <w:spacing w:after="0" w:line="181" w:lineRule="exact"/>
        <w:rPr>
          <w:rFonts w:ascii="Times New Roman" w:cs="Times New Roman" w:eastAsia="Times New Roman" w:hAnsi="Times New Roman"/>
          <w:sz w:val="18"/>
          <w:szCs w:val="18"/>
          <w:color w:val="auto"/>
        </w:rPr>
      </w:pPr>
    </w:p>
    <w:p>
      <w:pPr>
        <w:ind w:right="80" w:firstLine="359"/>
        <w:spacing w:after="0" w:line="288" w:lineRule="auto"/>
        <w:tabs>
          <w:tab w:leader="none" w:pos="722"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Securities Intermediary Shall Not Permit Leverage of Investments. </w:t>
      </w:r>
      <w:r>
        <w:rPr>
          <w:rFonts w:ascii="Times New Roman" w:cs="Times New Roman" w:eastAsia="Times New Roman" w:hAnsi="Times New Roman"/>
          <w:sz w:val="16"/>
          <w:szCs w:val="16"/>
          <w:color w:val="auto"/>
        </w:rPr>
        <w:t>Securities Intermediary shall not execute any transaction to acquire a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under Section 4(b) unless (A) there are sufficient funds in a specific Collateral Account to settle such transactions or (B) it is reasonably anticipated that such funds will be generated through the liquidation of Financial Assets in such Collateral Account. Notwithstanding the foregoing sentence, in the event that Securities Intermediary executes a transaction without adequate funds to settle the transaction, then unless the Securities Intermediary acted willfully or in a grossly negligent manner, Pledgor shall be liable to Securities Intermediary for any deficiency and shall promptly reimburse Securities Intermediary for any loss or expense incurred thereby, including losses sustained by reason of Securities Intermediary's inability to borrow any securities or other property sold for the Collateral Account. Pledgor agrees to pay interest charges which may be imposed by Securities Intermediary in accordance with its usual custom, with respect to late payments for Financial Assets purchased for any Collateral Account and prepayments to any Collateral Account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crediting of the proceeds of sale before the settlement date or receipt by Securities Intermediary of the items sold in good deliverable form). Pledgor agrees to pay promptly any amount which may become due in order to satisfy demands for additional margin or marks to market with respect to any security purchased or sold on instruction from Pledgor.</w:t>
      </w:r>
    </w:p>
    <w:p>
      <w:pPr>
        <w:spacing w:after="0" w:line="169" w:lineRule="exact"/>
        <w:rPr>
          <w:rFonts w:ascii="Times New Roman" w:cs="Times New Roman" w:eastAsia="Times New Roman" w:hAnsi="Times New Roman"/>
          <w:sz w:val="16"/>
          <w:szCs w:val="16"/>
          <w:color w:val="auto"/>
        </w:rPr>
      </w:pPr>
    </w:p>
    <w:p>
      <w:pPr>
        <w:ind w:right="40" w:firstLine="359"/>
        <w:spacing w:after="0" w:line="286" w:lineRule="auto"/>
        <w:tabs>
          <w:tab w:leader="none" w:pos="731"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Risk of Investments and Transactions. </w:t>
      </w:r>
      <w:r>
        <w:rPr>
          <w:rFonts w:ascii="Times New Roman" w:cs="Times New Roman" w:eastAsia="Times New Roman" w:hAnsi="Times New Roman"/>
          <w:sz w:val="16"/>
          <w:szCs w:val="16"/>
          <w:color w:val="auto"/>
        </w:rPr>
        <w:t>It is not the intention of the parties that Securities Intermediary should bear any investment risk associated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Investments or Overnight Investments acquired for the credit of the Collateral Accounts in accordance with Section 4. Any losses or gains realized on such Investments shall be charged or credited to the Collateral Accounts, as appropriate. On committing to a transaction for the credit of the Collateral Accounts pursuant to an instruction permitted in accordance with Section 4, Securities Intermediary may, (i) pending settlement, block (A) the Investments to be sold or</w:t>
      </w:r>
    </w:p>
    <w:p>
      <w:pPr>
        <w:spacing w:after="0" w:line="1" w:lineRule="exact"/>
        <w:rPr>
          <w:rFonts w:ascii="Times New Roman" w:cs="Times New Roman" w:eastAsia="Times New Roman" w:hAnsi="Times New Roman"/>
          <w:sz w:val="16"/>
          <w:szCs w:val="16"/>
          <w:color w:val="auto"/>
        </w:rPr>
      </w:pPr>
    </w:p>
    <w:p>
      <w:pPr>
        <w:ind w:right="80" w:firstLine="8"/>
        <w:spacing w:after="0" w:line="261" w:lineRule="auto"/>
        <w:tabs>
          <w:tab w:leader="none" w:pos="2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balances sufficient to settle any acquisition and, (ii) at the time of settlement, deliver such Investments or funds in accordance with the rules, custom or practice of the particular market.</w:t>
      </w:r>
    </w:p>
    <w:p>
      <w:pPr>
        <w:spacing w:after="0" w:line="183" w:lineRule="exact"/>
        <w:rPr>
          <w:rFonts w:ascii="Times New Roman" w:cs="Times New Roman" w:eastAsia="Times New Roman" w:hAnsi="Times New Roman"/>
          <w:sz w:val="18"/>
          <w:szCs w:val="18"/>
          <w:color w:val="auto"/>
        </w:rPr>
      </w:pPr>
    </w:p>
    <w:p>
      <w:pPr>
        <w:ind w:right="220" w:firstLine="359"/>
        <w:spacing w:after="0" w:line="277" w:lineRule="auto"/>
        <w:tabs>
          <w:tab w:leader="none" w:pos="72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Intermediaries and Nominees. </w:t>
      </w:r>
      <w:r>
        <w:rPr>
          <w:rFonts w:ascii="Times New Roman" w:cs="Times New Roman" w:eastAsia="Times New Roman" w:hAnsi="Times New Roman"/>
          <w:sz w:val="18"/>
          <w:szCs w:val="18"/>
          <w:color w:val="auto"/>
        </w:rPr>
        <w:t>Securities Intermediary is authorized, subject to Secured Party's written instructions, to register any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by Securities Intermediary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this Agreement in the name of Securities Intermediary or in the name of its nominee, or to cause such securities to be registered in the name of a Federal reserve bank, a recognized securities intermediary or clearing corporation, or a nominee of any of them. Securities Intermediary may at any time and from time to time appoint, and may at any time remove, any bank, trust company, clearing corporation, or Broker-Dealer as its agent to carry out such of the provisions of this Agreement. The appointment or use of any intermediary, or the appointment of any such agent, shall not relieve Securities Intermediary of any responsibility or liability under this Agreement.</w:t>
      </w:r>
    </w:p>
    <w:p>
      <w:pPr>
        <w:spacing w:after="0" w:line="191" w:lineRule="exact"/>
        <w:rPr>
          <w:sz w:val="20"/>
          <w:szCs w:val="20"/>
          <w:color w:val="auto"/>
        </w:rPr>
      </w:pPr>
    </w:p>
    <w:p>
      <w:pPr>
        <w:ind w:right="40" w:firstLine="359"/>
        <w:spacing w:after="0" w:line="253" w:lineRule="auto"/>
        <w:tabs>
          <w:tab w:leader="none" w:pos="70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Actions. </w:t>
      </w:r>
      <w:r>
        <w:rPr>
          <w:rFonts w:ascii="Times New Roman" w:cs="Times New Roman" w:eastAsia="Times New Roman" w:hAnsi="Times New Roman"/>
          <w:sz w:val="18"/>
          <w:szCs w:val="18"/>
          <w:color w:val="auto"/>
        </w:rPr>
        <w:t>Except as otherwise set forth herein, the parties agree that neither Secured Party nor Securities Intermediary shall have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ascertaining or acting upon any calls, conversions, exchange offers, tenders, interest rate changes or similar matters relating to any Financial Assets credited to or held for the credit of the Securities Account (except based on written instructions originated by Pledgor or Secured Party), or for informing Pledgor or Secured Party with respect thereto, whether or not Securities Intermediary or Secured Party has, or is deemed to have, knowledge of any of the aforesaid. Securities Intermediary is authorized to withdraw securities sold or otherwise disposed of, and to credit the appropriate Collateral Account with the proceeds thereof or make such other disposition thereof as may be directed in accordance with this Agreement. Securities Intermediary is further authorized to collect all income and other payments which may become due on Financial Assets credited to the Collateral Accounts, to surrender for payment maturing obligations and those called for redemption and to exchange certificates in temporary form for like certificates in definitive form, or, if the par value of any shares is changed, to effect the exchange for new certificates. It is understood and agreed by Pledgor and Secured Party that, although Securities Intermediary will use reasonable efforts to effect the transactions set forth in the preceding sentence, Securities Intermediary shall incur no liability for its failure to effect the same unless its failure is the result of wilful misconduct.</w:t>
      </w:r>
    </w:p>
    <w:p>
      <w:pPr>
        <w:spacing w:after="0" w:line="192" w:lineRule="exact"/>
        <w:rPr>
          <w:rFonts w:ascii="Times New Roman" w:cs="Times New Roman" w:eastAsia="Times New Roman" w:hAnsi="Times New Roman"/>
          <w:sz w:val="18"/>
          <w:szCs w:val="18"/>
          <w:color w:val="auto"/>
        </w:rPr>
      </w:pPr>
    </w:p>
    <w:p>
      <w:pPr>
        <w:ind w:right="220" w:firstLine="359"/>
        <w:spacing w:after="0" w:line="342" w:lineRule="auto"/>
        <w:tabs>
          <w:tab w:leader="none" w:pos="731"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Disclosure of Account Relationships. </w:t>
      </w:r>
      <w:r>
        <w:rPr>
          <w:rFonts w:ascii="Times New Roman" w:cs="Times New Roman" w:eastAsia="Times New Roman" w:hAnsi="Times New Roman"/>
          <w:sz w:val="16"/>
          <w:szCs w:val="16"/>
          <w:color w:val="auto"/>
        </w:rPr>
        <w:t>Pledgor and Secured Party acknowledge that Securities Intermediary may be required to disclose to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issuers the name, address and securities positions with respect to Financial Assets credited to the Collateral Accounts, and hereby consent to such disclosures.</w:t>
      </w:r>
    </w:p>
    <w:p>
      <w:pPr>
        <w:sectPr>
          <w:pgSz w:w="11900" w:h="16838" w:orient="portrait"/>
          <w:cols w:equalWidth="0" w:num="1">
            <w:col w:w="11420"/>
          </w:cols>
          <w:pgMar w:left="240" w:top="125" w:right="239" w:bottom="0" w:gutter="0" w:footer="0" w:header="0"/>
        </w:sectPr>
      </w:pPr>
    </w:p>
    <w:bookmarkStart w:id="89" w:name="page90"/>
    <w:bookmarkEnd w:id="89"/>
    <w:p>
      <w:pPr>
        <w:ind w:right="120" w:firstLine="359"/>
        <w:spacing w:after="0" w:line="264" w:lineRule="auto"/>
        <w:tabs>
          <w:tab w:leader="none" w:pos="73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Forwarding of Documents. </w:t>
      </w:r>
      <w:r>
        <w:rPr>
          <w:rFonts w:ascii="Times New Roman" w:cs="Times New Roman" w:eastAsia="Times New Roman" w:hAnsi="Times New Roman"/>
          <w:sz w:val="18"/>
          <w:szCs w:val="18"/>
          <w:color w:val="auto"/>
        </w:rPr>
        <w:t>Securities Intermediary shall forward to Pledgor and Secured Party, or notify Pledgor and Secured Party by telephone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communications received by Securities Intermediary as owner of any Financial Assets credited to the Collateral Accounts and which are intended to be transmitted to the beneficial owner thereof.</w:t>
      </w:r>
    </w:p>
    <w:p>
      <w:pPr>
        <w:spacing w:after="0" w:line="181" w:lineRule="exact"/>
        <w:rPr>
          <w:rFonts w:ascii="Times New Roman" w:cs="Times New Roman" w:eastAsia="Times New Roman" w:hAnsi="Times New Roman"/>
          <w:sz w:val="18"/>
          <w:szCs w:val="18"/>
          <w:color w:val="auto"/>
        </w:rPr>
      </w:pPr>
    </w:p>
    <w:p>
      <w:pPr>
        <w:ind w:firstLine="359"/>
        <w:spacing w:after="0" w:line="264" w:lineRule="auto"/>
        <w:tabs>
          <w:tab w:leader="none" w:pos="6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Direction of Secured Party Controls in Disputes. </w:t>
      </w:r>
      <w:r>
        <w:rPr>
          <w:rFonts w:ascii="Times New Roman" w:cs="Times New Roman" w:eastAsia="Times New Roman" w:hAnsi="Times New Roman"/>
          <w:sz w:val="18"/>
          <w:szCs w:val="18"/>
          <w:color w:val="auto"/>
        </w:rPr>
        <w:t>Pledgor, Securities Intermediary and Secured Party hereby agree that in the event any dispute arises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payment, ownership or right to possession of the Collateral Accounts or any other Collateral credited to or held therein, Securities Intermediary shall take such actions and shall refrain from taking such actions with respect thereto as may be directed by Secured Party.</w:t>
      </w:r>
    </w:p>
    <w:p>
      <w:pPr>
        <w:spacing w:after="0" w:line="181" w:lineRule="exact"/>
        <w:rPr>
          <w:rFonts w:ascii="Times New Roman" w:cs="Times New Roman" w:eastAsia="Times New Roman" w:hAnsi="Times New Roman"/>
          <w:sz w:val="18"/>
          <w:szCs w:val="18"/>
          <w:color w:val="auto"/>
        </w:rPr>
      </w:pPr>
    </w:p>
    <w:p>
      <w:pPr>
        <w:ind w:right="340" w:firstLine="359"/>
        <w:spacing w:after="0" w:line="257" w:lineRule="auto"/>
        <w:tabs>
          <w:tab w:leader="none" w:pos="6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Setoff, etc. </w:t>
      </w:r>
      <w:r>
        <w:rPr>
          <w:rFonts w:ascii="Times New Roman" w:cs="Times New Roman" w:eastAsia="Times New Roman" w:hAnsi="Times New Roman"/>
          <w:sz w:val="18"/>
          <w:szCs w:val="18"/>
          <w:color w:val="auto"/>
        </w:rPr>
        <w:t>Securities Intermediary shall not exercise on its own behalf any claim, right of set-off, banker's lien, clearing lien, counterclaim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right against any of the Collateral; provided that Securities Intermediary may deduct, from any credit balances, any usual and ordinary transaction and administration fees payable in connection with the administration and operation of the Collateral Accounts. Except for claims for deductions permitted in the preceding sentence, Securities Intermediary agrees that any security interest it may have in the Collateral Accounts or any security entitlement carried therein shall be subordinate and junior to the interest of Secured Party.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0" w:firstLine="359"/>
        <w:spacing w:after="0" w:line="264" w:lineRule="auto"/>
        <w:tabs>
          <w:tab w:leader="none" w:pos="73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Agreement. </w:t>
      </w:r>
      <w:r>
        <w:rPr>
          <w:rFonts w:ascii="Times New Roman" w:cs="Times New Roman" w:eastAsia="Times New Roman" w:hAnsi="Times New Roman"/>
          <w:sz w:val="18"/>
          <w:szCs w:val="18"/>
          <w:color w:val="auto"/>
        </w:rPr>
        <w:t>This Agreement shall govern the actions, rights and obligations of Securities Intermediary, and shall determine the governing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Collateral Accounts and the Collateral notwithstanding any term or condition in any agreement other than this Agreement as it may be amended, supplemented or otherwise modified in writing.</w:t>
      </w:r>
    </w:p>
    <w:p>
      <w:pPr>
        <w:spacing w:after="0" w:line="181" w:lineRule="exact"/>
        <w:rPr>
          <w:rFonts w:ascii="Times New Roman" w:cs="Times New Roman" w:eastAsia="Times New Roman" w:hAnsi="Times New Roman"/>
          <w:sz w:val="18"/>
          <w:szCs w:val="18"/>
          <w:color w:val="auto"/>
        </w:rPr>
      </w:pPr>
    </w:p>
    <w:p>
      <w:pPr>
        <w:ind w:right="40" w:firstLine="359"/>
        <w:spacing w:after="0" w:line="302" w:lineRule="auto"/>
        <w:tabs>
          <w:tab w:leader="none" w:pos="69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Care of Financial Assets. </w:t>
      </w:r>
      <w:r>
        <w:rPr>
          <w:rFonts w:ascii="Times New Roman" w:cs="Times New Roman" w:eastAsia="Times New Roman" w:hAnsi="Times New Roman"/>
          <w:sz w:val="16"/>
          <w:szCs w:val="16"/>
          <w:color w:val="auto"/>
        </w:rPr>
        <w:t>Securities Intermediary shall maintain possession or control of all Financial Assets credited to the Collateral Accounts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segregating such Financial Assets from its proprietary assets and keeping them free of any lien, charge or claim of any third party granted or created by Securities Intermediary. Securities Intermediary shall take such other steps to ensure that Financial Assets credited to the Collateral Accounts are identified as being held for customers of Securities Intermediary as may required under applicable law, including 17 CFR Part 450, or in accordance with custom and practice in the industry.</w:t>
      </w:r>
    </w:p>
    <w:p>
      <w:pPr>
        <w:spacing w:after="0" w:line="152"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6"/>
          <w:szCs w:val="16"/>
          <w:b w:val="1"/>
          <w:bCs w:val="1"/>
          <w:i w:val="1"/>
          <w:iCs w:val="1"/>
          <w:color w:val="auto"/>
        </w:rPr>
        <w:t>Transactions in Collateral Accounts.</w:t>
      </w:r>
    </w:p>
    <w:p>
      <w:pPr>
        <w:spacing w:after="0" w:line="227" w:lineRule="exact"/>
        <w:rPr>
          <w:sz w:val="20"/>
          <w:szCs w:val="20"/>
          <w:color w:val="auto"/>
        </w:rPr>
      </w:pPr>
    </w:p>
    <w:p>
      <w:pPr>
        <w:ind w:right="60" w:firstLine="359"/>
        <w:spacing w:after="0" w:line="259" w:lineRule="auto"/>
        <w:tabs>
          <w:tab w:leader="none" w:pos="72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of Secured Party to Sell or Transfer. </w:t>
      </w:r>
      <w:r>
        <w:rPr>
          <w:rFonts w:ascii="Times New Roman" w:cs="Times New Roman" w:eastAsia="Times New Roman" w:hAnsi="Times New Roman"/>
          <w:sz w:val="18"/>
          <w:szCs w:val="18"/>
          <w:color w:val="auto"/>
        </w:rPr>
        <w:t>Pledgor agrees that Secured Party may sell or cause the sale or redemption of any Investment and instruct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Intermediary to transfer the proceeds of such sale or any other credit or balance in any of Collateral Accounts to any of the Collateral Accounts or any third party or account, in either case (i) if such sale or redemption is necessary to permit Secured Party or the Disbursement Agent to perform its duties under this Agreement, the Disbursement Agreement or the Intercreditor Agreement, or (ii) as provided in Section 14.</w:t>
      </w:r>
    </w:p>
    <w:p>
      <w:pPr>
        <w:spacing w:after="0" w:line="186" w:lineRule="exact"/>
        <w:rPr>
          <w:rFonts w:ascii="Times New Roman" w:cs="Times New Roman" w:eastAsia="Times New Roman" w:hAnsi="Times New Roman"/>
          <w:sz w:val="18"/>
          <w:szCs w:val="18"/>
          <w:color w:val="auto"/>
        </w:rPr>
      </w:pPr>
    </w:p>
    <w:p>
      <w:pPr>
        <w:ind w:right="100" w:firstLine="359"/>
        <w:spacing w:after="0" w:line="257" w:lineRule="auto"/>
        <w:tabs>
          <w:tab w:leader="none" w:pos="73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Drawings Permitted from Certain Accounts. </w:t>
      </w:r>
      <w:r>
        <w:rPr>
          <w:rFonts w:ascii="Times New Roman" w:cs="Times New Roman" w:eastAsia="Times New Roman" w:hAnsi="Times New Roman"/>
          <w:sz w:val="18"/>
          <w:szCs w:val="18"/>
          <w:color w:val="auto"/>
        </w:rPr>
        <w:t>By Pledgor. Except during any Suspension Period, Pledgor may by Check (as defined in Section 3-104(2)(b) of the Code) or other means draw funds from the Operating Account, the Soft Costs Cash Management Account, the Hard Costs Cash Management Account and the Company's Payment Account for the purposes set forth in the Disbursement Agreement. During any Suspension Period, the Operating Account, the Soft Costs Cash Management Account, the Hard Costs Cash Management Account and the Company's Payment Account shall be blocked, and Pledgor shall have no right to draw any amounts therefrom or cause any Financial Assets to be transferred out of any Collateral Account.</w:t>
      </w:r>
    </w:p>
    <w:p>
      <w:pPr>
        <w:spacing w:after="0" w:line="186" w:lineRule="exact"/>
        <w:rPr>
          <w:sz w:val="20"/>
          <w:szCs w:val="20"/>
          <w:color w:val="auto"/>
        </w:rPr>
      </w:pPr>
    </w:p>
    <w:p>
      <w:pPr>
        <w:ind w:left="360"/>
        <w:spacing w:after="0"/>
        <w:tabs>
          <w:tab w:leader="none" w:pos="1480" w:val="left"/>
          <w:tab w:leader="none" w:pos="600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8"/>
          <w:szCs w:val="18"/>
          <w:b w:val="1"/>
          <w:bCs w:val="1"/>
          <w:i w:val="1"/>
          <w:iCs w:val="1"/>
          <w:color w:val="auto"/>
        </w:rPr>
        <w:t>Representations and Warranties By Securities Intermediary.</w:t>
      </w:r>
      <w:r>
        <w:rPr>
          <w:sz w:val="20"/>
          <w:szCs w:val="20"/>
          <w:color w:val="auto"/>
        </w:rPr>
        <w:tab/>
      </w:r>
      <w:r>
        <w:rPr>
          <w:rFonts w:ascii="Times New Roman" w:cs="Times New Roman" w:eastAsia="Times New Roman" w:hAnsi="Times New Roman"/>
          <w:sz w:val="16"/>
          <w:szCs w:val="16"/>
          <w:color w:val="auto"/>
        </w:rPr>
        <w:t>Securities Intermediary hereby represents and warrants to Pledgor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Party as follows:</w:t>
      </w:r>
    </w:p>
    <w:p>
      <w:pPr>
        <w:spacing w:after="0" w:line="211" w:lineRule="exact"/>
        <w:rPr>
          <w:sz w:val="20"/>
          <w:szCs w:val="20"/>
          <w:color w:val="auto"/>
        </w:rPr>
      </w:pPr>
    </w:p>
    <w:p>
      <w:pPr>
        <w:ind w:left="720" w:hanging="361"/>
        <w:spacing w:after="0"/>
        <w:tabs>
          <w:tab w:leader="none" w:pos="7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Power.  </w:t>
      </w:r>
      <w:r>
        <w:rPr>
          <w:rFonts w:ascii="Times New Roman" w:cs="Times New Roman" w:eastAsia="Times New Roman" w:hAnsi="Times New Roman"/>
          <w:sz w:val="18"/>
          <w:szCs w:val="18"/>
          <w:color w:val="auto"/>
        </w:rPr>
        <w:t>Securities Intermediary has all necessary corporate power and authority to enter into and perform this Agreement.</w:t>
      </w:r>
    </w:p>
    <w:p>
      <w:pPr>
        <w:spacing w:after="0" w:line="225" w:lineRule="exact"/>
        <w:rPr>
          <w:rFonts w:ascii="Times New Roman" w:cs="Times New Roman" w:eastAsia="Times New Roman" w:hAnsi="Times New Roman"/>
          <w:sz w:val="18"/>
          <w:szCs w:val="18"/>
          <w:color w:val="auto"/>
        </w:rPr>
      </w:pPr>
    </w:p>
    <w:p>
      <w:pPr>
        <w:ind w:right="500" w:firstLine="359"/>
        <w:spacing w:after="0" w:line="277" w:lineRule="auto"/>
        <w:tabs>
          <w:tab w:leader="none" w:pos="73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Authorized. </w:t>
      </w:r>
      <w:r>
        <w:rPr>
          <w:rFonts w:ascii="Times New Roman" w:cs="Times New Roman" w:eastAsia="Times New Roman" w:hAnsi="Times New Roman"/>
          <w:sz w:val="18"/>
          <w:szCs w:val="18"/>
          <w:color w:val="auto"/>
        </w:rPr>
        <w:t>The execution, delivery and performance of this Agreement by Securities Intermediary have been duly authorized by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corporate action on the part of Securities Intermediary.</w:t>
      </w:r>
    </w:p>
    <w:p>
      <w:pPr>
        <w:spacing w:after="0" w:line="170" w:lineRule="exact"/>
        <w:rPr>
          <w:rFonts w:ascii="Times New Roman" w:cs="Times New Roman" w:eastAsia="Times New Roman" w:hAnsi="Times New Roman"/>
          <w:sz w:val="18"/>
          <w:szCs w:val="18"/>
          <w:color w:val="auto"/>
        </w:rPr>
      </w:pPr>
    </w:p>
    <w:p>
      <w:pPr>
        <w:ind w:right="80" w:firstLine="359"/>
        <w:spacing w:after="0" w:line="291" w:lineRule="auto"/>
        <w:tabs>
          <w:tab w:leader="none" w:pos="722"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Securities Intermediary. </w:t>
      </w:r>
      <w:r>
        <w:rPr>
          <w:rFonts w:ascii="Times New Roman" w:cs="Times New Roman" w:eastAsia="Times New Roman" w:hAnsi="Times New Roman"/>
          <w:sz w:val="16"/>
          <w:szCs w:val="16"/>
          <w:color w:val="auto"/>
        </w:rPr>
        <w:t>Securities Intermediary is a "securities intermediary" (as that term is defined in Section 8-102(a)(14) of the Code) and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acting in such capacity with respect to the Collateral Accounts. Securities Intermediary is not a "clearing corporation" (as that term is defined in Section 8-102(a)</w:t>
      </w:r>
    </w:p>
    <w:p>
      <w:pPr>
        <w:ind w:left="260" w:hanging="252"/>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9" w:lineRule="exact"/>
        <w:rPr>
          <w:sz w:val="20"/>
          <w:szCs w:val="20"/>
          <w:color w:val="auto"/>
        </w:rPr>
      </w:pPr>
    </w:p>
    <w:p>
      <w:pPr>
        <w:ind w:left="360"/>
        <w:spacing w:after="0"/>
        <w:tabs>
          <w:tab w:leader="none" w:pos="1560" w:val="left"/>
          <w:tab w:leader="none" w:pos="410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8"/>
          <w:szCs w:val="18"/>
          <w:b w:val="1"/>
          <w:bCs w:val="1"/>
          <w:i w:val="1"/>
          <w:iCs w:val="1"/>
          <w:color w:val="auto"/>
        </w:rPr>
        <w:t>Representations and Warranties.</w:t>
      </w:r>
      <w:r>
        <w:rPr>
          <w:sz w:val="20"/>
          <w:szCs w:val="20"/>
          <w:color w:val="auto"/>
        </w:rPr>
        <w:tab/>
      </w:r>
      <w:r>
        <w:rPr>
          <w:rFonts w:ascii="Times New Roman" w:cs="Times New Roman" w:eastAsia="Times New Roman" w:hAnsi="Times New Roman"/>
          <w:sz w:val="16"/>
          <w:szCs w:val="16"/>
          <w:color w:val="auto"/>
        </w:rPr>
        <w:t>Pledgor represents and warrants as follows:</w:t>
      </w:r>
    </w:p>
    <w:p>
      <w:pPr>
        <w:spacing w:after="0" w:line="227" w:lineRule="exact"/>
        <w:rPr>
          <w:sz w:val="20"/>
          <w:szCs w:val="20"/>
          <w:color w:val="auto"/>
        </w:rPr>
      </w:pPr>
    </w:p>
    <w:p>
      <w:pPr>
        <w:ind w:right="140" w:firstLine="359"/>
        <w:spacing w:after="0" w:line="257" w:lineRule="auto"/>
        <w:tabs>
          <w:tab w:leader="none" w:pos="72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Ownership of Collateral; Security Interest; Perfection and Priority. </w:t>
      </w:r>
      <w:r>
        <w:rPr>
          <w:rFonts w:ascii="Times New Roman" w:cs="Times New Roman" w:eastAsia="Times New Roman" w:hAnsi="Times New Roman"/>
          <w:sz w:val="18"/>
          <w:szCs w:val="18"/>
          <w:color w:val="auto"/>
        </w:rPr>
        <w:t>Except as specifically set forth in Section 2.3.3 of the Disbursement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Pledgor is (or at the time of transfer thereof to Securities Intermediary will be) the legal and beneficial owner of the Collateral from time to time transferred by Pledgor to Securities Intermediary, as agent for Secured Party, free and clear of any Lien except for the security interest created by this Agreement and the security interest created by the Local Second Mortgage Notes Collateral Account Agreement. The pledge and assignment of the Collateral pursuant to this Agreement creates a valid security interest in the Collateral securing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Payment of the Secured Obligations. Assuming compliance by Securities Intermediary with this Agreement, Secured Party will have a perfected security interest in the Collateral senior in priority to any other security interest created by Pledgor.</w:t>
      </w:r>
    </w:p>
    <w:p>
      <w:pPr>
        <w:spacing w:after="0" w:line="172" w:lineRule="exact"/>
        <w:rPr>
          <w:sz w:val="20"/>
          <w:szCs w:val="20"/>
          <w:color w:val="auto"/>
        </w:rPr>
      </w:pPr>
    </w:p>
    <w:p>
      <w:pPr>
        <w:ind w:right="60" w:firstLine="359"/>
        <w:spacing w:after="0" w:line="259" w:lineRule="auto"/>
        <w:tabs>
          <w:tab w:leader="none" w:pos="73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Governmental Authorizations. </w:t>
      </w:r>
      <w:r>
        <w:rPr>
          <w:rFonts w:ascii="Times New Roman" w:cs="Times New Roman" w:eastAsia="Times New Roman" w:hAnsi="Times New Roman"/>
          <w:sz w:val="18"/>
          <w:szCs w:val="18"/>
          <w:color w:val="auto"/>
        </w:rPr>
        <w:t>Subject to any Nevada Gaming Commission Approvals, no authorization, approval or other action by, and no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filing with, any governmental authority or regulatory body is required for either (i) the grant by Pledgor of the security interest granted hereby, (ii) the execution, delivery or performance of this Agreement by Pledgor, or (iii) the perfection of or, subject to any Nevada Gaming Commission approvals, the exercise by Secured Party or Securities Intermediary of its rights and remedies hereunder (except as may have been taken by or at the direction of Pledgor).</w:t>
      </w:r>
    </w:p>
    <w:p>
      <w:pPr>
        <w:spacing w:after="0" w:line="186" w:lineRule="exact"/>
        <w:rPr>
          <w:rFonts w:ascii="Times New Roman" w:cs="Times New Roman" w:eastAsia="Times New Roman" w:hAnsi="Times New Roman"/>
          <w:sz w:val="18"/>
          <w:szCs w:val="18"/>
          <w:color w:val="auto"/>
        </w:rPr>
      </w:pPr>
    </w:p>
    <w:p>
      <w:pPr>
        <w:ind w:right="320" w:firstLine="359"/>
        <w:spacing w:after="0" w:line="277" w:lineRule="auto"/>
        <w:tabs>
          <w:tab w:leader="none" w:pos="72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Information. </w:t>
      </w:r>
      <w:r>
        <w:rPr>
          <w:rFonts w:ascii="Times New Roman" w:cs="Times New Roman" w:eastAsia="Times New Roman" w:hAnsi="Times New Roman"/>
          <w:sz w:val="18"/>
          <w:szCs w:val="18"/>
          <w:color w:val="auto"/>
        </w:rPr>
        <w:t>All information heretofore, herein or hereafter supplied to Secured Party or Securities Intermediary by or on behalf of Pledgor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Collateral, the establishment of the Collateral Accounts or otherwise is accurate and complete in all material respects.</w:t>
      </w:r>
    </w:p>
    <w:p>
      <w:pPr>
        <w:sectPr>
          <w:pgSz w:w="11900" w:h="16838" w:orient="portrait"/>
          <w:cols w:equalWidth="0" w:num="1">
            <w:col w:w="11420"/>
          </w:cols>
          <w:pgMar w:left="240" w:top="123" w:right="239" w:bottom="0" w:gutter="0" w:footer="0" w:header="0"/>
        </w:sectPr>
      </w:pPr>
    </w:p>
    <w:bookmarkStart w:id="90" w:name="page91"/>
    <w:bookmarkEnd w:id="90"/>
    <w:p>
      <w:pPr>
        <w:ind w:left="3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6"/>
          <w:szCs w:val="16"/>
          <w:b w:val="1"/>
          <w:bCs w:val="1"/>
          <w:i w:val="1"/>
          <w:iCs w:val="1"/>
          <w:color w:val="auto"/>
        </w:rPr>
        <w:t>Further Assurances.</w:t>
      </w:r>
    </w:p>
    <w:p>
      <w:pPr>
        <w:spacing w:after="0" w:line="227" w:lineRule="exact"/>
        <w:rPr>
          <w:sz w:val="20"/>
          <w:szCs w:val="20"/>
          <w:color w:val="auto"/>
        </w:rPr>
      </w:pPr>
    </w:p>
    <w:p>
      <w:pPr>
        <w:ind w:firstLine="359"/>
        <w:spacing w:after="0" w:line="255" w:lineRule="auto"/>
        <w:tabs>
          <w:tab w:leader="none" w:pos="72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Pledgor. </w:t>
      </w:r>
      <w:r>
        <w:rPr>
          <w:rFonts w:ascii="Times New Roman" w:cs="Times New Roman" w:eastAsia="Times New Roman" w:hAnsi="Times New Roman"/>
          <w:sz w:val="18"/>
          <w:szCs w:val="18"/>
          <w:color w:val="auto"/>
        </w:rPr>
        <w:t>Pledgor agrees that from time to time, at the expense of Pledgor, Pledgor shall promptly execute and deliver all further instruments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 take all further action, that may be necessary or reasonably desirable, or that Secured Party may reasonably request, in order to perfect and protect any security interest granted or purported to be granted hereby or to enable Secured Party or Securities Intermediary to exercise and enforce its rights and remedies hereunder with respect to any Collateral. Without limiting the generality of the foregoing, Pledgor shall: (a) execute and file such financing or continuation statements, or amendments thereto, and such other instruments or notices, as Secured Party may reasonably request, in order to perfect and preserve the security interests granted or purported to be granted hereby, and (b) at Secured Party's request, appear in and defend any action or proceeding that may affect Pledgor's title to or Secured Party's security interest in all or any part of the Collateral.</w:t>
      </w:r>
    </w:p>
    <w:p>
      <w:pPr>
        <w:spacing w:after="0" w:line="189" w:lineRule="exact"/>
        <w:rPr>
          <w:rFonts w:ascii="Times New Roman" w:cs="Times New Roman" w:eastAsia="Times New Roman" w:hAnsi="Times New Roman"/>
          <w:sz w:val="18"/>
          <w:szCs w:val="18"/>
          <w:color w:val="auto"/>
        </w:rPr>
      </w:pPr>
    </w:p>
    <w:p>
      <w:pPr>
        <w:ind w:right="100" w:firstLine="359"/>
        <w:spacing w:after="0" w:line="264" w:lineRule="auto"/>
        <w:tabs>
          <w:tab w:leader="none" w:pos="73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Intermediary. </w:t>
      </w:r>
      <w:r>
        <w:rPr>
          <w:rFonts w:ascii="Times New Roman" w:cs="Times New Roman" w:eastAsia="Times New Roman" w:hAnsi="Times New Roman"/>
          <w:sz w:val="18"/>
          <w:szCs w:val="18"/>
          <w:color w:val="auto"/>
        </w:rPr>
        <w:t>Securities Intermediary shall take such further actions as Secured Party shall reasonably request as being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desirable to maintain or achieve perfection or priority of Secured Party's security interest with respect to the Collateral and to permit Secured Party to exercise its rights with respect to the Collateral.</w:t>
      </w:r>
    </w:p>
    <w:p>
      <w:pPr>
        <w:spacing w:after="0" w:line="179" w:lineRule="exact"/>
        <w:rPr>
          <w:sz w:val="20"/>
          <w:szCs w:val="20"/>
          <w:color w:val="auto"/>
        </w:rPr>
      </w:pPr>
    </w:p>
    <w:p>
      <w:pPr>
        <w:ind w:right="560" w:firstLine="35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Transfers and other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Pledgor agrees that, except as permitted in Section 4(b) and for the security interest created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Local Second Mortgage Notes Collateral Account Agreement, it shall not (a) sell, assign (by operation of law or otherwise), redeem or otherwise dispose of any of the Collateral or (b) create or suffer to exist any Lien upon or with respect to any of the Collateral.</w:t>
      </w:r>
    </w:p>
    <w:p>
      <w:pPr>
        <w:spacing w:after="0" w:line="179" w:lineRule="exact"/>
        <w:rPr>
          <w:sz w:val="20"/>
          <w:szCs w:val="20"/>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6"/>
          <w:szCs w:val="16"/>
          <w:b w:val="1"/>
          <w:bCs w:val="1"/>
          <w:i w:val="1"/>
          <w:iCs w:val="1"/>
          <w:color w:val="auto"/>
        </w:rPr>
        <w:t>Secured Party Appointed Attorney-in-Fact; Secured Party Performance.</w:t>
      </w:r>
    </w:p>
    <w:p>
      <w:pPr>
        <w:spacing w:after="0" w:line="227" w:lineRule="exact"/>
        <w:rPr>
          <w:sz w:val="20"/>
          <w:szCs w:val="20"/>
          <w:color w:val="auto"/>
        </w:rPr>
      </w:pPr>
    </w:p>
    <w:p>
      <w:pPr>
        <w:ind w:right="20" w:firstLine="359"/>
        <w:spacing w:after="0" w:line="255" w:lineRule="auto"/>
        <w:tabs>
          <w:tab w:leader="none" w:pos="72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Secured Party Appointed Attorney-in-Fact. </w:t>
      </w:r>
      <w:r>
        <w:rPr>
          <w:rFonts w:ascii="Times New Roman" w:cs="Times New Roman" w:eastAsia="Times New Roman" w:hAnsi="Times New Roman"/>
          <w:sz w:val="18"/>
          <w:szCs w:val="18"/>
          <w:color w:val="auto"/>
        </w:rPr>
        <w:t>Pledgor hereby irrevocably appoints Secured Party as Pledgor's attorney-in-fact, with full authority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and stead of Pledgor and in the name of Pledgor, Secured Party or otherwise, from time to time in Secured Party's discretion to take any action and to execute any instrument that Secured Party may deem necessary or advisable to accomplish the purposes of this Agreement, including (a) to file one or more financing or continuation statements, or amendments thereto, relative to all or any part of the Collateral without the signature of Pledgor and (b) to receive, endorse and collect any instruments or other Investments made payable to Pledgor representing any dividend, principal or interest payment or other distribution in respect of the Collateral or any part thereof and to give full discharge for the same.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firstLine="359"/>
        <w:spacing w:after="0" w:line="277" w:lineRule="auto"/>
        <w:tabs>
          <w:tab w:leader="none" w:pos="73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by Secured Party. </w:t>
      </w:r>
      <w:r>
        <w:rPr>
          <w:rFonts w:ascii="Times New Roman" w:cs="Times New Roman" w:eastAsia="Times New Roman" w:hAnsi="Times New Roman"/>
          <w:sz w:val="18"/>
          <w:szCs w:val="18"/>
          <w:color w:val="auto"/>
        </w:rPr>
        <w:t>If Pledgor fails to perform any agreement contained herein, Secured Party may itself perform, or cause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agreement, and the expenses of Secured Party incurred in connection therewith shall be payable by Pledgor under Section 16.</w:t>
      </w:r>
    </w:p>
    <w:p>
      <w:pPr>
        <w:spacing w:after="0" w:line="168" w:lineRule="exact"/>
        <w:rPr>
          <w:sz w:val="20"/>
          <w:szCs w:val="20"/>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6"/>
          <w:szCs w:val="16"/>
          <w:b w:val="1"/>
          <w:bCs w:val="1"/>
          <w:i w:val="1"/>
          <w:iCs w:val="1"/>
          <w:color w:val="auto"/>
        </w:rPr>
        <w:t>Remedies.</w:t>
      </w:r>
    </w:p>
    <w:p>
      <w:pPr>
        <w:spacing w:after="0" w:line="227" w:lineRule="exact"/>
        <w:rPr>
          <w:sz w:val="20"/>
          <w:szCs w:val="20"/>
          <w:color w:val="auto"/>
        </w:rPr>
      </w:pPr>
    </w:p>
    <w:p>
      <w:pPr>
        <w:ind w:right="80" w:firstLine="359"/>
        <w:spacing w:after="0" w:line="293" w:lineRule="auto"/>
        <w:tabs>
          <w:tab w:leader="none" w:pos="72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Transfer or Sequestration of Collateral after Potential Event of Default or Event of Default. </w:t>
      </w:r>
      <w:r>
        <w:rPr>
          <w:rFonts w:ascii="Times New Roman" w:cs="Times New Roman" w:eastAsia="Times New Roman" w:hAnsi="Times New Roman"/>
          <w:sz w:val="16"/>
          <w:szCs w:val="16"/>
          <w:color w:val="auto"/>
        </w:rPr>
        <w:t>If any Potential Event of Default or Event of Default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have occurred and be continuing, subject to any Nevada Gaming Laws and the receipt of any required Nevada Gaming Approvals, Secured Party may instruct Securities Intermediary to (i) sell or redeem any Investments, (ii) transfer any or all of the Collateral constituting cash to the Deposit Accounts or transfer any or all of the Collateral to any account designated by Secured Party, including account or accounts established in Secured Party's name (whether at Secured Party or Securities Intermediary or otherwise), (iii) register title to any Collateral in any name specified by Secured Party, including the name of Secured Party or any of its nominees or agents, without reference to any interest of Pledgor, or (iv) otherwise deal with the Collateral as directed by Secured Party.</w:t>
      </w:r>
    </w:p>
    <w:p>
      <w:pPr>
        <w:spacing w:after="0" w:line="164" w:lineRule="exact"/>
        <w:rPr>
          <w:rFonts w:ascii="Times New Roman" w:cs="Times New Roman" w:eastAsia="Times New Roman" w:hAnsi="Times New Roman"/>
          <w:sz w:val="16"/>
          <w:szCs w:val="16"/>
          <w:color w:val="auto"/>
        </w:rPr>
      </w:pPr>
    </w:p>
    <w:p>
      <w:pPr>
        <w:ind w:right="80" w:firstLine="359"/>
        <w:spacing w:after="0" w:line="253" w:lineRule="auto"/>
        <w:tabs>
          <w:tab w:leader="none" w:pos="73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of Secured Party after Event of Default. </w:t>
      </w:r>
      <w:r>
        <w:rPr>
          <w:rFonts w:ascii="Times New Roman" w:cs="Times New Roman" w:eastAsia="Times New Roman" w:hAnsi="Times New Roman"/>
          <w:sz w:val="18"/>
          <w:szCs w:val="18"/>
          <w:color w:val="auto"/>
        </w:rPr>
        <w:t>If any Event of Default shall have occurred and be continuing, Secured Party may exercise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Collateral, in addition to all other rights and remedies provided for herein or otherwise available to it at law or in equity, all the rights and remedies of a secured party on default under the Uniform Commercial Code as in effect in any relevant jurisdiction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(whether or not the UCC applies to the affected Collateral), and Secured Party may also in its sole discretion sell the Collateral or any part thereof in one or more parcels at public or private sale, at any exchange or broker's board or at any of Secured Party's offices or elsewhere, for cash, on credit or for future delivery, at such time or times and at such price or prices and upon such other terms as Secured Party may deem commercially reasonable, irrespective, of the impact of any such sales on the market price of the Collateral. Each purchaser at any such sale shall hold the property sold absolutely free from any claim or right on the part of Pledgor, and Pledgor hereby waives (to the extent permitted by applicable law) all rights of redemption, stay or appraisal which it now has or may at any time in the future have under any rule of law or statute now existing or hereafter enacted. Secured Party shall not be obligated to make any sale of Collateral regardless of notice of sale having been given. Secured Party may adjourn any public or private sale from time to time by announcement at the time and place fixed therefor, and such sale may, without further notice, be made at the time and place to which it was so adjourned.</w:t>
      </w:r>
    </w:p>
    <w:p>
      <w:pPr>
        <w:spacing w:after="0" w:line="192" w:lineRule="exact"/>
        <w:rPr>
          <w:rFonts w:ascii="Times New Roman" w:cs="Times New Roman" w:eastAsia="Times New Roman" w:hAnsi="Times New Roman"/>
          <w:sz w:val="18"/>
          <w:szCs w:val="18"/>
          <w:color w:val="auto"/>
        </w:rPr>
      </w:pPr>
    </w:p>
    <w:p>
      <w:pPr>
        <w:ind w:right="20" w:firstLine="359"/>
        <w:spacing w:after="0" w:line="259" w:lineRule="auto"/>
        <w:tabs>
          <w:tab w:leader="none" w:pos="7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as to Manner of Sale. </w:t>
      </w:r>
      <w:r>
        <w:rPr>
          <w:rFonts w:ascii="Times New Roman" w:cs="Times New Roman" w:eastAsia="Times New Roman" w:hAnsi="Times New Roman"/>
          <w:sz w:val="18"/>
          <w:szCs w:val="18"/>
          <w:color w:val="auto"/>
        </w:rPr>
        <w:t>Pledgor hereby agrees that the Collateral is of a type customarily sold on recognized markets and, accordingly,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notice to any Person is required before any sale of any of the Collateral pursuant to the terms of this Agreement; provided that, without prejudice to the foregoing, Pledgor agrees that, to the extent notice of any such sale shall be required by law, at least ten days' notice to Pledgor of the time and place of any public sale or the time after which any private sale is to be made shall constitute reasonable notification.</w:t>
      </w:r>
    </w:p>
    <w:p>
      <w:pPr>
        <w:spacing w:after="0" w:line="186" w:lineRule="exact"/>
        <w:rPr>
          <w:rFonts w:ascii="Times New Roman" w:cs="Times New Roman" w:eastAsia="Times New Roman" w:hAnsi="Times New Roman"/>
          <w:sz w:val="18"/>
          <w:szCs w:val="18"/>
          <w:color w:val="auto"/>
        </w:rPr>
      </w:pPr>
    </w:p>
    <w:p>
      <w:pPr>
        <w:ind w:right="100" w:firstLine="359"/>
        <w:spacing w:after="0" w:line="277" w:lineRule="auto"/>
        <w:tabs>
          <w:tab w:leader="none" w:pos="73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Deficiency. </w:t>
      </w:r>
      <w:r>
        <w:rPr>
          <w:rFonts w:ascii="Times New Roman" w:cs="Times New Roman" w:eastAsia="Times New Roman" w:hAnsi="Times New Roman"/>
          <w:sz w:val="18"/>
          <w:szCs w:val="18"/>
          <w:color w:val="auto"/>
        </w:rPr>
        <w:t>If the proceeds of any sale or other disposition of the Collateral are insufficient to pay all the Secured Obligations, Pledgor shall be liable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deficiency and the fees of any attorneys employed by Secured Party to collect such deficiency.</w:t>
      </w:r>
    </w:p>
    <w:p>
      <w:pPr>
        <w:spacing w:after="0" w:line="170" w:lineRule="exact"/>
        <w:rPr>
          <w:rFonts w:ascii="Times New Roman" w:cs="Times New Roman" w:eastAsia="Times New Roman" w:hAnsi="Times New Roman"/>
          <w:sz w:val="18"/>
          <w:szCs w:val="18"/>
          <w:color w:val="auto"/>
        </w:rPr>
      </w:pPr>
    </w:p>
    <w:p>
      <w:pPr>
        <w:ind w:right="40" w:firstLine="359"/>
        <w:spacing w:after="0" w:line="277" w:lineRule="auto"/>
        <w:tabs>
          <w:tab w:leader="none" w:pos="72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Set-off. </w:t>
      </w:r>
      <w:r>
        <w:rPr>
          <w:rFonts w:ascii="Times New Roman" w:cs="Times New Roman" w:eastAsia="Times New Roman" w:hAnsi="Times New Roman"/>
          <w:sz w:val="18"/>
          <w:szCs w:val="18"/>
          <w:color w:val="auto"/>
        </w:rPr>
        <w:t>Anything contained herein to the contrary notwithstanding, all sums in the Collateral Accounts shall be subject to Secured Party's or any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rights of set-off.</w:t>
      </w:r>
    </w:p>
    <w:p>
      <w:pPr>
        <w:spacing w:after="0" w:line="168" w:lineRule="exact"/>
        <w:rPr>
          <w:sz w:val="20"/>
          <w:szCs w:val="20"/>
          <w:color w:val="auto"/>
        </w:rPr>
      </w:pPr>
    </w:p>
    <w:p>
      <w:pPr>
        <w:jc w:val="both"/>
        <w:ind w:right="80" w:firstLine="35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i w:val="1"/>
          <w:iCs w:val="1"/>
          <w:color w:val="auto"/>
        </w:rPr>
        <w:t>Application of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Event of Default shall have occurred and be continuing, all cash included as Collateral and all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Secured Party in respect of any sale or redemption of, collection from, or other realization upon all or any part of the Collateral may, in the discretion of Secured Party, be held by or for Secured Party as Collateral for, or then, or at any</w:t>
      </w:r>
    </w:p>
    <w:p>
      <w:pPr>
        <w:sectPr>
          <w:pgSz w:w="11900" w:h="16838" w:orient="portrait"/>
          <w:cols w:equalWidth="0" w:num="1">
            <w:col w:w="11420"/>
          </w:cols>
          <w:pgMar w:left="240" w:top="121" w:right="239" w:bottom="653"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653" w:gutter="0" w:footer="0" w:header="0"/>
          <w:type w:val="continuous"/>
        </w:sectPr>
      </w:pPr>
    </w:p>
    <w:bookmarkStart w:id="91" w:name="page92"/>
    <w:bookmarkEnd w:id="91"/>
    <w:p>
      <w:pPr>
        <w:spacing w:after="0" w:line="2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other time thereafter, applied in full or in part by Secured Party against, the Secured Obligations in any order or priority as may be determined by the Secured Party.</w:t>
      </w:r>
    </w:p>
    <w:p>
      <w:pPr>
        <w:spacing w:after="0" w:line="170" w:lineRule="exact"/>
        <w:rPr>
          <w:sz w:val="20"/>
          <w:szCs w:val="20"/>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6"/>
          <w:szCs w:val="16"/>
          <w:b w:val="1"/>
          <w:bCs w:val="1"/>
          <w:i w:val="1"/>
          <w:iCs w:val="1"/>
          <w:color w:val="auto"/>
        </w:rPr>
        <w:t>Limitations on Duties; Exculpation; Indemnity, Expenses.</w:t>
      </w:r>
    </w:p>
    <w:p>
      <w:pPr>
        <w:spacing w:after="0" w:line="227" w:lineRule="exact"/>
        <w:rPr>
          <w:sz w:val="20"/>
          <w:szCs w:val="20"/>
          <w:color w:val="auto"/>
        </w:rPr>
      </w:pPr>
    </w:p>
    <w:p>
      <w:pPr>
        <w:ind w:left="720" w:hanging="361"/>
        <w:spacing w:after="0"/>
        <w:tabs>
          <w:tab w:leader="none" w:pos="7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Intermediary.</w:t>
      </w:r>
    </w:p>
    <w:p>
      <w:pPr>
        <w:spacing w:after="0" w:line="225" w:lineRule="exact"/>
        <w:rPr>
          <w:rFonts w:ascii="Times New Roman" w:cs="Times New Roman" w:eastAsia="Times New Roman" w:hAnsi="Times New Roman"/>
          <w:sz w:val="18"/>
          <w:szCs w:val="18"/>
          <w:color w:val="auto"/>
        </w:rPr>
      </w:pPr>
    </w:p>
    <w:p>
      <w:pPr>
        <w:ind w:left="540" w:right="60" w:firstLine="359"/>
        <w:spacing w:after="0" w:line="253" w:lineRule="auto"/>
        <w:tabs>
          <w:tab w:leader="none" w:pos="123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Duties. </w:t>
      </w:r>
      <w:r>
        <w:rPr>
          <w:rFonts w:ascii="Times New Roman" w:cs="Times New Roman" w:eastAsia="Times New Roman" w:hAnsi="Times New Roman"/>
          <w:sz w:val="18"/>
          <w:szCs w:val="18"/>
          <w:color w:val="auto"/>
        </w:rPr>
        <w:t>Securities Intermediary's duties hereunder are only those specifically provided herein, and Securities Intermediary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 no liability whatsoever for any actions or omissions hereunder except for any such liability arising out of or in connection with Securities Intermediary's gross negligence or wilful misconduct. Securities Intermediary has no obligation to inquire into, or to ensure, the sufficiency of this Agreement or the arrangements described hereunder to satisfy any objectives of Secured Party or Pledgor. Securities Intermediary shall have no duty to supervise or to provide investment counseling or advice to Pledgor or Secured Party with respect to the purchase, sale, retention or other disposition of any Financial Assets held hereunder. Except as specifically otherwise provided in this Agreement, Securities Intermediary shall not be responsible for enforcing compliance by the other parties to this Agreement with their respective duties and obligations to each other under this or any other Agreement. Securities Intermediary shall have no liability in the event it is unable to perform its duties hereunder due to acts of war or other force majeure events outside its control, including court orders instructing the Securities Intermediary to take or omit taking certain actions.</w:t>
      </w:r>
    </w:p>
    <w:p>
      <w:pPr>
        <w:spacing w:after="0" w:line="197" w:lineRule="exact"/>
        <w:rPr>
          <w:rFonts w:ascii="Times New Roman" w:cs="Times New Roman" w:eastAsia="Times New Roman" w:hAnsi="Times New Roman"/>
          <w:sz w:val="18"/>
          <w:szCs w:val="18"/>
          <w:color w:val="auto"/>
        </w:rPr>
      </w:pPr>
    </w:p>
    <w:p>
      <w:pPr>
        <w:ind w:left="540" w:firstLine="359"/>
        <w:spacing w:after="0" w:line="342" w:lineRule="auto"/>
        <w:tabs>
          <w:tab w:leader="none" w:pos="1281"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Consultation with Counsel. </w:t>
      </w:r>
      <w:r>
        <w:rPr>
          <w:rFonts w:ascii="Times New Roman" w:cs="Times New Roman" w:eastAsia="Times New Roman" w:hAnsi="Times New Roman"/>
          <w:sz w:val="16"/>
          <w:szCs w:val="16"/>
          <w:color w:val="auto"/>
        </w:rPr>
        <w:t>Securities Intermediary may consult with, and obtain advice from, legal counsel as to the construction of any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provisions of this Agreement, and shall incur no liability in acting in good faith in accordance with the reasonable advice and opinion of such counsel.</w:t>
      </w:r>
    </w:p>
    <w:p>
      <w:pPr>
        <w:spacing w:after="0" w:line="123" w:lineRule="exact"/>
        <w:rPr>
          <w:rFonts w:ascii="Times New Roman" w:cs="Times New Roman" w:eastAsia="Times New Roman" w:hAnsi="Times New Roman"/>
          <w:sz w:val="16"/>
          <w:szCs w:val="16"/>
          <w:color w:val="auto"/>
        </w:rPr>
      </w:pPr>
    </w:p>
    <w:p>
      <w:pPr>
        <w:jc w:val="both"/>
        <w:ind w:left="540" w:right="160" w:firstLine="359"/>
        <w:spacing w:after="0" w:line="342" w:lineRule="auto"/>
        <w:tabs>
          <w:tab w:leader="none" w:pos="1330"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Indemnification. </w:t>
      </w:r>
      <w:r>
        <w:rPr>
          <w:rFonts w:ascii="Times New Roman" w:cs="Times New Roman" w:eastAsia="Times New Roman" w:hAnsi="Times New Roman"/>
          <w:sz w:val="16"/>
          <w:szCs w:val="16"/>
          <w:color w:val="auto"/>
        </w:rPr>
        <w:t>Pledgor agrees to indemnify Securities Intermediary in accordance with Section 11.15.2 of the Disbursement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hereby agrees that the Securities Intermediary shall be an indemnified party under such Section 11.15.2, which is hereby incorporated by reference.</w:t>
      </w:r>
    </w:p>
    <w:p>
      <w:pPr>
        <w:spacing w:after="0" w:line="123" w:lineRule="exact"/>
        <w:rPr>
          <w:rFonts w:ascii="Times New Roman" w:cs="Times New Roman" w:eastAsia="Times New Roman" w:hAnsi="Times New Roman"/>
          <w:sz w:val="16"/>
          <w:szCs w:val="16"/>
          <w:color w:val="auto"/>
        </w:rPr>
      </w:pPr>
    </w:p>
    <w:p>
      <w:pPr>
        <w:ind w:left="540" w:right="240" w:firstLine="359"/>
        <w:spacing w:after="0" w:line="259" w:lineRule="auto"/>
        <w:tabs>
          <w:tab w:leader="none" w:pos="13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Reasonable Reliance. </w:t>
      </w:r>
      <w:r>
        <w:rPr>
          <w:rFonts w:ascii="Times New Roman" w:cs="Times New Roman" w:eastAsia="Times New Roman" w:hAnsi="Times New Roman"/>
          <w:sz w:val="18"/>
          <w:szCs w:val="18"/>
          <w:color w:val="auto"/>
        </w:rPr>
        <w:t>Securities Intermediary shall be fully protected and shall suffer no liability in acting in accordance with any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reasonably believed by it to have been given (i) by Secured Party with respect to any aspect of the operation of the Collateral Accounts (including any such instructions relating to any investment or transfer of any amounts held therein) or (ii) by Pledgor, to the extent provided in Section 4(b), with respect to the Collateral Accounts.</w:t>
      </w:r>
    </w:p>
    <w:p>
      <w:pPr>
        <w:spacing w:after="0" w:line="186"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Secured Party.</w:t>
      </w:r>
    </w:p>
    <w:p>
      <w:pPr>
        <w:spacing w:after="0" w:line="225" w:lineRule="exact"/>
        <w:rPr>
          <w:rFonts w:ascii="Times New Roman" w:cs="Times New Roman" w:eastAsia="Times New Roman" w:hAnsi="Times New Roman"/>
          <w:sz w:val="18"/>
          <w:szCs w:val="18"/>
          <w:color w:val="auto"/>
        </w:rPr>
      </w:pPr>
    </w:p>
    <w:p>
      <w:pPr>
        <w:ind w:left="540" w:firstLine="359"/>
        <w:spacing w:after="0" w:line="253" w:lineRule="auto"/>
        <w:tabs>
          <w:tab w:leader="none" w:pos="123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Exculpation. </w:t>
      </w:r>
      <w:r>
        <w:rPr>
          <w:rFonts w:ascii="Times New Roman" w:cs="Times New Roman" w:eastAsia="Times New Roman" w:hAnsi="Times New Roman"/>
          <w:sz w:val="18"/>
          <w:szCs w:val="18"/>
          <w:color w:val="auto"/>
        </w:rPr>
        <w:t>The powers conferred on Secured Party hereunder are solely to protect its interest in the Collateral and shall not impose any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it to exercise any such powers. Except for the exercise of reasonable care in the custody of any Collateral in its possession and the accounting for moneys actually received by it hereunder, Secured Party shall have no duty as to any Collateral, it being understood that Secured Party shall have no responsibility for (a) ascertaining or taking action with respect to calls, conversions, exchanges, maturities, tenders or other matters relating to any Collateral, whether or not Secured Party has or is deemed to have knowledge of such matters, (b) taking any necessary steps (other than steps taken in accordance with the standard of care set forth above to maintain possession of the Collateral) to preserve rights against any parties with respect to any Collateral, (c) taking any necessary steps to collect or realize upon the Secured Obligations or any guarantee therefor, or any part thereof, or any of the Collateral, (d) initiating any action to protect the Collateral against the possibility of a decline in market value, (e) any loss resulting from Investments made, held or sold pursuant to Section 4, except for a loss resulting from Secured Party's gross negligence or wilful misconduct in complying with Section 4, or (f) determining (i) the correctness of any statement or calculation made by</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18"/>
          <w:szCs w:val="18"/>
          <w:color w:val="auto"/>
        </w:rPr>
        <w:t>Pledgor in any written or telex (tested or otherwise) instructions or (ii) whether any transfer to the Collateral Accounts is proper. Secured Party shall be deemed to have exercised reasonable care in the custody and preservation of Collateral in its possession if such Collateral is accorded treatment substantially equal to that which Secured Party accords its own property of like kind. In addition to the foregoing and without limiting the generality thereof, Secured Party shall not be responsible for any actions or omissions of Securities Intermediary.</w:t>
      </w:r>
    </w:p>
    <w:p>
      <w:pPr>
        <w:spacing w:after="0" w:line="188" w:lineRule="exact"/>
        <w:rPr>
          <w:sz w:val="20"/>
          <w:szCs w:val="20"/>
          <w:color w:val="auto"/>
        </w:rPr>
      </w:pPr>
    </w:p>
    <w:p>
      <w:pPr>
        <w:ind w:left="540" w:right="140" w:firstLine="359"/>
        <w:spacing w:after="0" w:line="264" w:lineRule="auto"/>
        <w:tabs>
          <w:tab w:leader="none" w:pos="128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Pledgor agrees that its indemnity of Secured Party and each Bank Lender set forth in the Disbursement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Credit Agreement shall apply, subject to the terms thereof, to any and all claims, losses and liabilities in any way relating to, growing out of or resulting from this Agreement and the transactions contemplated hereby (including enforcement of this Agreement).</w:t>
      </w:r>
    </w:p>
    <w:p>
      <w:pPr>
        <w:spacing w:after="0" w:line="181" w:lineRule="exact"/>
        <w:rPr>
          <w:rFonts w:ascii="Times New Roman" w:cs="Times New Roman" w:eastAsia="Times New Roman" w:hAnsi="Times New Roman"/>
          <w:sz w:val="18"/>
          <w:szCs w:val="18"/>
          <w:color w:val="auto"/>
        </w:rPr>
      </w:pPr>
    </w:p>
    <w:p>
      <w:pPr>
        <w:ind w:left="540" w:right="20" w:firstLine="359"/>
        <w:spacing w:after="0" w:line="264" w:lineRule="auto"/>
        <w:tabs>
          <w:tab w:leader="none" w:pos="133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Reasonable Reliance. </w:t>
      </w:r>
      <w:r>
        <w:rPr>
          <w:rFonts w:ascii="Times New Roman" w:cs="Times New Roman" w:eastAsia="Times New Roman" w:hAnsi="Times New Roman"/>
          <w:sz w:val="18"/>
          <w:szCs w:val="18"/>
          <w:color w:val="auto"/>
        </w:rPr>
        <w:t>Secured Party shall be fully protected and shall suffer no liability in acting in accordance with any written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believed by it to have been given by Pledgor, to the extent provided in Section 4(b), with respect to any investments of any amounts held for the credit of the Collateral Accounts.</w:t>
      </w:r>
    </w:p>
    <w:p>
      <w:pPr>
        <w:spacing w:after="0" w:line="181" w:lineRule="exact"/>
        <w:rPr>
          <w:rFonts w:ascii="Times New Roman" w:cs="Times New Roman" w:eastAsia="Times New Roman" w:hAnsi="Times New Roman"/>
          <w:sz w:val="18"/>
          <w:szCs w:val="18"/>
          <w:color w:val="auto"/>
        </w:rPr>
      </w:pPr>
    </w:p>
    <w:p>
      <w:pPr>
        <w:ind w:left="540" w:right="60" w:firstLine="359"/>
        <w:spacing w:after="0" w:line="302" w:lineRule="auto"/>
        <w:tabs>
          <w:tab w:leader="none" w:pos="13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Expenses. </w:t>
      </w:r>
      <w:r>
        <w:rPr>
          <w:rFonts w:ascii="Times New Roman" w:cs="Times New Roman" w:eastAsia="Times New Roman" w:hAnsi="Times New Roman"/>
          <w:sz w:val="16"/>
          <w:szCs w:val="16"/>
          <w:color w:val="auto"/>
        </w:rPr>
        <w:t>Pledgor shall pay to Secured Party upon demand the amount of any and all costs and expenses, including the reasonable fees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of its counsel and of any experts and agents, that Secured Party may reasonably incur in connection with (i) the administration of this Agreement, (ii) the custody, preservation, use or operation of, or the sale of, collection from, or other realization upon, any of the Collateral, (iii) the exercise or enforcement of any of the rights of Secured Party hereunder, or (iv) the failure by Pledgor to perform or observe any of the provisions hereof.</w:t>
      </w:r>
    </w:p>
    <w:p>
      <w:pPr>
        <w:spacing w:after="0" w:line="152" w:lineRule="exact"/>
        <w:rPr>
          <w:sz w:val="20"/>
          <w:szCs w:val="20"/>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6"/>
          <w:szCs w:val="16"/>
          <w:b w:val="1"/>
          <w:bCs w:val="1"/>
          <w:i w:val="1"/>
          <w:iCs w:val="1"/>
          <w:color w:val="auto"/>
        </w:rPr>
        <w:t>Resignation and Removal of Securities Intermediary.</w:t>
      </w:r>
    </w:p>
    <w:p>
      <w:pPr>
        <w:spacing w:after="0" w:line="227" w:lineRule="exact"/>
        <w:rPr>
          <w:sz w:val="20"/>
          <w:szCs w:val="20"/>
          <w:color w:val="auto"/>
        </w:rPr>
      </w:pPr>
    </w:p>
    <w:p>
      <w:pPr>
        <w:ind w:right="140" w:firstLine="359"/>
        <w:spacing w:after="0" w:line="264" w:lineRule="auto"/>
        <w:tabs>
          <w:tab w:leader="none" w:pos="72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w:t>
      </w:r>
      <w:r>
        <w:rPr>
          <w:rFonts w:ascii="Times New Roman" w:cs="Times New Roman" w:eastAsia="Times New Roman" w:hAnsi="Times New Roman"/>
          <w:sz w:val="18"/>
          <w:szCs w:val="18"/>
          <w:color w:val="auto"/>
        </w:rPr>
        <w:t>Securities Intermediary may be removed at any time by written notice given by Secured Party to Securities Intermediary and Pledgor,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removal shall not become effective until a successor Securities Intermediary shall have been appointed by Secured Party and shall have accepted such appointment in writing.</w:t>
      </w:r>
    </w:p>
    <w:p>
      <w:pPr>
        <w:spacing w:after="0" w:line="181" w:lineRule="exact"/>
        <w:rPr>
          <w:rFonts w:ascii="Times New Roman" w:cs="Times New Roman" w:eastAsia="Times New Roman" w:hAnsi="Times New Roman"/>
          <w:sz w:val="18"/>
          <w:szCs w:val="18"/>
          <w:color w:val="auto"/>
        </w:rPr>
      </w:pPr>
    </w:p>
    <w:p>
      <w:pPr>
        <w:ind w:right="40" w:firstLine="359"/>
        <w:spacing w:after="0" w:line="257" w:lineRule="auto"/>
        <w:tabs>
          <w:tab w:leader="none" w:pos="73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w:t>
      </w:r>
      <w:r>
        <w:rPr>
          <w:rFonts w:ascii="Times New Roman" w:cs="Times New Roman" w:eastAsia="Times New Roman" w:hAnsi="Times New Roman"/>
          <w:sz w:val="18"/>
          <w:szCs w:val="18"/>
          <w:color w:val="auto"/>
        </w:rPr>
        <w:t>Securities Intermediary may resign at any time by giving not less than thirty days' written notice to Secured Party and Pledgor, but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shall not become effective until a successor Securities Intermediary shall have been appointed by Secured Party and shall have accepted such appointment in writing. If an instrument of acceptance by a successor Securities Intermediary shall not have been delivered to the resigning Securities Intermediary within thirty days after the giving of any such notice of resignation, the resigning Securities Intermediary may, at the expense of Pledgor, petition any court of competent jurisdiction for the appointment of a successor Securities Intermediary.</w:t>
      </w:r>
    </w:p>
    <w:p>
      <w:pPr>
        <w:spacing w:after="0" w:line="188" w:lineRule="exact"/>
        <w:rPr>
          <w:rFonts w:ascii="Times New Roman" w:cs="Times New Roman" w:eastAsia="Times New Roman" w:hAnsi="Times New Roman"/>
          <w:sz w:val="18"/>
          <w:szCs w:val="18"/>
          <w:color w:val="auto"/>
        </w:rPr>
      </w:pPr>
    </w:p>
    <w:p>
      <w:pPr>
        <w:jc w:val="both"/>
        <w:ind w:right="20" w:firstLine="359"/>
        <w:spacing w:after="0" w:line="342" w:lineRule="auto"/>
        <w:tabs>
          <w:tab w:leader="none" w:pos="722"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Successor Securities Intermediary. </w:t>
      </w:r>
      <w:r>
        <w:rPr>
          <w:rFonts w:ascii="Times New Roman" w:cs="Times New Roman" w:eastAsia="Times New Roman" w:hAnsi="Times New Roman"/>
          <w:sz w:val="16"/>
          <w:szCs w:val="16"/>
          <w:color w:val="auto"/>
        </w:rPr>
        <w:t>Any successor Securities Intermediary shall be a corporation qualified to, and located in, New York, which (A)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supervision or examination by the applicable Governmental Authority, (B) has a combined capital and surplus of at least Five Hundred Million Dollars</w:t>
      </w:r>
    </w:p>
    <w:p>
      <w:pPr>
        <w:sectPr>
          <w:pgSz w:w="11900" w:h="16865" w:orient="portrait"/>
          <w:cols w:equalWidth="0" w:num="1">
            <w:col w:w="11360"/>
          </w:cols>
          <w:pgMar w:left="240" w:top="125" w:right="299" w:bottom="0" w:gutter="0" w:footer="0" w:header="0"/>
        </w:sectPr>
      </w:pPr>
    </w:p>
    <w:bookmarkStart w:id="92" w:name="page93"/>
    <w:bookmarkEnd w:id="92"/>
    <w:p>
      <w:pPr>
        <w:jc w:val="both"/>
        <w:ind w:right="220"/>
        <w:spacing w:after="0" w:line="264" w:lineRule="auto"/>
        <w:rPr>
          <w:sz w:val="20"/>
          <w:szCs w:val="20"/>
          <w:color w:val="auto"/>
        </w:rPr>
      </w:pPr>
      <w:r>
        <w:rPr>
          <w:rFonts w:ascii="Times New Roman" w:cs="Times New Roman" w:eastAsia="Times New Roman" w:hAnsi="Times New Roman"/>
          <w:sz w:val="18"/>
          <w:szCs w:val="18"/>
          <w:color w:val="auto"/>
        </w:rPr>
        <w:t xml:space="preserve">(US$500,000,000), (C) has a long-term credit rating of not less than "A-"or "A3", respectively, by any Rating Agency; </w:t>
      </w:r>
      <w:r>
        <w:rPr>
          <w:rFonts w:ascii="Times New Roman" w:cs="Times New Roman" w:eastAsia="Times New Roman" w:hAnsi="Times New Roman"/>
          <w:sz w:val="18"/>
          <w:szCs w:val="18"/>
          <w:i w:val="1"/>
          <w:iCs w:val="1"/>
          <w:color w:val="auto"/>
        </w:rPr>
        <w:t>and provided, that</w:t>
      </w:r>
      <w:r>
        <w:rPr>
          <w:rFonts w:ascii="Times New Roman" w:cs="Times New Roman" w:eastAsia="Times New Roman" w:hAnsi="Times New Roman"/>
          <w:sz w:val="18"/>
          <w:szCs w:val="18"/>
          <w:color w:val="auto"/>
        </w:rPr>
        <w:t xml:space="preserve"> any such bank with a long-term credit rating of "A-"or "A3 "shall not cease to be eligible to act as Securities Intermediary upon a downward change in either such rating of no more than one category or grade of such minimum rating, as the case may be.</w:t>
      </w:r>
    </w:p>
    <w:p>
      <w:pPr>
        <w:spacing w:after="0" w:line="181" w:lineRule="exact"/>
        <w:rPr>
          <w:sz w:val="20"/>
          <w:szCs w:val="20"/>
          <w:color w:val="auto"/>
        </w:rPr>
      </w:pPr>
    </w:p>
    <w:p>
      <w:pPr>
        <w:ind w:right="320" w:firstLine="359"/>
        <w:spacing w:after="0" w:line="259" w:lineRule="auto"/>
        <w:tabs>
          <w:tab w:leader="none" w:pos="73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Process of Succession. </w:t>
      </w:r>
      <w:r>
        <w:rPr>
          <w:rFonts w:ascii="Times New Roman" w:cs="Times New Roman" w:eastAsia="Times New Roman" w:hAnsi="Times New Roman"/>
          <w:sz w:val="18"/>
          <w:szCs w:val="18"/>
          <w:color w:val="auto"/>
        </w:rPr>
        <w:t>Upon the appointment of a successor Securities Intermediary and its acceptance of such appointment, the resigning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Securities Intermediary shall transfer all items of Collateral held by it to such successor (which items of Collateral shall be transferred to appropriate new Collateral Accounts established and maintained by such successor). Following such appointment all references herein to Securities Intermediary shall be deemed a reference to such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 xml:space="preserve">successor;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provisions of Section 16(a) hereof shall continue to inure to the benefit of the resigning or removed Securities Intermediary with respect to any actions taken or omitted to be taken by it under this Agreement while it was Securities Intermediary hereunder.</w:t>
      </w:r>
    </w:p>
    <w:p>
      <w:pPr>
        <w:spacing w:after="0" w:line="168"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i w:val="1"/>
          <w:iCs w:val="1"/>
          <w:color w:val="auto"/>
        </w:rPr>
        <w:t>Continuing Security Interest; Termination of Obligations of Securities Intermediary.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create a continuing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the Collateral and shall (a) remain in full force and effect until the indefeasible payment in full of the Secured Obligations, the cancellation or termination of the commitments under the Bank Credit Agreement and the cancellation or expiration of all letters of credit outstanding thereunder, (b) be binding upon Pledgor, its successors and assigns, and (c) inure, together with the rights and remedies of Secured Party hereunder, to the benefit of Secured Party and the Bank Lenders and their respective successors, transferees and assigns. Upon the indefeasible payment in full of all Secured Obligations and the cancellation or termination of the commitments under the Bank Credit Agreement and the cancellation or expiration of all letters of credit outstanding thereunder, the security interest granted hereby shall terminate and all rights to the Collateral shall revert to Pledgor. Upon any such termination Secured Party shall, at Pledgor's expense, execute and deliver to Pledgor such documents, instruments of transfer, certificates, termination statements and the like as Pledgor shall reasonably request to evidence such termination and Pledgor shall be entitled to the return, upon its request and at its expense, against receipt and without recourse to Secured Party, of such of the Collateral as shall not have been sold or otherwise applied pursuant to the terms hereof. Securities Intermediary shall not be released from its obligations hereunder, and shall continue to maintain any Collateral in accordance with this Agreement, until notified in writing by Secured Party that this Agreement has terminated and so long as Secured Party has not withdrawn such notification.</w:t>
      </w:r>
    </w:p>
    <w:p>
      <w:pPr>
        <w:spacing w:after="0" w:line="191" w:lineRule="exact"/>
        <w:rPr>
          <w:sz w:val="20"/>
          <w:szCs w:val="20"/>
          <w:color w:val="auto"/>
        </w:rPr>
      </w:pPr>
    </w:p>
    <w:p>
      <w:pPr>
        <w:ind w:left="3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19.</w:t>
      </w:r>
      <w:r>
        <w:rPr>
          <w:sz w:val="20"/>
          <w:szCs w:val="20"/>
          <w:color w:val="auto"/>
        </w:rPr>
        <w:tab/>
      </w:r>
      <w:r>
        <w:rPr>
          <w:rFonts w:ascii="Times New Roman" w:cs="Times New Roman" w:eastAsia="Times New Roman" w:hAnsi="Times New Roman"/>
          <w:sz w:val="16"/>
          <w:szCs w:val="16"/>
          <w:b w:val="1"/>
          <w:bCs w:val="1"/>
          <w:i w:val="1"/>
          <w:iCs w:val="1"/>
          <w:color w:val="auto"/>
        </w:rPr>
        <w:t>Secured Party as Bank Agent.</w:t>
      </w:r>
    </w:p>
    <w:p>
      <w:pPr>
        <w:spacing w:after="0" w:line="227" w:lineRule="exact"/>
        <w:rPr>
          <w:sz w:val="20"/>
          <w:szCs w:val="20"/>
          <w:color w:val="auto"/>
        </w:rPr>
      </w:pPr>
    </w:p>
    <w:p>
      <w:pPr>
        <w:ind w:right="240" w:firstLine="359"/>
        <w:spacing w:after="0" w:line="259" w:lineRule="auto"/>
        <w:tabs>
          <w:tab w:leader="none" w:pos="7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Agency. </w:t>
      </w:r>
      <w:r>
        <w:rPr>
          <w:rFonts w:ascii="Times New Roman" w:cs="Times New Roman" w:eastAsia="Times New Roman" w:hAnsi="Times New Roman"/>
          <w:sz w:val="18"/>
          <w:szCs w:val="18"/>
          <w:color w:val="auto"/>
        </w:rPr>
        <w:t>Secured Party has been appointed to act as Secured Party hereunder by the Bank Lenders pursuant to the Bank Credit Agreement.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the Disbursement Agreement and the Bank Credit Agreement.</w:t>
      </w:r>
    </w:p>
    <w:p>
      <w:pPr>
        <w:spacing w:after="0" w:line="186" w:lineRule="exact"/>
        <w:rPr>
          <w:rFonts w:ascii="Times New Roman" w:cs="Times New Roman" w:eastAsia="Times New Roman" w:hAnsi="Times New Roman"/>
          <w:sz w:val="18"/>
          <w:szCs w:val="18"/>
          <w:color w:val="auto"/>
        </w:rPr>
      </w:pPr>
    </w:p>
    <w:p>
      <w:pPr>
        <w:ind w:right="60" w:firstLine="359"/>
        <w:spacing w:after="0" w:line="252" w:lineRule="auto"/>
        <w:tabs>
          <w:tab w:leader="none" w:pos="73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Identity of Agent. </w:t>
      </w:r>
      <w:r>
        <w:rPr>
          <w:rFonts w:ascii="Times New Roman" w:cs="Times New Roman" w:eastAsia="Times New Roman" w:hAnsi="Times New Roman"/>
          <w:sz w:val="18"/>
          <w:szCs w:val="18"/>
          <w:color w:val="auto"/>
        </w:rPr>
        <w:t>Secured Party shall at all times be the same Person that is the Bank Agent under the Bank Credit Agreement.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resignations by the Bank Agent pursuant to subsection 9.9 of the Bank Credit Agreement shall also constitute notice of resignation as Secured Party under this Agreement and substitution of a successor bank agent pursuant to subsection 9.9 of the Bank Credit Agreement shall also constitute substitution of a successor Secured Party under this Agreement. Upon the acceptance of any appointment as Bank Agent under subsection 9.9 of the Bank Credit Agreement by a successor Bank Agent, that successor Bank Agent shall thereupon succeed to and become vested with all the rights, powers, privileges and duties of the retiring or removed Secured Party under this Agreement, and the retiring or removed Secured Party under this Agreement shall promptly (i) transfer to such successor Secured Party all items of Collateral held by Secured Party (which as appropriate shall be credited to, and held for the credit of, any new Collateral Accounts established and maintained by such successor Secured Party), together with all records and other documents necessary or appropriate in connection with the performance of the duties of the successor Secured Party under this Agreement, and (ii) execute and deliver to such successor Secured Party such amendments to financing statements, and take such other actions, as may be necessary or appropriate in connection with the assignment to such successor Secured Party of the security interests created hereunder, whereupon such retiring or removed Secured Party shall be discharged from its duties and obligations under this Agreement. After any retiring or removed Bank Agent's resignation or removal hereunder as Secured Party, the provisions of this Agreement shall inure to its benefit as to any actions taken or omitted to be taken by it under this Agreement while it was Secured Party hereunder.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firstLine="35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b w:val="1"/>
          <w:bCs w:val="1"/>
          <w:i w:val="1"/>
          <w:iCs w:val="1"/>
          <w:color w:val="auto"/>
        </w:rPr>
        <w:t>Amendments,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or waiver of any provision of this Agreement, or consent to any departure by any party herefrom,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event be effective unless the same shall be in writing and signed by the other parties, and then such waiver or consent shall be effective only in the specific instance and for the specific purpose for which it was given.</w:t>
      </w:r>
    </w:p>
    <w:p>
      <w:pPr>
        <w:spacing w:after="0" w:line="17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communications between the parties hereto or notices provided herein to be given may be given to the address of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under such party's name on the signature pages hereof. All notices or other communications required or permitted to be given hereunder shall be in writing and shall be considered as properly given (a) if delivered in person, (b) if sent by a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provided, however, that if any notice is tendered to an addressee and the delivery thereof is refused by such addressee, such notice shall be effective upon such tender. Any party shall have the right to change its address for notice hereunder to any other location by giving of no less than twenty (20) days' notice to the other parties in the manner set forth hereinabove.</w:t>
      </w:r>
    </w:p>
    <w:p>
      <w:pPr>
        <w:spacing w:after="0" w:line="195" w:lineRule="exact"/>
        <w:rPr>
          <w:sz w:val="20"/>
          <w:szCs w:val="20"/>
          <w:color w:val="auto"/>
        </w:rPr>
      </w:pPr>
    </w:p>
    <w:p>
      <w:pPr>
        <w:ind w:right="100" w:firstLine="351"/>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i w:val="1"/>
          <w:iCs w:val="1"/>
          <w:color w:val="auto"/>
        </w:rPr>
        <w:t>Failure or Indulgence Not Waiver, Remedies Cumulative.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failure or delay on the part of Secured Party in the exercise of any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privilege hereunder shall impair such power, right or privilege or be construed to be a waiver of any default or acquiescence therein, nor shall any single or partial exercise of any such power, right or privilege preclude any other or further exercise thereof or of any other power, right or privilege. All rights and remedies existing under this Agreement are cumulative to, and not exclusive of, any rights or remedies otherwise available.</w:t>
      </w:r>
    </w:p>
    <w:p>
      <w:pPr>
        <w:sectPr>
          <w:pgSz w:w="11900" w:h="16838" w:orient="portrait"/>
          <w:cols w:equalWidth="0" w:num="1">
            <w:col w:w="11420"/>
          </w:cols>
          <w:pgMar w:left="240" w:top="123" w:right="239" w:bottom="21" w:gutter="0" w:footer="0" w:header="0"/>
        </w:sectPr>
      </w:pPr>
    </w:p>
    <w:bookmarkStart w:id="93" w:name="page94"/>
    <w:bookmarkEnd w:id="93"/>
    <w:p>
      <w:pPr>
        <w:jc w:val="both"/>
        <w:ind w:right="60" w:firstLine="35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provision in or obligation under this Agreement shall be invalid, illegal or unenforceable in any jurisdiction,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legality and enforceability of the remaining provisions or obligations, or of such provision or obligation in any other jurisdiction, shall not in any way be affected or impaired thereby.</w:t>
      </w:r>
    </w:p>
    <w:p>
      <w:pPr>
        <w:spacing w:after="0" w:line="179" w:lineRule="exact"/>
        <w:rPr>
          <w:sz w:val="20"/>
          <w:szCs w:val="20"/>
          <w:color w:val="auto"/>
        </w:rPr>
      </w:pPr>
    </w:p>
    <w:p>
      <w:pPr>
        <w:ind w:right="580" w:firstLine="351"/>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and subsection headings in this Agreement are included herein for convenience of reference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part of this Agreement for any other purpose or be given any substantive effect.</w:t>
      </w:r>
    </w:p>
    <w:p>
      <w:pPr>
        <w:spacing w:after="0" w:line="165"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b w:val="1"/>
          <w:bCs w:val="1"/>
          <w:color w:val="auto"/>
        </w:rPr>
        <w:t xml:space="preserve"> THIS AGREEMENT SHALL BE GOVERNED BY, AND SHALL BE CONSTRUED AND ENFORCED IN ACCORDANCE WITH, THE INTERNAL LAWS OF THE STATE OF NEW YORK, WITHOUT REGARD TO CONFLICTS OF LAWS PRINCIPLES. Securities Intermediary's/banks jurisdiction (within the meaning of Section 9-304 of the Code) shall be the State of New York and to the extent that notwithstanding the intention of the parties, any of the Collateral Accounts are Securities Accounts, the bank's jurisdiction (within the meaning of Section 8-110 of the Code) shall be the State of New York.</w:t>
      </w:r>
    </w:p>
    <w:p>
      <w:pPr>
        <w:spacing w:after="0" w:line="188"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i w:val="1"/>
          <w:iCs w:val="1"/>
          <w:color w:val="auto"/>
        </w:rPr>
        <w:t>Consent to Jurisdiction and Service of Process.</w:t>
      </w:r>
      <w:r>
        <w:rPr>
          <w:rFonts w:ascii="Times New Roman" w:cs="Times New Roman" w:eastAsia="Times New Roman" w:hAnsi="Times New Roman"/>
          <w:sz w:val="18"/>
          <w:szCs w:val="18"/>
          <w:b w:val="1"/>
          <w:bCs w:val="1"/>
          <w:color w:val="auto"/>
        </w:rPr>
        <w:t xml:space="preserve"> ALL JUDICIAL PROCEEDINGS BROUGHT AGAINST PLEDGOR ARISING OUT OF OR RELATING TO THIS AGREEMENT MAY BE BROUGHT IN ANY STATE OR FEDERAL COURT OF COMPETENT JURISDICTION IN THE STATE OF NEW YORK, AND BY EXECUTION AND DELIVERY OF THIS AGREEMENT PLEDGOR ACCEPTS FOR ITSELF AND IN CONNECTION WITH ITS PROPERTIES, GENERALLY AND UNCONDITIONALLY, THE NONEXCLUSIVE JURISDICTION OF THE AFORESAID COURTS AND WAIVES ANY DEFENSE OF FORUM NON CONVENIENS AND IRREVOCABLY AGREES TO BE BOUND BY ANY JUDGMENT RENDERED THEREBY IN CONNECTION WITH THIS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Pledgor hereby agrees that service of all process in any such proceeding in any such court may be made by registered or certified mail, return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requested, to Pledgor at its address provided in Section 21, such service being hereby acknowledged by Pledgor to be sufficient for personal jurisdiction in any action against Pledgor in any such court and to be otherwise effective and binding service in every respect. Nothing herein shall affect the right to serve process in any other manner permitted by law or shall limit the right of Secured Party to bring proceedings against Pledgor in the courts of any other jurisdiction.</w:t>
      </w:r>
    </w:p>
    <w:p>
      <w:pPr>
        <w:spacing w:after="0" w:line="152"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SECTION 27. </w:t>
      </w:r>
      <w:r>
        <w:rPr>
          <w:rFonts w:ascii="Times New Roman" w:cs="Times New Roman" w:eastAsia="Times New Roman" w:hAnsi="Times New Roman"/>
          <w:sz w:val="16"/>
          <w:szCs w:val="16"/>
          <w:b w:val="1"/>
          <w:bCs w:val="1"/>
          <w:i w:val="1"/>
          <w:iCs w:val="1"/>
          <w:color w:val="auto"/>
        </w:rPr>
        <w:t>Waiver of Jury Trial.</w:t>
      </w:r>
      <w:r>
        <w:rPr>
          <w:rFonts w:ascii="Times New Roman" w:cs="Times New Roman" w:eastAsia="Times New Roman" w:hAnsi="Times New Roman"/>
          <w:sz w:val="16"/>
          <w:szCs w:val="16"/>
          <w:b w:val="1"/>
          <w:bCs w:val="1"/>
          <w:color w:val="auto"/>
        </w:rPr>
        <w:t xml:space="preserve"> PLEDGOR, SECURITIES INTERMEDIARY AND SECURED PARTY HEREBY AGREE TO WAIVE THEIR RESPECTIVE RIGHTS TO A JURY TRIAL OF ANY CLAIM OR CAUSE OF ACTION BASED UPON OR ARISING OUT OF THIS AGREEMENT</w:t>
      </w:r>
      <w:r>
        <w:rPr>
          <w:rFonts w:ascii="Times New Roman" w:cs="Times New Roman" w:eastAsia="Times New Roman" w:hAnsi="Times New Roman"/>
          <w:sz w:val="16"/>
          <w:szCs w:val="16"/>
          <w:color w:val="auto"/>
        </w:rPr>
        <w:t>. The scope of this waiver is intended to be all-encompassing of any and all disputes that may be filed in any court and that relate to the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matter of this transaction, including contract claims, tort claims, breach of duty claims, and all other common law and statutory claims. Pledgor and Secured Party each acknowledge that this waiver is a material inducement for Pledgor and Secured Party to enter into a business relationship, that Pledgor and Secured Party have already relied on this waiver in entering into this Agreement and that each will continue to rely on this waiver in their related future dealings. Pledgor and Secured Party further warrant and represent that each has reviewed this waiver with its legal counsel, and that each knowingly and voluntarily waives its jury trial rights following consultation with legal counsel. </w:t>
      </w:r>
      <w:r>
        <w:rPr>
          <w:rFonts w:ascii="Times New Roman" w:cs="Times New Roman" w:eastAsia="Times New Roman" w:hAnsi="Times New Roman"/>
          <w:sz w:val="16"/>
          <w:szCs w:val="16"/>
          <w:b w:val="1"/>
          <w:bCs w:val="1"/>
          <w:color w:val="auto"/>
        </w:rPr>
        <w:t>THIS WAIVER IS IRREVOCABLE, MEANING THAT IT MAY NOT BE MODIFIED EITHER</w:t>
      </w:r>
    </w:p>
    <w:p>
      <w:pPr>
        <w:spacing w:after="0" w:line="3" w:lineRule="exact"/>
        <w:rPr>
          <w:sz w:val="20"/>
          <w:szCs w:val="20"/>
          <w:color w:val="auto"/>
        </w:rPr>
      </w:pPr>
    </w:p>
    <w:p>
      <w:pPr>
        <w:ind w:right="260"/>
        <w:spacing w:after="0" w:line="323" w:lineRule="auto"/>
        <w:rPr>
          <w:sz w:val="20"/>
          <w:szCs w:val="20"/>
          <w:color w:val="auto"/>
        </w:rPr>
      </w:pPr>
      <w:r>
        <w:rPr>
          <w:rFonts w:ascii="Times New Roman" w:cs="Times New Roman" w:eastAsia="Times New Roman" w:hAnsi="Times New Roman"/>
          <w:sz w:val="16"/>
          <w:szCs w:val="16"/>
          <w:b w:val="1"/>
          <w:bCs w:val="1"/>
          <w:color w:val="auto"/>
        </w:rPr>
        <w:t>ORALLY OR IN WRITING, AND THIS WAIVER SHALL APPLY TO ANY SUBSEQUENT AMENDMENTS, RENEWALS, SUPPLEMENTS OR MODIFICATIONS TO THIS AGREEMENT</w:t>
      </w:r>
      <w:r>
        <w:rPr>
          <w:rFonts w:ascii="Times New Roman" w:cs="Times New Roman" w:eastAsia="Times New Roman" w:hAnsi="Times New Roman"/>
          <w:sz w:val="16"/>
          <w:szCs w:val="16"/>
          <w:color w:val="auto"/>
        </w:rPr>
        <w:t>. In the event of litigation, this Agreement may be filed as a written consent to a trial by the court.</w:t>
      </w:r>
    </w:p>
    <w:p>
      <w:pPr>
        <w:spacing w:after="0" w:line="137" w:lineRule="exact"/>
        <w:rPr>
          <w:sz w:val="20"/>
          <w:szCs w:val="20"/>
          <w:color w:val="auto"/>
        </w:rPr>
      </w:pPr>
    </w:p>
    <w:p>
      <w:pPr>
        <w:ind w:right="20" w:firstLine="351"/>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and by different parties hereto in separate counterparts,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83"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i w:val="1"/>
          <w:iCs w:val="1"/>
          <w:color w:val="auto"/>
        </w:rPr>
        <w:t>Secured Party's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Secured Party hereby authorizes the entity from time to time acting as the Disbursement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Disbursement Agreement to, from time to time, act on its behalf hereunder. Until the Secured Party notifies Securities Intermediary and Pledgor to the contrary, any such Disbursement Agent shall be a "representative" (as defined in Section 1-201(35) of the Code) of the Secured Party and, as such, any Entitlement Orders or other instructions or actions issued or taken by such Disbursement Agent hereunder shall be as effective as if issued or taken directly by the Secured Party.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set forth above.</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PLEDGOR:</w:t>
      </w:r>
    </w:p>
    <w:p>
      <w:pPr>
        <w:spacing w:after="0" w:line="2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 Nevada limited liability company</w:t>
      </w:r>
    </w:p>
    <w:p>
      <w:pPr>
        <w:sectPr>
          <w:pgSz w:w="11900" w:h="16838" w:orient="portrait"/>
          <w:cols w:equalWidth="0" w:num="1">
            <w:col w:w="11400"/>
          </w:cols>
          <w:pgMar w:left="240" w:top="121" w:right="259" w:bottom="0" w:gutter="0" w:footer="0" w:header="0"/>
        </w:sectPr>
      </w:pPr>
    </w:p>
    <w:p>
      <w:pPr>
        <w:spacing w:after="0" w:line="2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4020" w:space="720"/>
            <w:col w:w="6660"/>
          </w:cols>
          <w:pgMar w:left="240" w:top="121" w:right="259" w:bottom="0" w:gutter="0" w:footer="0" w:header="0"/>
          <w:type w:val="continuous"/>
        </w:sectPr>
      </w:pPr>
    </w:p>
    <w:p>
      <w:pPr>
        <w:spacing w:after="0" w:line="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4980" w:space="540"/>
            <w:col w:w="5880"/>
          </w:cols>
          <w:pgMar w:left="240" w:top="121" w:right="259" w:bottom="0" w:gutter="0" w:footer="0" w:header="0"/>
          <w:type w:val="continuous"/>
        </w:sectPr>
      </w:pPr>
    </w:p>
    <w:p>
      <w:pPr>
        <w:spacing w:after="0" w:line="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Wynn Resorts,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ectPr>
          <w:pgSz w:w="11900" w:h="16838" w:orient="portrait"/>
          <w:cols w:equalWidth="0" w:num="2">
            <w:col w:w="5780" w:space="520"/>
            <w:col w:w="5100"/>
          </w:cols>
          <w:pgMar w:left="240" w:top="121" w:right="259" w:bottom="0" w:gutter="0" w:footer="0" w:header="0"/>
          <w:type w:val="continuous"/>
        </w:sectPr>
      </w:pPr>
    </w:p>
    <w:bookmarkStart w:id="94" w:name="page95"/>
    <w:bookmarkEnd w:id="94"/>
    <w:p>
      <w:pPr>
        <w:ind w:left="5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81280</wp:posOffset>
            </wp:positionV>
            <wp:extent cx="246507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pacing w:after="0" w:line="2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81280</wp:posOffset>
            </wp:positionV>
            <wp:extent cx="246507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pacing w:after="0" w:line="2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81280</wp:posOffset>
            </wp:positionV>
            <wp:extent cx="246507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Notice Address:</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Wynn Las Vegas, LLC</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w w:val="95"/>
              </w:rPr>
              <w:t>c/o Wynn Resorts Holdings, LLC</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w w:val="95"/>
              </w:rPr>
              <w:t>3145 Las Vegas Boulevard South</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Attn: Ron Kramer</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Telephone No.: (702) 733-4123</w:t>
            </w:r>
          </w:p>
        </w:tc>
      </w:tr>
      <w:tr>
        <w:trPr>
          <w:trHeight w:val="228"/>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Facsimile No.: (702) 791-0167</w:t>
            </w:r>
          </w:p>
        </w:tc>
      </w:tr>
      <w:tr>
        <w:trPr>
          <w:trHeight w:val="420"/>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WYNN LAS VEGAS CAPITAL CORP.,</w:t>
            </w:r>
          </w:p>
        </w:tc>
        <w:tc>
          <w:tcPr>
            <w:tcW w:w="2340" w:type="dxa"/>
            <w:vAlign w:val="bottom"/>
          </w:tcPr>
          <w:p>
            <w:pPr>
              <w:spacing w:after="0"/>
              <w:rPr>
                <w:sz w:val="24"/>
                <w:szCs w:val="24"/>
                <w:color w:val="auto"/>
              </w:rPr>
            </w:pPr>
          </w:p>
        </w:tc>
      </w:tr>
      <w:tr>
        <w:trPr>
          <w:trHeight w:val="22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corporation</w:t>
            </w:r>
          </w:p>
        </w:tc>
        <w:tc>
          <w:tcPr>
            <w:tcW w:w="29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32"/>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20"/>
        </w:trPr>
        <w:tc>
          <w:tcPr>
            <w:tcW w:w="12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340" w:type="dxa"/>
            <w:vAlign w:val="bottom"/>
          </w:tcPr>
          <w:p>
            <w:pPr>
              <w:spacing w:after="0"/>
              <w:rPr>
                <w:sz w:val="10"/>
                <w:szCs w:val="10"/>
                <w:color w:val="auto"/>
              </w:rPr>
            </w:pPr>
          </w:p>
        </w:tc>
      </w:tr>
      <w:tr>
        <w:trPr>
          <w:trHeight w:val="31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20"/>
        </w:trPr>
        <w:tc>
          <w:tcPr>
            <w:tcW w:w="12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340" w:type="dxa"/>
            <w:vAlign w:val="bottom"/>
          </w:tcPr>
          <w:p>
            <w:pPr>
              <w:spacing w:after="0"/>
              <w:rPr>
                <w:sz w:val="10"/>
                <w:szCs w:val="10"/>
                <w:color w:val="auto"/>
              </w:rPr>
            </w:pPr>
          </w:p>
        </w:tc>
      </w:tr>
      <w:tr>
        <w:trPr>
          <w:trHeight w:val="31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20"/>
        </w:trPr>
        <w:tc>
          <w:tcPr>
            <w:tcW w:w="12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340" w:type="dxa"/>
            <w:vAlign w:val="bottom"/>
          </w:tcPr>
          <w:p>
            <w:pPr>
              <w:spacing w:after="0"/>
              <w:rPr>
                <w:sz w:val="10"/>
                <w:szCs w:val="10"/>
                <w:color w:val="auto"/>
              </w:rPr>
            </w:pPr>
          </w:p>
        </w:tc>
      </w:tr>
      <w:tr>
        <w:trPr>
          <w:trHeight w:val="52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Address:</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Wynn Las Vegas Capital Corp.</w:t>
            </w:r>
          </w:p>
        </w:tc>
        <w:tc>
          <w:tcPr>
            <w:tcW w:w="2340" w:type="dxa"/>
            <w:vAlign w:val="bottom"/>
          </w:tcPr>
          <w:p>
            <w:pPr>
              <w:spacing w:after="0"/>
              <w:rPr>
                <w:sz w:val="24"/>
                <w:szCs w:val="24"/>
                <w:color w:val="auto"/>
              </w:rPr>
            </w:pPr>
          </w:p>
        </w:tc>
      </w:tr>
      <w:tr>
        <w:trPr>
          <w:trHeight w:val="228"/>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 Wynn Resorts Holdings,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-1074420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-1074420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-782955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-782955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-491490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-491490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10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Attn: Ron Kramer</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Telephone No.: (702) 733-4123</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Facsimile No.: (702) 791-0167</w:t>
      </w: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81280</wp:posOffset>
            </wp:positionV>
            <wp:extent cx="243967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81280</wp:posOffset>
            </wp:positionV>
            <wp:extent cx="243967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81280</wp:posOffset>
            </wp:positionV>
            <wp:extent cx="243967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ectPr>
          <w:pgSz w:w="11900" w:h="16838" w:orient="portrait"/>
          <w:cols w:equalWidth="0" w:num="1">
            <w:col w:w="9720"/>
          </w:cols>
          <w:pgMar w:left="1440" w:top="125" w:right="7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Notice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Wynn Resorts Holdings,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3145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Kenneth Wynn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Todd Nisbet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(702) 733-4497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733-4715</w:t>
      </w:r>
    </w:p>
    <w:p>
      <w:pPr>
        <w:spacing w:after="0" w:line="200" w:lineRule="exact"/>
        <w:rPr>
          <w:sz w:val="20"/>
          <w:szCs w:val="20"/>
          <w:color w:val="auto"/>
        </w:rPr>
      </w:pPr>
    </w:p>
    <w:p>
      <w:pPr>
        <w:sectPr>
          <w:pgSz w:w="11900" w:h="16838" w:orient="portrait"/>
          <w:cols w:equalWidth="0" w:num="2">
            <w:col w:w="4380" w:space="720"/>
            <w:col w:w="4620"/>
          </w:cols>
          <w:pgMar w:left="1440" w:top="125" w:right="739" w:bottom="0" w:gutter="0" w:footer="0" w:header="0"/>
          <w:type w:val="continuous"/>
        </w:sectPr>
      </w:pP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DEUTSCHE BANK TRUST COMPANY</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AMERICAS,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as Bank Agent under the Bank Credit Agreement</w:t>
      </w:r>
    </w:p>
    <w:p>
      <w:pPr>
        <w:spacing w:after="0" w:line="2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81280</wp:posOffset>
            </wp:positionV>
            <wp:extent cx="243967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81280</wp:posOffset>
            </wp:positionV>
            <wp:extent cx="243967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81280</wp:posOffset>
            </wp:positionV>
            <wp:extent cx="243967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ectPr>
          <w:pgSz w:w="11900" w:h="16838" w:orient="portrait"/>
          <w:cols w:equalWidth="0" w:num="1">
            <w:col w:w="9720"/>
          </w:cols>
          <w:pgMar w:left="1440" w:top="125" w:right="7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Notice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Deutsche Bank Trust Company Americas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George Reynolds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(646) 324-2112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(646) 324-7450</w:t>
      </w:r>
    </w:p>
    <w:p>
      <w:pPr>
        <w:sectPr>
          <w:pgSz w:w="11900" w:h="16838" w:orient="portrait"/>
          <w:cols w:equalWidth="0" w:num="2">
            <w:col w:w="4380" w:space="720"/>
            <w:col w:w="4620"/>
          </w:cols>
          <w:pgMar w:left="1440" w:top="125" w:right="739"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SECURITIES INTERMEDIARY:</w:t>
      </w:r>
    </w:p>
    <w:p>
      <w:pPr>
        <w:spacing w:after="0" w:line="2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as Securities Intermediary</w:t>
      </w:r>
    </w:p>
    <w:p>
      <w:pPr>
        <w:spacing w:after="0" w:line="2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81280</wp:posOffset>
            </wp:positionV>
            <wp:extent cx="243967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81280</wp:posOffset>
            </wp:positionV>
            <wp:extent cx="243967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81280</wp:posOffset>
            </wp:positionV>
            <wp:extent cx="243967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color w:val="auto"/>
        </w:rPr>
        <w:t>Notice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South Fourth Street, 2nd Floor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NV1-119-02-01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89101-6014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Gordon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Carmen Bungert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(702) 654-7144</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(702) 654-8531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654-7158</w:t>
      </w:r>
    </w:p>
    <w:p>
      <w:pPr>
        <w:spacing w:after="0" w:line="200" w:lineRule="exact"/>
        <w:rPr>
          <w:sz w:val="20"/>
          <w:szCs w:val="20"/>
          <w:color w:val="auto"/>
        </w:rPr>
      </w:pPr>
    </w:p>
    <w:p>
      <w:pPr>
        <w:sectPr>
          <w:pgSz w:w="11900" w:h="16838" w:orient="portrait"/>
          <w:cols w:equalWidth="0" w:num="2">
            <w:col w:w="5580" w:space="720"/>
            <w:col w:w="5120"/>
          </w:cols>
          <w:pgMar w:left="240" w:top="125" w:right="239" w:bottom="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PROHIBITION NOTICE]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Letterhead of Secured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of notice</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5" w:right="239" w:bottom="0" w:gutter="0" w:footer="0" w:header="0"/>
          <w:type w:val="continuous"/>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South Fourth Street, 2nd Floor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NV1-119-02-01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89101-6014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Gordon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Carmen Bungert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654-7158</w:t>
      </w:r>
    </w:p>
    <w:p>
      <w:pPr>
        <w:spacing w:after="0" w:line="200" w:lineRule="exact"/>
        <w:rPr>
          <w:sz w:val="20"/>
          <w:szCs w:val="20"/>
          <w:color w:val="auto"/>
        </w:rPr>
      </w:pPr>
    </w:p>
    <w:p>
      <w:pPr>
        <w:sectPr>
          <w:pgSz w:w="11900" w:h="16838" w:orient="portrait"/>
          <w:cols w:equalWidth="0" w:num="2">
            <w:col w:w="280" w:space="440"/>
            <w:col w:w="10700"/>
          </w:cols>
          <w:pgMar w:left="240" w:top="125" w:right="239" w:bottom="0" w:gutter="0" w:footer="0" w:header="0"/>
          <w:type w:val="continuous"/>
        </w:sectPr>
      </w:pPr>
    </w:p>
    <w:p>
      <w:pPr>
        <w:spacing w:after="0" w:line="13" w:lineRule="exact"/>
        <w:rPr>
          <w:sz w:val="20"/>
          <w:szCs w:val="20"/>
          <w:color w:val="auto"/>
        </w:rPr>
      </w:pPr>
    </w:p>
    <w:p>
      <w:pPr>
        <w:ind w:left="720" w:hanging="712"/>
        <w:spacing w:after="0"/>
        <w:tabs>
          <w:tab w:leader="none" w:pos="7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LLC</w:t>
      </w:r>
    </w:p>
    <w:p>
      <w:pPr>
        <w:spacing w:after="0" w:line="21" w:lineRule="exact"/>
        <w:rPr>
          <w:rFonts w:ascii="Times New Roman" w:cs="Times New Roman" w:eastAsia="Times New Roman" w:hAnsi="Times New Roman"/>
          <w:sz w:val="18"/>
          <w:szCs w:val="18"/>
          <w:color w:val="auto"/>
        </w:rPr>
      </w:pPr>
    </w:p>
    <w:p>
      <w:pPr>
        <w:ind w:left="720" w:right="83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 Wynn Resorts Holdings, LLC 3145 Las Vegas Boulevard South Las Vegas, Nevada 89109 Attn: Ron Kramer</w:t>
      </w:r>
    </w:p>
    <w:p>
      <w:pPr>
        <w:spacing w:after="0" w:line="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6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Wynn Las Vegas Capital Corp. c/o Wynn Resorts Holdings, LLC 3145 Las Vegas Boulevard South Las Vegas, Nevada 89109 Attn: Ron Kramer</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6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Wynn Design &amp; Development c/o Wynn Resorts Holdings, LLC 3145 Las Vegas Boulevard South Las Vegas, Nevada 89109 Attn: Kenneth Wynn</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Todd Nisbet</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733-4715</w:t>
      </w:r>
    </w:p>
    <w:p>
      <w:pPr>
        <w:sectPr>
          <w:pgSz w:w="11900" w:h="16838" w:orient="portrait"/>
          <w:cols w:equalWidth="0" w:num="1">
            <w:col w:w="11420"/>
          </w:cols>
          <w:pgMar w:left="240" w:top="125" w:right="239" w:bottom="0" w:gutter="0" w:footer="0" w:header="0"/>
          <w:type w:val="continuous"/>
        </w:sectPr>
      </w:pPr>
    </w:p>
    <w:p>
      <w:pPr>
        <w:spacing w:after="0" w:line="21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Prohibition Notice under that Certain Local Bank Collateral Account Agreement/</w:t>
      </w:r>
      <w:r>
        <w:rPr>
          <w:rFonts w:ascii="Times New Roman" w:cs="Times New Roman" w:eastAsia="Times New Roman" w:hAnsi="Times New Roman"/>
          <w:sz w:val="18"/>
          <w:szCs w:val="18"/>
          <w:b w:val="1"/>
          <w:bCs w:val="1"/>
          <w:i w:val="1"/>
          <w:iCs w:val="1"/>
          <w:color w:val="auto"/>
        </w:rPr>
        <w:t>[ ] [</w:t>
      </w:r>
      <w:r>
        <w:rPr>
          <w:rFonts w:ascii="Times New Roman" w:cs="Times New Roman" w:eastAsia="Times New Roman" w:hAnsi="Times New Roman"/>
          <w:sz w:val="18"/>
          <w:szCs w:val="18"/>
          <w:i w:val="1"/>
          <w:iCs w:val="1"/>
          <w:color w:val="auto"/>
        </w:rPr>
        <w:t xml:space="preserve"> Account Number </w:t>
      </w:r>
      <w:r>
        <w:rPr>
          <w:rFonts w:ascii="Times New Roman" w:cs="Times New Roman" w:eastAsia="Times New Roman" w:hAnsi="Times New Roman"/>
          <w:sz w:val="18"/>
          <w:szCs w:val="18"/>
          <w:b w:val="1"/>
          <w:bCs w:val="1"/>
          <w:i w:val="1"/>
          <w:i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444" w:lineRule="exact"/>
        <w:rPr>
          <w:sz w:val="20"/>
          <w:szCs w:val="20"/>
          <w:color w:val="auto"/>
        </w:rPr>
      </w:pPr>
    </w:p>
    <w:p>
      <w:pPr>
        <w:sectPr>
          <w:pgSz w:w="11900" w:h="16838" w:orient="portrait"/>
          <w:cols w:equalWidth="0" w:num="3">
            <w:col w:w="2320" w:space="340"/>
            <w:col w:w="3500" w:space="480"/>
            <w:col w:w="478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spacing w:after="0"/>
        <w:tabs>
          <w:tab w:leader="none" w:pos="5680" w:val="left"/>
          <w:tab w:leader="none" w:pos="11160" w:val="left"/>
        </w:tabs>
        <w:rPr>
          <w:sz w:val="20"/>
          <w:szCs w:val="20"/>
          <w:color w:val="auto"/>
        </w:rPr>
      </w:pPr>
      <w:r>
        <w:rPr>
          <w:rFonts w:ascii="Times New Roman" w:cs="Times New Roman" w:eastAsia="Times New Roman" w:hAnsi="Times New Roman"/>
          <w:sz w:val="18"/>
          <w:szCs w:val="18"/>
          <w:color w:val="auto"/>
        </w:rPr>
        <w:t xml:space="preserve">Pursuant to the Local Bank Collateral Account Agreement dated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2002 ("Local Bank Collateral Account Agreement") among</w:t>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125" w:right="239"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Secured Party, certain Pledgors and Securities Intermediary, we hereby give you this Prohibition Notice and notify you of the commencement of a Suspension</w:t>
      </w:r>
    </w:p>
    <w:p>
      <w:pPr>
        <w:sectPr>
          <w:pgSz w:w="11900" w:h="16838" w:orient="portrait"/>
          <w:cols w:equalWidth="0" w:num="1">
            <w:col w:w="11420"/>
          </w:cols>
          <w:pgMar w:left="240" w:top="125" w:right="239" w:bottom="0" w:gutter="0" w:footer="0" w:header="0"/>
          <w:type w:val="continuous"/>
        </w:sectPr>
      </w:pPr>
    </w:p>
    <w:bookmarkStart w:id="96" w:name="page97"/>
    <w:bookmarkEnd w:id="96"/>
    <w:p>
      <w:pPr>
        <w:ind w:right="760"/>
        <w:spacing w:after="0" w:line="339" w:lineRule="auto"/>
        <w:rPr>
          <w:sz w:val="20"/>
          <w:szCs w:val="20"/>
          <w:color w:val="auto"/>
        </w:rPr>
      </w:pPr>
      <w:r>
        <w:rPr>
          <w:rFonts w:ascii="Times New Roman" w:cs="Times New Roman" w:eastAsia="Times New Roman" w:hAnsi="Times New Roman"/>
          <w:sz w:val="16"/>
          <w:szCs w:val="16"/>
          <w:color w:val="auto"/>
        </w:rPr>
        <w:t>Period. Until further notice from the undersigned substantially in the form of Attachment 2 to the Local Bank Collateral Account Agreement, Securities Intermediary shall not accept or follow instructions from Pledgor pursuant to Section 4(b) of the Local Bank Collateral Account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5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color w:val="auto"/>
        </w:rPr>
        <w:t>Capitalized terms used and not otherwise defined in this notice are used with their respective meanings in the Local Bank Collateral Account Agreement.</w:t>
      </w:r>
    </w:p>
    <w:p>
      <w:pPr>
        <w:spacing w:after="0" w:line="2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Yours truly,</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147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ATTACHMENT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RESCISSION OF PROHIBITION NOTICE]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Letterhead of Secured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of notice]</w:t>
      </w:r>
    </w:p>
    <w:p>
      <w:pPr>
        <w:sectPr>
          <w:pgSz w:w="11900" w:h="16838" w:orient="portrait"/>
          <w:cols w:equalWidth="0" w:num="1">
            <w:col w:w="11420"/>
          </w:cols>
          <w:pgMar w:left="240" w:top="125" w:right="239" w:bottom="275"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South Fourth Street, 2nd Floor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NV1-119-02-01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89101-6014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Gordon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Carmen Bungert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654-7158</w:t>
      </w:r>
    </w:p>
    <w:p>
      <w:pPr>
        <w:spacing w:after="0" w:line="200" w:lineRule="exact"/>
        <w:rPr>
          <w:sz w:val="20"/>
          <w:szCs w:val="20"/>
          <w:color w:val="auto"/>
        </w:rPr>
      </w:pPr>
    </w:p>
    <w:p>
      <w:pPr>
        <w:sectPr>
          <w:pgSz w:w="11900" w:h="16838" w:orient="portrait"/>
          <w:cols w:equalWidth="0" w:num="2">
            <w:col w:w="280" w:space="440"/>
            <w:col w:w="10700"/>
          </w:cols>
          <w:pgMar w:left="240" w:top="125" w:right="239" w:bottom="275" w:gutter="0" w:footer="0" w:header="0"/>
          <w:type w:val="continuous"/>
        </w:sectPr>
      </w:pPr>
    </w:p>
    <w:p>
      <w:pPr>
        <w:spacing w:after="0" w:line="13" w:lineRule="exact"/>
        <w:rPr>
          <w:sz w:val="20"/>
          <w:szCs w:val="20"/>
          <w:color w:val="auto"/>
        </w:rPr>
      </w:pPr>
    </w:p>
    <w:p>
      <w:pPr>
        <w:ind w:left="720" w:hanging="712"/>
        <w:spacing w:after="0"/>
        <w:tabs>
          <w:tab w:leader="none" w:pos="7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LLC</w:t>
      </w:r>
    </w:p>
    <w:p>
      <w:pPr>
        <w:spacing w:after="0" w:line="21" w:lineRule="exact"/>
        <w:rPr>
          <w:rFonts w:ascii="Times New Roman" w:cs="Times New Roman" w:eastAsia="Times New Roman" w:hAnsi="Times New Roman"/>
          <w:sz w:val="18"/>
          <w:szCs w:val="18"/>
          <w:color w:val="auto"/>
        </w:rPr>
      </w:pPr>
    </w:p>
    <w:p>
      <w:pPr>
        <w:ind w:left="720" w:right="83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 Wynn Resorts Holdings, LLC 3145 Las Vegas Boulevard South Las Vegas, Nevada 89109 Attn: Ron Kramer</w:t>
      </w:r>
    </w:p>
    <w:p>
      <w:pPr>
        <w:spacing w:after="0" w:line="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6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Wynn Las Vegas Capital Corp. c/o Wynn Resorts Holdings, LLC 3145 Las Vegas Boulevard South Las Vegas, Nevada 89109 Attn: Ron Kramer</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6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Wynn Design &amp; Development c/o Wynn Resorts Holdings, LLC 3145 Las Vegas Boulevard South Las Vegas, Nevada 89109 Attn: Kenneth Wynn</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Todd Nisbet</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733-4715</w:t>
      </w:r>
    </w:p>
    <w:p>
      <w:pPr>
        <w:sectPr>
          <w:pgSz w:w="11900" w:h="16838" w:orient="portrait"/>
          <w:cols w:equalWidth="0" w:num="1">
            <w:col w:w="11420"/>
          </w:cols>
          <w:pgMar w:left="240" w:top="125" w:right="239" w:bottom="275" w:gutter="0" w:footer="0" w:header="0"/>
          <w:type w:val="continuous"/>
        </w:sectPr>
      </w:pPr>
    </w:p>
    <w:p>
      <w:pPr>
        <w:spacing w:after="0" w:line="21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900"/>
        <w:spacing w:after="0" w:line="277" w:lineRule="auto"/>
        <w:rPr>
          <w:sz w:val="20"/>
          <w:szCs w:val="20"/>
          <w:color w:val="auto"/>
        </w:rPr>
      </w:pPr>
      <w:r>
        <w:rPr>
          <w:rFonts w:ascii="Times New Roman" w:cs="Times New Roman" w:eastAsia="Times New Roman" w:hAnsi="Times New Roman"/>
          <w:sz w:val="18"/>
          <w:szCs w:val="18"/>
          <w:i w:val="1"/>
          <w:iCs w:val="1"/>
          <w:color w:val="auto"/>
        </w:rPr>
        <w:t>Rescission of Prohibition Notice under that Certain Local Bank Collateral Account Agreement/</w:t>
      </w:r>
      <w:r>
        <w:rPr>
          <w:rFonts w:ascii="Times New Roman" w:cs="Times New Roman" w:eastAsia="Times New Roman" w:hAnsi="Times New Roman"/>
          <w:sz w:val="18"/>
          <w:szCs w:val="18"/>
          <w:b w:val="1"/>
          <w:bCs w:val="1"/>
          <w:i w:val="1"/>
          <w:iCs w:val="1"/>
          <w:color w:val="auto"/>
        </w:rPr>
        <w:t>[ ] [ ]</w:t>
      </w:r>
      <w:r>
        <w:rPr>
          <w:rFonts w:ascii="Times New Roman" w:cs="Times New Roman" w:eastAsia="Times New Roman" w:hAnsi="Times New Roman"/>
          <w:sz w:val="18"/>
          <w:szCs w:val="18"/>
          <w:i w:val="1"/>
          <w:iCs w:val="1"/>
          <w:color w:val="auto"/>
        </w:rPr>
        <w:t xml:space="preserve"> Account Number </w:t>
      </w:r>
      <w:r>
        <w:rPr>
          <w:rFonts w:ascii="Times New Roman" w:cs="Times New Roman" w:eastAsia="Times New Roman" w:hAnsi="Times New Roman"/>
          <w:sz w:val="18"/>
          <w:szCs w:val="18"/>
          <w:b w:val="1"/>
          <w:bCs w:val="1"/>
          <w:i w:val="1"/>
          <w:iCs w:val="1"/>
          <w:color w:val="auto"/>
        </w:rPr>
        <w:t>[ ]</w:t>
      </w:r>
    </w:p>
    <w:p>
      <w:pPr>
        <w:spacing w:after="0" w:line="172" w:lineRule="exact"/>
        <w:rPr>
          <w:sz w:val="20"/>
          <w:szCs w:val="20"/>
          <w:color w:val="auto"/>
        </w:rPr>
      </w:pPr>
    </w:p>
    <w:p>
      <w:pPr>
        <w:sectPr>
          <w:pgSz w:w="11900" w:h="16838" w:orient="portrait"/>
          <w:cols w:equalWidth="0" w:num="2">
            <w:col w:w="2320" w:space="340"/>
            <w:col w:w="8760"/>
          </w:cols>
          <w:pgMar w:left="240" w:top="125" w:right="239" w:bottom="275"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spacing w:after="0"/>
        <w:tabs>
          <w:tab w:leader="none" w:pos="5680" w:val="left"/>
          <w:tab w:leader="none" w:pos="11160" w:val="left"/>
        </w:tabs>
        <w:rPr>
          <w:sz w:val="20"/>
          <w:szCs w:val="20"/>
          <w:color w:val="auto"/>
        </w:rPr>
      </w:pPr>
      <w:r>
        <w:rPr>
          <w:rFonts w:ascii="Times New Roman" w:cs="Times New Roman" w:eastAsia="Times New Roman" w:hAnsi="Times New Roman"/>
          <w:sz w:val="18"/>
          <w:szCs w:val="18"/>
          <w:color w:val="auto"/>
        </w:rPr>
        <w:t xml:space="preserve">Pursuant to the Local Bank Collateral Account Agreement dated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2002 ("Local Bank Collateral Account Agreement") among</w:t>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125" w:right="239" w:bottom="275" w:gutter="0" w:footer="0" w:header="0"/>
          <w:type w:val="continuous"/>
        </w:sectPr>
      </w:pPr>
    </w:p>
    <w:p>
      <w:pPr>
        <w:spacing w:after="0" w:line="23"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 xml:space="preserve">as Secured Party, certain Pledgors and Securities Intermediary, we hereby notify you of the rescission by Secured Party of the Prohibition Notice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Prohibition Notice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end of the related Suspension Period. You are hereby instructed that, until receipt of a new Prohibition Notice, you shall accept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 written instructions from Pledgor pursuant to Section 4(b) of the Local Bank Collateral Account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color w:val="auto"/>
        </w:rPr>
        <w:t>Capitalized terms used and not otherwise defined in this notice are used with their respective meanings in the Local Bank Collateral Account Agreement.</w:t>
      </w:r>
    </w:p>
    <w:p>
      <w:pPr>
        <w:spacing w:after="0" w:line="2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Yours truly,</w:t>
      </w:r>
    </w:p>
    <w:p>
      <w:pPr>
        <w:spacing w:after="0" w:line="2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9147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75"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Local Bank Collateral Account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Z-3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Disbursement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LOCAL FF&amp;E COLLATERAL ACCOUNT AGREEMENT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LOCAL FF&amp;E COLLATERAL ACCOUNT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October 30, 2002 and entered into by and among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LAS VEGAS, LLC</w:t>
      </w:r>
      <w:r>
        <w:rPr>
          <w:rFonts w:ascii="Times New Roman" w:cs="Times New Roman" w:eastAsia="Times New Roman" w:hAnsi="Times New Roman"/>
          <w:sz w:val="18"/>
          <w:szCs w:val="18"/>
          <w:color w:val="auto"/>
        </w:rPr>
        <w:t>, a Nevada limited liability company ("</w:t>
      </w:r>
      <w:r>
        <w:rPr>
          <w:rFonts w:ascii="Times New Roman" w:cs="Times New Roman" w:eastAsia="Times New Roman" w:hAnsi="Times New Roman"/>
          <w:sz w:val="18"/>
          <w:szCs w:val="18"/>
          <w:b w:val="1"/>
          <w:bCs w:val="1"/>
          <w:color w:val="auto"/>
        </w:rPr>
        <w:t>Wynn Las Vegas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WYNN LAS VEGAS CAPITAL CORP.</w:t>
      </w:r>
      <w:r>
        <w:rPr>
          <w:rFonts w:ascii="Times New Roman" w:cs="Times New Roman" w:eastAsia="Times New Roman" w:hAnsi="Times New Roman"/>
          <w:sz w:val="18"/>
          <w:szCs w:val="18"/>
          <w:color w:val="auto"/>
        </w:rPr>
        <w:t>, a Nevada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Corp.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WYNN DESIGN &amp; DEVELOPMENT, LLC</w:t>
      </w:r>
      <w:r>
        <w:rPr>
          <w:rFonts w:ascii="Times New Roman" w:cs="Times New Roman" w:eastAsia="Times New Roman" w:hAnsi="Times New Roman"/>
          <w:sz w:val="16"/>
          <w:szCs w:val="16"/>
          <w:color w:val="auto"/>
        </w:rPr>
        <w:t>, a Nevada limited liability company ("</w:t>
      </w:r>
      <w:r>
        <w:rPr>
          <w:rFonts w:ascii="Times New Roman" w:cs="Times New Roman" w:eastAsia="Times New Roman" w:hAnsi="Times New Roman"/>
          <w:sz w:val="16"/>
          <w:szCs w:val="16"/>
          <w:b w:val="1"/>
          <w:bCs w:val="1"/>
          <w:color w:val="auto"/>
        </w:rPr>
        <w:t>Wynn Design</w:t>
      </w:r>
      <w:r>
        <w:rPr>
          <w:rFonts w:ascii="Times New Roman" w:cs="Times New Roman" w:eastAsia="Times New Roman" w:hAnsi="Times New Roman"/>
          <w:sz w:val="16"/>
          <w:szCs w:val="16"/>
          <w:color w:val="auto"/>
        </w:rPr>
        <w:t>" and, jointly and severally with Wynn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and Capital Corp., "</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WELLS FARGO BANK NEVADA, NATIONAL ASSOCIATION</w:t>
      </w:r>
      <w:r>
        <w:rPr>
          <w:rFonts w:ascii="Times New Roman" w:cs="Times New Roman" w:eastAsia="Times New Roman" w:hAnsi="Times New Roman"/>
          <w:sz w:val="18"/>
          <w:szCs w:val="18"/>
          <w:color w:val="auto"/>
        </w:rPr>
        <w:t>, not in its individual capacity, but solely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Collateral Agent under the Loan Agreement ("</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(in such capacity herein called "</w:t>
      </w:r>
      <w:r>
        <w:rPr>
          <w:rFonts w:ascii="Times New Roman" w:cs="Times New Roman" w:eastAsia="Times New Roman" w:hAnsi="Times New Roman"/>
          <w:sz w:val="16"/>
          <w:szCs w:val="16"/>
          <w:b w:val="1"/>
          <w:bCs w:val="1"/>
          <w:color w:val="auto"/>
        </w:rPr>
        <w:t>Secured Party</w:t>
      </w:r>
      <w:r>
        <w:rPr>
          <w:rFonts w:ascii="Times New Roman" w:cs="Times New Roman" w:eastAsia="Times New Roman" w:hAnsi="Times New Roman"/>
          <w:sz w:val="16"/>
          <w:szCs w:val="16"/>
          <w:color w:val="auto"/>
        </w:rPr>
        <w:t>"), and Bank of America, N.A., as custodian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intermediary for the Pledgor and Secured Party (in such capacity, "</w:t>
      </w:r>
      <w:r>
        <w:rPr>
          <w:rFonts w:ascii="Times New Roman" w:cs="Times New Roman" w:eastAsia="Times New Roman" w:hAnsi="Times New Roman"/>
          <w:sz w:val="18"/>
          <w:szCs w:val="18"/>
          <w:b w:val="1"/>
          <w:bCs w:val="1"/>
          <w:color w:val="auto"/>
        </w:rPr>
        <w:t>Securities Intermediary</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5" w:lineRule="exact"/>
        <w:rPr>
          <w:sz w:val="20"/>
          <w:szCs w:val="20"/>
          <w:color w:val="auto"/>
        </w:rPr>
      </w:pPr>
    </w:p>
    <w:p>
      <w:pPr>
        <w:ind w:right="60" w:firstLine="349"/>
        <w:spacing w:after="0" w:line="277" w:lineRule="auto"/>
        <w:tabs>
          <w:tab w:leader="none" w:pos="68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Project. </w:t>
      </w:r>
      <w:r>
        <w:rPr>
          <w:rFonts w:ascii="Times New Roman" w:cs="Times New Roman" w:eastAsia="Times New Roman" w:hAnsi="Times New Roman"/>
          <w:sz w:val="18"/>
          <w:szCs w:val="18"/>
          <w:color w:val="auto"/>
        </w:rPr>
        <w:t>Pledgor proposes to develop, construct and operate the Le Rêve Casino Resort with related parking structure and golf course facilities,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redevelopment of the site of the former Desert Inn in Las Vegas, Nevada.</w:t>
      </w:r>
    </w:p>
    <w:p>
      <w:pPr>
        <w:spacing w:after="0" w:line="170" w:lineRule="exact"/>
        <w:rPr>
          <w:rFonts w:ascii="Times New Roman" w:cs="Times New Roman" w:eastAsia="Times New Roman" w:hAnsi="Times New Roman"/>
          <w:sz w:val="18"/>
          <w:szCs w:val="18"/>
          <w:color w:val="auto"/>
        </w:rPr>
      </w:pPr>
    </w:p>
    <w:p>
      <w:pPr>
        <w:ind w:right="40" w:firstLine="359"/>
        <w:spacing w:after="0" w:line="254" w:lineRule="auto"/>
        <w:tabs>
          <w:tab w:leader="none" w:pos="68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 Credit Agreement. </w:t>
      </w:r>
      <w:r>
        <w:rPr>
          <w:rFonts w:ascii="Times New Roman" w:cs="Times New Roman" w:eastAsia="Times New Roman" w:hAnsi="Times New Roman"/>
          <w:sz w:val="18"/>
          <w:szCs w:val="18"/>
          <w:color w:val="auto"/>
        </w:rPr>
        <w:t>Concurrently herewith, Wynn Las Vegas, the Bank Agent, Deutsche Bank Securities, Inc., as advisor, lead arranger and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 running manager, Banc of America Securities LLC, as advisor, lead arranger, joint book running manager and syndication agent, Bear, Stearns &amp; Co. Inc., as advisor, arranger and joint book running manager, Bear Stearns Corporate Lending Inc., as joint documentation agent, Dresdner Bank AG, New York and Grand Cayman Branches, as arranger and joint documentation agent, and the Bank Lenders have entered into the Bank Credit Agreement pursuant to which the Bank Lenders have agreed, subject to the terms thereof, to provide certain revolving loans to Wynn Las Vegas in an aggregate principal amount not to exceed $750,000,000 and certain delay draw term loans to Wynn Las Vegas in an aggregate principal amount not to exceed $250,000,000, as more particularly described therein. Valvino, Wynn Resorts Holdings and certain other guarantors have, pursuant to the Bank Guarantee and Collateral Agreement, guaranteed the obligations of Wynn Las Vegas under the Bank Credit Agreement.</w:t>
      </w:r>
    </w:p>
    <w:p>
      <w:pPr>
        <w:spacing w:after="0" w:line="192" w:lineRule="exact"/>
        <w:rPr>
          <w:rFonts w:ascii="Times New Roman" w:cs="Times New Roman" w:eastAsia="Times New Roman" w:hAnsi="Times New Roman"/>
          <w:sz w:val="18"/>
          <w:szCs w:val="18"/>
          <w:color w:val="auto"/>
        </w:rPr>
      </w:pPr>
    </w:p>
    <w:p>
      <w:pPr>
        <w:ind w:right="200" w:firstLine="359"/>
        <w:spacing w:after="0" w:line="312" w:lineRule="auto"/>
        <w:tabs>
          <w:tab w:leader="none" w:pos="688"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Second Mortgage Notes Indenture. </w:t>
      </w:r>
      <w:r>
        <w:rPr>
          <w:rFonts w:ascii="Times New Roman" w:cs="Times New Roman" w:eastAsia="Times New Roman" w:hAnsi="Times New Roman"/>
          <w:sz w:val="16"/>
          <w:szCs w:val="16"/>
          <w:color w:val="auto"/>
        </w:rPr>
        <w:t>Concurrently herewith, Wynn Las Vegas, Capital Corp., certain guarantors signatory thereto (including Valvino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Wynn Resorts Holdings) and the Indenture Trustee have entered into the Second Mortgage Notes Indenture pursuant to which Wynn Las Vegas and Capital Corp. will issue the Second Mortgage Notes in an aggregate principal amount of $340,000,000 to finance Project Costs, as more particularly described therein.</w:t>
      </w:r>
    </w:p>
    <w:p>
      <w:pPr>
        <w:spacing w:after="0" w:line="146" w:lineRule="exact"/>
        <w:rPr>
          <w:rFonts w:ascii="Times New Roman" w:cs="Times New Roman" w:eastAsia="Times New Roman" w:hAnsi="Times New Roman"/>
          <w:sz w:val="16"/>
          <w:szCs w:val="16"/>
          <w:color w:val="auto"/>
        </w:rPr>
      </w:pPr>
    </w:p>
    <w:p>
      <w:pPr>
        <w:ind w:right="20" w:firstLine="359"/>
        <w:spacing w:after="0" w:line="264" w:lineRule="auto"/>
        <w:tabs>
          <w:tab w:leader="none" w:pos="6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FF&amp;E Facility Agreement. </w:t>
      </w:r>
      <w:r>
        <w:rPr>
          <w:rFonts w:ascii="Times New Roman" w:cs="Times New Roman" w:eastAsia="Times New Roman" w:hAnsi="Times New Roman"/>
          <w:sz w:val="18"/>
          <w:szCs w:val="18"/>
          <w:color w:val="auto"/>
        </w:rPr>
        <w:t>Concurrently herewith, Wynn Las Vegas, Collateral Agent and the FF&amp;E Lenders have entered into the FF&amp;E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pursuant to which the FF&amp;E Lenders have agreed, subject to the terms thereof, to provide certain loans in an aggregate principal amount not to exceed $188,500,000 to finance acquisition and installation costs for the FF&amp;E Component, as more particularly described therein.</w:t>
      </w:r>
    </w:p>
    <w:p>
      <w:pPr>
        <w:spacing w:after="0" w:line="181" w:lineRule="exact"/>
        <w:rPr>
          <w:rFonts w:ascii="Times New Roman" w:cs="Times New Roman" w:eastAsia="Times New Roman" w:hAnsi="Times New Roman"/>
          <w:sz w:val="18"/>
          <w:szCs w:val="18"/>
          <w:color w:val="auto"/>
        </w:rPr>
      </w:pPr>
    </w:p>
    <w:p>
      <w:pPr>
        <w:ind w:right="120" w:firstLine="359"/>
        <w:spacing w:after="0" w:line="255"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Intercreditor Agreements. </w:t>
      </w:r>
      <w:r>
        <w:rPr>
          <w:rFonts w:ascii="Times New Roman" w:cs="Times New Roman" w:eastAsia="Times New Roman" w:hAnsi="Times New Roman"/>
          <w:sz w:val="18"/>
          <w:szCs w:val="18"/>
          <w:color w:val="auto"/>
        </w:rPr>
        <w:t>Concurrently herewith, (i) the Bank Agent (acting on behalf of itself and the Bank Lenders) and the Indenture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on behalf of itself and the Second Mortgage Note Holders) have entered into the Project Lenders Intercreditor Agreement and (ii) the Bank Agent (acting on behalf of itself and the Bank Lenders), the Indenture Trustee (acting on behalf of itself and the Second Mortgage Note Holders) and the Collateral Agent (acting on behalf of itself and the FF&amp;E Lenders) have entered into the FF&amp;E Intercreditor Agreement, pursuant to each of which the parties thereto have set forth certain intercreditor provisions, including the priority of the liens, the method of decision making among the Lenders party thereto, the arrangements applicable to actions in respect of approval rights and waivers, the limitations on rights of enforcement upon default and the application of proceeds upon enforcement.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right="240" w:firstLine="359"/>
        <w:spacing w:after="0" w:line="312" w:lineRule="auto"/>
        <w:tabs>
          <w:tab w:leader="none" w:pos="65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Completion Guaranty. </w:t>
      </w:r>
      <w:r>
        <w:rPr>
          <w:rFonts w:ascii="Times New Roman" w:cs="Times New Roman" w:eastAsia="Times New Roman" w:hAnsi="Times New Roman"/>
          <w:sz w:val="16"/>
          <w:szCs w:val="16"/>
          <w:color w:val="auto"/>
        </w:rPr>
        <w:t>Concurrently herewith, the Completion Guarantor has executed in favor of the Bank Agent (acting on behalf of the Bank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Lenders) and the Indenture Trustee (acting on behalf of the Second Mortgage Note Holders) the Completion Guaranty pursuant to which the Completion Guarantor has agreed, subject to the terms and limitations thereof, to guaranty completion of the Project and payment by the Company of certain Project Costs.</w:t>
      </w:r>
    </w:p>
    <w:p>
      <w:pPr>
        <w:spacing w:after="0" w:line="146" w:lineRule="exact"/>
        <w:rPr>
          <w:rFonts w:ascii="Times New Roman" w:cs="Times New Roman" w:eastAsia="Times New Roman" w:hAnsi="Times New Roman"/>
          <w:sz w:val="16"/>
          <w:szCs w:val="16"/>
          <w:color w:val="auto"/>
        </w:rPr>
      </w:pPr>
    </w:p>
    <w:p>
      <w:pPr>
        <w:ind w:right="40" w:firstLine="359"/>
        <w:spacing w:after="0" w:line="255" w:lineRule="auto"/>
        <w:tabs>
          <w:tab w:leader="none" w:pos="6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Master Disbursement Agreement. </w:t>
      </w:r>
      <w:r>
        <w:rPr>
          <w:rFonts w:ascii="Times New Roman" w:cs="Times New Roman" w:eastAsia="Times New Roman" w:hAnsi="Times New Roman"/>
          <w:sz w:val="18"/>
          <w:szCs w:val="18"/>
          <w:color w:val="auto"/>
        </w:rPr>
        <w:t>Concurrently herewith, the Pledgor, the Bank Agent (acting on behalf of itself and the Bank Lenders),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(acting on behalf of itself and the Second Mortgage Note Holders), the Collateral Agent (acting on behalf of itself and the FF&amp;E Lenders) and Deutsche Bank Trust Company Americas as "</w:t>
      </w:r>
      <w:r>
        <w:rPr>
          <w:rFonts w:ascii="Times New Roman" w:cs="Times New Roman" w:eastAsia="Times New Roman" w:hAnsi="Times New Roman"/>
          <w:sz w:val="18"/>
          <w:szCs w:val="18"/>
          <w:b w:val="1"/>
          <w:bCs w:val="1"/>
          <w:color w:val="auto"/>
        </w:rPr>
        <w:t>Disbursement Agent</w:t>
      </w:r>
      <w:r>
        <w:rPr>
          <w:rFonts w:ascii="Times New Roman" w:cs="Times New Roman" w:eastAsia="Times New Roman" w:hAnsi="Times New Roman"/>
          <w:sz w:val="18"/>
          <w:szCs w:val="18"/>
          <w:color w:val="auto"/>
        </w:rPr>
        <w:t>" have entered into that certain Master Disbursement Agreement ("</w:t>
      </w:r>
      <w:r>
        <w:rPr>
          <w:rFonts w:ascii="Times New Roman" w:cs="Times New Roman" w:eastAsia="Times New Roman" w:hAnsi="Times New Roman"/>
          <w:sz w:val="18"/>
          <w:szCs w:val="18"/>
          <w:b w:val="1"/>
          <w:bCs w:val="1"/>
          <w:color w:val="auto"/>
        </w:rPr>
        <w:t>Disbursement Agreement</w:t>
      </w:r>
      <w:r>
        <w:rPr>
          <w:rFonts w:ascii="Times New Roman" w:cs="Times New Roman" w:eastAsia="Times New Roman" w:hAnsi="Times New Roman"/>
          <w:sz w:val="18"/>
          <w:szCs w:val="18"/>
          <w:color w:val="auto"/>
        </w:rPr>
        <w:t>") for the purpose of setting forth, among other things, (a) the mechanics for and allocation of Wynn Las Vegas' requests for Advances under the various Facilities and from the Company's Funds Account, (b) the conditions precedent to the Closing Date, to the initial Advance and to subsequent Advances, (c) certain common representations, warranties and covenants of Wynn Las Vegas in favor of the Funding Agents and the Lenders and (d) the common events of default and remedies.</w:t>
      </w:r>
    </w:p>
    <w:p>
      <w:pPr>
        <w:spacing w:after="0" w:line="189" w:lineRule="exact"/>
        <w:rPr>
          <w:rFonts w:ascii="Times New Roman" w:cs="Times New Roman" w:eastAsia="Times New Roman" w:hAnsi="Times New Roman"/>
          <w:sz w:val="18"/>
          <w:szCs w:val="18"/>
          <w:color w:val="auto"/>
        </w:rPr>
      </w:pPr>
    </w:p>
    <w:p>
      <w:pPr>
        <w:ind w:right="580" w:firstLine="359"/>
        <w:spacing w:after="0" w:line="342" w:lineRule="auto"/>
        <w:tabs>
          <w:tab w:leader="none" w:pos="697"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Condition. </w:t>
      </w:r>
      <w:r>
        <w:rPr>
          <w:rFonts w:ascii="Times New Roman" w:cs="Times New Roman" w:eastAsia="Times New Roman" w:hAnsi="Times New Roman"/>
          <w:sz w:val="16"/>
          <w:szCs w:val="16"/>
          <w:color w:val="auto"/>
        </w:rPr>
        <w:t>It is a condition precedent to the making of the Loans by the FF&amp;E Lenders that Pledgor shall have established the FF&amp;E Proceeds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 granted control to the Collateral Agent (as Secured Party) of such accounts, and undertaken the obligations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-2347595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04" w:lineRule="exact"/>
        <w:rPr>
          <w:sz w:val="20"/>
          <w:szCs w:val="20"/>
          <w:color w:val="auto"/>
        </w:rPr>
      </w:pPr>
    </w:p>
    <w:p>
      <w:pPr>
        <w:ind w:right="2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in order to induce the FF&amp;E Lenders to make their respective loans under the Loan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for other good and valuable consideration, the receipt and adequacy of which are hereby acknowledged, Pledgor hereby agrees with Secured Party as follows: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ectPr>
          <w:pgSz w:w="11900" w:h="16838" w:orient="portrait"/>
          <w:cols w:equalWidth="0" w:num="1">
            <w:col w:w="11420"/>
          </w:cols>
          <w:pgMar w:left="240" w:top="123" w:right="239" w:bottom="0" w:gutter="0" w:footer="0" w:header="0"/>
        </w:sectPr>
      </w:pP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Certain Definitions.</w:t>
      </w:r>
    </w:p>
    <w:p>
      <w:pPr>
        <w:sectPr>
          <w:pgSz w:w="11900" w:h="16838" w:orient="portrait"/>
          <w:cols w:equalWidth="0" w:num="1">
            <w:col w:w="11420"/>
          </w:cols>
          <w:pgMar w:left="240" w:top="123" w:right="239" w:bottom="0" w:gutter="0" w:footer="0" w:header="0"/>
          <w:type w:val="continuous"/>
        </w:sectPr>
      </w:pPr>
    </w:p>
    <w:bookmarkStart w:id="98" w:name="page99"/>
    <w:bookmarkEnd w:id="98"/>
    <w:p>
      <w:pPr>
        <w:ind w:left="361" w:hanging="361"/>
        <w:spacing w:after="0"/>
        <w:tabs>
          <w:tab w:leader="none" w:pos="36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 Definitions.  The following terms used in this Agreement shall have the following meanings:</w:t>
      </w:r>
    </w:p>
    <w:p>
      <w:pPr>
        <w:spacing w:after="0" w:line="225"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Broker-Dealer</w:t>
      </w:r>
      <w:r>
        <w:rPr>
          <w:rFonts w:ascii="Times New Roman" w:cs="Times New Roman" w:eastAsia="Times New Roman" w:hAnsi="Times New Roman"/>
          <w:sz w:val="18"/>
          <w:szCs w:val="18"/>
          <w:color w:val="auto"/>
        </w:rPr>
        <w:t>" means a person registered as a broker or dealer under the Securities Exchange Act of 1934, as amended.</w:t>
      </w:r>
    </w:p>
    <w:p>
      <w:pPr>
        <w:spacing w:after="0" w:line="225" w:lineRule="exact"/>
        <w:rPr>
          <w:sz w:val="20"/>
          <w:szCs w:val="20"/>
          <w:color w:val="auto"/>
        </w:rPr>
      </w:pPr>
    </w:p>
    <w:p>
      <w:pPr>
        <w:ind w:left="181" w:right="26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any other day which is a legal holiday or a day on which banking institutions are permitted to be closed in New York or Nevada.</w:t>
      </w:r>
    </w:p>
    <w:p>
      <w:pPr>
        <w:spacing w:after="0" w:line="170"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Uniform Commercial Code as enacted and in effect in New York from time to time.</w:t>
      </w:r>
    </w:p>
    <w:p>
      <w:pPr>
        <w:spacing w:after="0" w:line="225" w:lineRule="exact"/>
        <w:rPr>
          <w:sz w:val="20"/>
          <w:szCs w:val="20"/>
          <w:color w:val="auto"/>
        </w:rPr>
      </w:pPr>
    </w:p>
    <w:p>
      <w:pPr>
        <w:ind w:left="181" w:right="340"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(i) the FF&amp;E Proceeds Account, (ii) all amounts held from time to time in the FF&amp;E Proceeds Account, (iii) all Investments, including all Financial Assets, security entitlements, securities (whether certificated or uncertificated), instruments, accounts, general intangibles and deposits representing or evidencing any Investments, (iv) all interest, dividends, cash, instruments, securities and other property from time to time received, receivable or otherwise distributed in respect of or in exchange for any or all of the Collateral and (v) to the extent not covered by clauses (i) through (iv) above, all proceeds of any or all of the foregoing Collateral.</w:t>
      </w:r>
    </w:p>
    <w:p>
      <w:pPr>
        <w:spacing w:after="0" w:line="188"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the Deposit Account and any other accounts or subaccounts in which Investments may be held or registered.</w:t>
      </w:r>
    </w:p>
    <w:p>
      <w:pPr>
        <w:spacing w:after="0" w:line="225" w:lineRule="exact"/>
        <w:rPr>
          <w:sz w:val="20"/>
          <w:szCs w:val="20"/>
          <w:color w:val="auto"/>
        </w:rPr>
      </w:pPr>
    </w:p>
    <w:p>
      <w:pPr>
        <w:ind w:left="181" w:right="2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the Deposit Account established and maintained by Pledgor and Secured Party with Securities Intermediary pursuant to Section 2.</w:t>
      </w:r>
    </w:p>
    <w:p>
      <w:pPr>
        <w:spacing w:after="0" w:line="170" w:lineRule="exact"/>
        <w:rPr>
          <w:sz w:val="20"/>
          <w:szCs w:val="20"/>
          <w:color w:val="auto"/>
        </w:rPr>
      </w:pPr>
    </w:p>
    <w:p>
      <w:pPr>
        <w:ind w:left="181" w:right="30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FF&amp;E Lenders</w:t>
      </w:r>
      <w:r>
        <w:rPr>
          <w:rFonts w:ascii="Times New Roman" w:cs="Times New Roman" w:eastAsia="Times New Roman" w:hAnsi="Times New Roman"/>
          <w:sz w:val="18"/>
          <w:szCs w:val="18"/>
          <w:color w:val="auto"/>
        </w:rPr>
        <w:t>" means the Persons party to the Loan Agreement and listed as Lenders on Schedule I thereto and their permitted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116840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1" w:right="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means any Financial Assets credited to the Deposit Accounts and any other property acquired by Securities Intermediary as securities intermediary hereunder in exchange for, with proceeds from or distributions on, or otherwise in respect of any Investments.</w:t>
      </w:r>
    </w:p>
    <w:p>
      <w:pPr>
        <w:spacing w:after="0" w:line="170"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Investments</w:t>
      </w:r>
      <w:r>
        <w:rPr>
          <w:rFonts w:ascii="Times New Roman" w:cs="Times New Roman" w:eastAsia="Times New Roman" w:hAnsi="Times New Roman"/>
          <w:sz w:val="18"/>
          <w:szCs w:val="18"/>
          <w:color w:val="auto"/>
        </w:rPr>
        <w:t>" means the investments described in paragraph (b) of the definition of Permitted Investments.</w:t>
      </w:r>
    </w:p>
    <w:p>
      <w:pPr>
        <w:spacing w:after="0" w:line="225"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 (a) prior to the Completion Date, the following:</w:t>
      </w:r>
    </w:p>
    <w:p>
      <w:pPr>
        <w:spacing w:after="0" w:line="241" w:lineRule="exact"/>
        <w:rPr>
          <w:sz w:val="20"/>
          <w:szCs w:val="20"/>
          <w:color w:val="auto"/>
        </w:rPr>
      </w:pPr>
    </w:p>
    <w:p>
      <w:pPr>
        <w:ind w:left="721" w:right="460" w:hanging="532"/>
        <w:spacing w:after="0" w:line="275" w:lineRule="auto"/>
        <w:tabs>
          <w:tab w:leader="none" w:pos="72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 or</w:t>
      </w:r>
    </w:p>
    <w:p>
      <w:pPr>
        <w:spacing w:after="0" w:line="200" w:lineRule="exact"/>
        <w:rPr>
          <w:rFonts w:ascii="Times New Roman" w:cs="Times New Roman" w:eastAsia="Times New Roman" w:hAnsi="Times New Roman"/>
          <w:sz w:val="18"/>
          <w:szCs w:val="18"/>
          <w:color w:val="auto"/>
        </w:rPr>
      </w:pPr>
    </w:p>
    <w:p>
      <w:pPr>
        <w:ind w:left="721" w:hanging="532"/>
        <w:spacing w:after="0"/>
        <w:tabs>
          <w:tab w:leader="none" w:pos="721"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money market mutual or similar funds which invest exclusively in assets satisfying the requirements of clause (a)(1) of this definitions;</w:t>
      </w:r>
    </w:p>
    <w:p>
      <w:pPr>
        <w:spacing w:after="0" w:line="248" w:lineRule="exact"/>
        <w:rPr>
          <w:rFonts w:ascii="Times New Roman" w:cs="Times New Roman" w:eastAsia="Times New Roman" w:hAnsi="Times New Roman"/>
          <w:sz w:val="16"/>
          <w:szCs w:val="16"/>
          <w:color w:val="auto"/>
        </w:rPr>
      </w:pPr>
    </w:p>
    <w:p>
      <w:pPr>
        <w:ind w:left="301" w:hanging="301"/>
        <w:spacing w:after="0"/>
        <w:tabs>
          <w:tab w:leader="none" w:pos="30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Completion Date, "Permitted Investments" means the following:</w:t>
      </w:r>
    </w:p>
    <w:p>
      <w:pPr>
        <w:spacing w:after="0" w:line="238" w:lineRule="exact"/>
        <w:rPr>
          <w:rFonts w:ascii="Times New Roman" w:cs="Times New Roman" w:eastAsia="Times New Roman" w:hAnsi="Times New Roman"/>
          <w:sz w:val="18"/>
          <w:szCs w:val="18"/>
          <w:color w:val="auto"/>
        </w:rPr>
      </w:pPr>
    </w:p>
    <w:p>
      <w:pPr>
        <w:ind w:left="721" w:hanging="532"/>
        <w:spacing w:after="0"/>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238" w:lineRule="exact"/>
        <w:rPr>
          <w:rFonts w:ascii="Times New Roman" w:cs="Times New Roman" w:eastAsia="Times New Roman" w:hAnsi="Times New Roman"/>
          <w:sz w:val="18"/>
          <w:szCs w:val="18"/>
          <w:color w:val="auto"/>
        </w:rPr>
      </w:pPr>
    </w:p>
    <w:p>
      <w:pPr>
        <w:ind w:left="721" w:hanging="532"/>
        <w:spacing w:after="0" w:line="262" w:lineRule="auto"/>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213" w:lineRule="exact"/>
        <w:rPr>
          <w:rFonts w:ascii="Times New Roman" w:cs="Times New Roman" w:eastAsia="Times New Roman" w:hAnsi="Times New Roman"/>
          <w:sz w:val="18"/>
          <w:szCs w:val="18"/>
          <w:color w:val="auto"/>
        </w:rPr>
      </w:pPr>
    </w:p>
    <w:p>
      <w:pPr>
        <w:jc w:val="both"/>
        <w:ind w:left="721" w:right="180" w:hanging="532"/>
        <w:spacing w:after="0" w:line="258" w:lineRule="auto"/>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203" w:lineRule="exact"/>
        <w:rPr>
          <w:rFonts w:ascii="Times New Roman" w:cs="Times New Roman" w:eastAsia="Times New Roman" w:hAnsi="Times New Roman"/>
          <w:sz w:val="18"/>
          <w:szCs w:val="18"/>
          <w:color w:val="auto"/>
        </w:rPr>
      </w:pPr>
    </w:p>
    <w:p>
      <w:pPr>
        <w:ind w:left="721" w:right="560" w:hanging="532"/>
        <w:spacing w:after="0" w:line="275" w:lineRule="auto"/>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87" w:lineRule="exact"/>
        <w:rPr>
          <w:rFonts w:ascii="Times New Roman" w:cs="Times New Roman" w:eastAsia="Times New Roman" w:hAnsi="Times New Roman"/>
          <w:sz w:val="18"/>
          <w:szCs w:val="18"/>
          <w:color w:val="auto"/>
        </w:rPr>
      </w:pPr>
    </w:p>
    <w:p>
      <w:pPr>
        <w:ind w:left="721" w:right="580" w:hanging="532"/>
        <w:spacing w:after="0" w:line="275" w:lineRule="auto"/>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the highest rating obtainable from Moody's or S&amp;P and in each case maturing within six months after the date of acquisition; and</w:t>
      </w:r>
    </w:p>
    <w:p>
      <w:pPr>
        <w:spacing w:after="0" w:line="200" w:lineRule="exact"/>
        <w:rPr>
          <w:rFonts w:ascii="Times New Roman" w:cs="Times New Roman" w:eastAsia="Times New Roman" w:hAnsi="Times New Roman"/>
          <w:sz w:val="18"/>
          <w:szCs w:val="18"/>
          <w:color w:val="auto"/>
        </w:rPr>
      </w:pPr>
    </w:p>
    <w:p>
      <w:pPr>
        <w:ind w:left="721" w:hanging="532"/>
        <w:spacing w:after="0"/>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or mutual funds at least 95% of the assets of which constitute Permitted Investments of the kinds described in clauses</w:t>
      </w:r>
    </w:p>
    <w:p>
      <w:pPr>
        <w:spacing w:after="0" w:line="21" w:lineRule="exact"/>
        <w:rPr>
          <w:rFonts w:ascii="Times New Roman" w:cs="Times New Roman" w:eastAsia="Times New Roman" w:hAnsi="Times New Roman"/>
          <w:sz w:val="18"/>
          <w:szCs w:val="18"/>
          <w:color w:val="auto"/>
        </w:rPr>
      </w:pPr>
    </w:p>
    <w:p>
      <w:pPr>
        <w:ind w:left="7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through (5) of this definition;</w:t>
      </w:r>
    </w:p>
    <w:p>
      <w:pPr>
        <w:spacing w:after="0" w:line="226" w:lineRule="exact"/>
        <w:rPr>
          <w:rFonts w:ascii="Times New Roman" w:cs="Times New Roman" w:eastAsia="Times New Roman" w:hAnsi="Times New Roman"/>
          <w:sz w:val="18"/>
          <w:szCs w:val="18"/>
          <w:color w:val="auto"/>
        </w:rPr>
      </w:pPr>
    </w:p>
    <w:p>
      <w:pPr>
        <w:ind w:left="721" w:hanging="532"/>
        <w:spacing w:after="0"/>
        <w:tabs>
          <w:tab w:leader="none" w:pos="72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permitted by clauses (b)(1)-(6) above, those items described in clauses (a)(1)-(2) above.</w:t>
      </w:r>
    </w:p>
    <w:p>
      <w:pPr>
        <w:spacing w:after="0" w:line="223" w:lineRule="exact"/>
        <w:rPr>
          <w:sz w:val="20"/>
          <w:szCs w:val="20"/>
          <w:color w:val="auto"/>
        </w:rPr>
      </w:pPr>
    </w:p>
    <w:p>
      <w:pPr>
        <w:ind w:left="181" w:right="1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all of the Obligations owed by Pledgor and the other Loan Parties to Secured Party and the FF&amp;E Lenders from time to time under the Financing Documents.</w:t>
      </w:r>
    </w:p>
    <w:p>
      <w:pPr>
        <w:spacing w:after="0" w:line="170"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Intermediary</w:t>
      </w:r>
      <w:r>
        <w:rPr>
          <w:rFonts w:ascii="Times New Roman" w:cs="Times New Roman" w:eastAsia="Times New Roman" w:hAnsi="Times New Roman"/>
          <w:sz w:val="18"/>
          <w:szCs w:val="18"/>
          <w:color w:val="auto"/>
        </w:rPr>
        <w:t>" means Bank of America, N.A. and any successor.</w:t>
      </w:r>
    </w:p>
    <w:p>
      <w:pPr>
        <w:spacing w:after="0" w:line="225" w:lineRule="exact"/>
        <w:rPr>
          <w:sz w:val="20"/>
          <w:szCs w:val="20"/>
          <w:color w:val="auto"/>
        </w:rPr>
      </w:pPr>
    </w:p>
    <w:p>
      <w:pPr>
        <w:ind w:left="181" w:right="60" w:firstLine="35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means the period (i) beginning promptly after receipt by Securities Intermediary of written notice from Secured Party, substantially in the form of the Prohibition Notice attached to this Agreement as Attachment 1, suspending Pledgor's right to direct the investment of funds held for the credit of the Collateral Account, and (ii) ending promptly after receipt by Securities Intermediary of written notice from Secured Party, substantially in the form of the Rescission of Prohibition Notice attached to this Agreement as Attachment 2, rescinding the preceding Prohibition Notice.</w:t>
      </w:r>
    </w:p>
    <w:p>
      <w:pPr>
        <w:spacing w:after="0" w:line="154" w:lineRule="exact"/>
        <w:rPr>
          <w:sz w:val="20"/>
          <w:szCs w:val="20"/>
          <w:color w:val="auto"/>
        </w:rPr>
      </w:pPr>
    </w:p>
    <w:p>
      <w:pPr>
        <w:ind w:left="-359" w:right="100" w:firstLine="359"/>
        <w:spacing w:after="0" w:line="264" w:lineRule="auto"/>
        <w:tabs>
          <w:tab w:leader="none" w:pos="37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Provisions. </w:t>
      </w:r>
      <w:r>
        <w:rPr>
          <w:rFonts w:ascii="Times New Roman" w:cs="Times New Roman" w:eastAsia="Times New Roman" w:hAnsi="Times New Roman"/>
          <w:sz w:val="18"/>
          <w:szCs w:val="18"/>
          <w:color w:val="auto"/>
        </w:rPr>
        <w:t>Capitalized terms used but not defined herein shall have the meaning given to such terms in</w:t>
      </w:r>
      <w:r>
        <w:rPr>
          <w:rFonts w:ascii="Times New Roman" w:cs="Times New Roman" w:eastAsia="Times New Roman" w:hAnsi="Times New Roman"/>
          <w:sz w:val="18"/>
          <w:szCs w:val="18"/>
          <w:i w:val="1"/>
          <w:iCs w:val="1"/>
          <w:color w:val="auto"/>
        </w:rPr>
        <w:t xml:space="preserve"> Exhibit A</w:t>
      </w:r>
      <w:r>
        <w:rPr>
          <w:rFonts w:ascii="Times New Roman" w:cs="Times New Roman" w:eastAsia="Times New Roman" w:hAnsi="Times New Roman"/>
          <w:sz w:val="18"/>
          <w:szCs w:val="18"/>
          <w:color w:val="auto"/>
        </w:rPr>
        <w:t>. Unless otherwise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or in Exhibit A, terms used in Articles 8 and 9 of the Code are used herein as therein defined. Words used herein, regardless of the number and gender specifically used, shall be deemed and construed to include any other number,</w:t>
      </w:r>
    </w:p>
    <w:p>
      <w:pPr>
        <w:sectPr>
          <w:pgSz w:w="11900" w:h="16838" w:orient="portrait"/>
          <w:cols w:equalWidth="0" w:num="1">
            <w:col w:w="11061"/>
          </w:cols>
          <w:pgMar w:left="599" w:top="123" w:right="239" w:bottom="0" w:gutter="0" w:footer="0" w:header="0"/>
        </w:sectPr>
      </w:pPr>
    </w:p>
    <w:bookmarkStart w:id="99" w:name="page100"/>
    <w:bookmarkEnd w:id="99"/>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singular or plural, and any other gender, masculine, feminine or neuter, as the context indicates is appropriate. When a reference is made in this Agreement to an Appendix, Exhibit, Introduction, Recital, Section or Schedule, such reference shall be to an Appendix, an Exhibit, the Introduction, a Recital or a Section of, or a Schedule to,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Establishment and Operation of the Collateral Account.</w:t>
      </w:r>
    </w:p>
    <w:p>
      <w:pPr>
        <w:spacing w:after="0" w:line="227" w:lineRule="exact"/>
        <w:rPr>
          <w:sz w:val="20"/>
          <w:szCs w:val="20"/>
          <w:color w:val="auto"/>
        </w:rPr>
      </w:pPr>
    </w:p>
    <w:p>
      <w:pPr>
        <w:ind w:left="720" w:hanging="361"/>
        <w:spacing w:after="0"/>
        <w:tabs>
          <w:tab w:leader="none" w:pos="72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Establishment of Company's FF&amp;E Payment Account.  </w:t>
      </w:r>
      <w:r>
        <w:rPr>
          <w:rFonts w:ascii="Times New Roman" w:cs="Times New Roman" w:eastAsia="Times New Roman" w:hAnsi="Times New Roman"/>
          <w:sz w:val="16"/>
          <w:szCs w:val="16"/>
          <w:color w:val="auto"/>
        </w:rPr>
        <w:t>Pledgor and Secured Party hereby authorize and direct Securities Intermediary to establish and</w:t>
      </w:r>
    </w:p>
    <w:p>
      <w:pPr>
        <w:spacing w:after="0" w:line="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maintain at its office at 300 South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Las Vegas, Nevada 89101-6014, a non-interest bearing deposit account in the name of Pledgor and under the control of Secured Party, designated as "Wynn Las Vegas, FF&amp;E Payment Account fbo the FF&amp;E Lenders". Securities Intermediary hereby undertakes to treat Pledgor as the person entitled to exercise the rights that comprise any Financial Asset credited to the Company's FF&amp;E Payment Account. Secured Party and the Pledgor agree that this account shall be the "</w:t>
      </w:r>
      <w:r>
        <w:rPr>
          <w:rFonts w:ascii="Times New Roman" w:cs="Times New Roman" w:eastAsia="Times New Roman" w:hAnsi="Times New Roman"/>
          <w:sz w:val="18"/>
          <w:szCs w:val="18"/>
          <w:b w:val="1"/>
          <w:bCs w:val="1"/>
          <w:color w:val="auto"/>
        </w:rPr>
        <w:t>Company's FF&amp;E Payment Account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440" w:firstLine="359"/>
        <w:spacing w:after="0" w:line="277" w:lineRule="auto"/>
        <w:tabs>
          <w:tab w:leader="none" w:pos="73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Operations of the Collateral Account. </w:t>
      </w:r>
      <w:r>
        <w:rPr>
          <w:rFonts w:ascii="Times New Roman" w:cs="Times New Roman" w:eastAsia="Times New Roman" w:hAnsi="Times New Roman"/>
          <w:sz w:val="18"/>
          <w:szCs w:val="18"/>
          <w:color w:val="auto"/>
        </w:rPr>
        <w:t>The Collateral Account shall be operated, and all Investments shall be acquired and registered or held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 accordance with the terms of this Agreement and the directions of Secured Party.</w:t>
      </w:r>
    </w:p>
    <w:p>
      <w:pPr>
        <w:spacing w:after="0" w:line="170" w:lineRule="exact"/>
        <w:rPr>
          <w:rFonts w:ascii="Times New Roman" w:cs="Times New Roman" w:eastAsia="Times New Roman" w:hAnsi="Times New Roman"/>
          <w:sz w:val="18"/>
          <w:szCs w:val="18"/>
          <w:color w:val="auto"/>
        </w:rPr>
      </w:pPr>
    </w:p>
    <w:p>
      <w:pPr>
        <w:ind w:right="160" w:firstLine="359"/>
        <w:spacing w:after="0" w:line="264" w:lineRule="auto"/>
        <w:tabs>
          <w:tab w:leader="none" w:pos="7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 Statements. </w:t>
      </w:r>
      <w:r>
        <w:rPr>
          <w:rFonts w:ascii="Times New Roman" w:cs="Times New Roman" w:eastAsia="Times New Roman" w:hAnsi="Times New Roman"/>
          <w:sz w:val="18"/>
          <w:szCs w:val="18"/>
          <w:color w:val="auto"/>
        </w:rPr>
        <w:t>Securities Intermediary shall send Secured Party and Pledgor written account statements with respect to the Collateral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less frequently than monthly. Absent mathematical or similar errors, reports or confirmations of the execution of orders and statements of account shall be conclusive if not objected to in writing within 30 days after delivery pursuant to Section 21.</w:t>
      </w:r>
    </w:p>
    <w:p>
      <w:pPr>
        <w:spacing w:after="0" w:line="1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Mechanics of Deposits of Funds to or from the Collateral Account.</w:t>
      </w:r>
    </w:p>
    <w:p>
      <w:pPr>
        <w:spacing w:after="0" w:line="227" w:lineRule="exact"/>
        <w:rPr>
          <w:sz w:val="20"/>
          <w:szCs w:val="20"/>
          <w:color w:val="auto"/>
        </w:rPr>
      </w:pPr>
    </w:p>
    <w:p>
      <w:pPr>
        <w:ind w:right="20" w:firstLine="359"/>
        <w:spacing w:after="0" w:line="277" w:lineRule="auto"/>
        <w:tabs>
          <w:tab w:leader="none" w:pos="72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to Company's FF&amp;E Payment Account. </w:t>
      </w:r>
      <w:r>
        <w:rPr>
          <w:rFonts w:ascii="Times New Roman" w:cs="Times New Roman" w:eastAsia="Times New Roman" w:hAnsi="Times New Roman"/>
          <w:sz w:val="18"/>
          <w:szCs w:val="18"/>
          <w:color w:val="auto"/>
        </w:rPr>
        <w:t>All transfers of funds to the Company's FF&amp;E Payment Account shall be made by wire transfer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applicable, intra-bank transfer from another account with Securities Intermediary) of immediately available funds, in each case addressed as follows:</w:t>
      </w:r>
    </w:p>
    <w:p>
      <w:pPr>
        <w:sectPr>
          <w:pgSz w:w="11900" w:h="16838" w:orient="portrait"/>
          <w:cols w:equalWidth="0" w:num="1">
            <w:col w:w="11400"/>
          </w:cols>
          <w:pgMar w:left="240" w:top="368" w:right="259" w:bottom="101" w:gutter="0" w:footer="0" w:header="0"/>
        </w:sectPr>
      </w:pPr>
    </w:p>
    <w:p>
      <w:pPr>
        <w:spacing w:after="0" w:line="17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Account No.:</w:t>
      </w:r>
    </w:p>
    <w:p>
      <w:pPr>
        <w:spacing w:after="0" w:line="4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ABA No.: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#01419647 for further credit to account #004964891380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122400724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 Rêve Project—Company's FF&amp;E Payment Account</w:t>
      </w:r>
    </w:p>
    <w:p>
      <w:pPr>
        <w:spacing w:after="0" w:line="222" w:lineRule="exact"/>
        <w:rPr>
          <w:sz w:val="20"/>
          <w:szCs w:val="20"/>
          <w:color w:val="auto"/>
        </w:rPr>
      </w:pPr>
    </w:p>
    <w:p>
      <w:pPr>
        <w:sectPr>
          <w:pgSz w:w="11900" w:h="16838" w:orient="portrait"/>
          <w:cols w:equalWidth="0" w:num="2">
            <w:col w:w="2900" w:space="720"/>
            <w:col w:w="7780"/>
          </w:cols>
          <w:pgMar w:left="240" w:top="368" w:right="259" w:bottom="101" w:gutter="0" w:footer="0" w:header="0"/>
          <w:type w:val="continuous"/>
        </w:sectPr>
      </w:pPr>
    </w:p>
    <w:p>
      <w:pPr>
        <w:spacing w:after="0" w:line="11" w:lineRule="exact"/>
        <w:rPr>
          <w:sz w:val="20"/>
          <w:szCs w:val="20"/>
          <w:color w:val="auto"/>
        </w:rPr>
      </w:pPr>
    </w:p>
    <w:p>
      <w:pPr>
        <w:ind w:right="140" w:firstLine="359"/>
        <w:spacing w:after="0" w:line="264" w:lineRule="auto"/>
        <w:tabs>
          <w:tab w:leader="none" w:pos="73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Transfers. </w:t>
      </w:r>
      <w:r>
        <w:rPr>
          <w:rFonts w:ascii="Times New Roman" w:cs="Times New Roman" w:eastAsia="Times New Roman" w:hAnsi="Times New Roman"/>
          <w:sz w:val="18"/>
          <w:szCs w:val="18"/>
          <w:color w:val="auto"/>
        </w:rPr>
        <w:t>In the event of any transfer of funds to or from the Collateral Account pursuant to any provision of this Section 3, Pledgor,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Party or Securities Intermediary, as the case may be, shall promptly after initiating or sending out written instructions with respect to such transfer, give notice to each other such party by facsimile of the date and amount of such transfer.</w:t>
      </w:r>
    </w:p>
    <w:p>
      <w:pPr>
        <w:spacing w:after="0" w:line="1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Permitted Investments and Transfers of Amounts in the Collateral Account.</w:t>
      </w:r>
    </w:p>
    <w:p>
      <w:pPr>
        <w:spacing w:after="0" w:line="227" w:lineRule="exact"/>
        <w:rPr>
          <w:sz w:val="20"/>
          <w:szCs w:val="20"/>
          <w:color w:val="auto"/>
        </w:rPr>
      </w:pPr>
    </w:p>
    <w:p>
      <w:pPr>
        <w:ind w:right="100" w:firstLine="359"/>
        <w:spacing w:after="0" w:line="277" w:lineRule="auto"/>
        <w:tabs>
          <w:tab w:leader="none" w:pos="72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Strict Compliance. </w:t>
      </w:r>
      <w:r>
        <w:rPr>
          <w:rFonts w:ascii="Times New Roman" w:cs="Times New Roman" w:eastAsia="Times New Roman" w:hAnsi="Times New Roman"/>
          <w:sz w:val="18"/>
          <w:szCs w:val="18"/>
          <w:color w:val="auto"/>
        </w:rPr>
        <w:t>Cash and Investments held by Securities Intermediary in the Collateral Account shall not be (i) invested or reinvested, (ii) sold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redeemed, or (iii) transferred from or among the Collateral Account, except as provided in this Section 4.</w:t>
      </w:r>
    </w:p>
    <w:p>
      <w:pPr>
        <w:spacing w:after="0" w:line="170" w:lineRule="exact"/>
        <w:rPr>
          <w:rFonts w:ascii="Times New Roman" w:cs="Times New Roman" w:eastAsia="Times New Roman" w:hAnsi="Times New Roman"/>
          <w:sz w:val="18"/>
          <w:szCs w:val="18"/>
          <w:color w:val="auto"/>
        </w:rPr>
      </w:pPr>
    </w:p>
    <w:p>
      <w:pPr>
        <w:ind w:right="480" w:firstLine="359"/>
        <w:spacing w:after="0" w:line="277" w:lineRule="auto"/>
        <w:tabs>
          <w:tab w:leader="none" w:pos="73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Pledgor's Right to Direct Investment. </w:t>
      </w:r>
      <w:r>
        <w:rPr>
          <w:rFonts w:ascii="Times New Roman" w:cs="Times New Roman" w:eastAsia="Times New Roman" w:hAnsi="Times New Roman"/>
          <w:sz w:val="18"/>
          <w:szCs w:val="18"/>
          <w:color w:val="auto"/>
        </w:rPr>
        <w:t>Except during any Suspension Period, Securities Intermediary shall, in accordance with Pledgor's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Entitlement Orders given to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Intermediary from time to time, sell or redeem Investments, and apply amounts transferred to or held for the credit of the Deposit Account to make investments for credit to the Deposit Account, in Securities Intermediary's name and as custodian under this Agreement, in Permitted Investments denominated and payable in United States Dollars. During any Suspension Period, (i) Pledgor's right to direct such investments under this Section 4(b) shall be suspended, and Securities Intermediary shall not accept Entitlement Orders with respect to the Deposit Account from any person other than Secured Party; and (ii) any credit balances shall be invested and reinvested only as provided in Section 4(c).</w:t>
      </w:r>
    </w:p>
    <w:p>
      <w:pPr>
        <w:spacing w:after="0" w:line="191" w:lineRule="exact"/>
        <w:rPr>
          <w:sz w:val="20"/>
          <w:szCs w:val="20"/>
          <w:color w:val="auto"/>
        </w:rPr>
      </w:pPr>
    </w:p>
    <w:p>
      <w:pPr>
        <w:ind w:right="200" w:firstLine="359"/>
        <w:spacing w:after="0" w:line="257" w:lineRule="auto"/>
        <w:tabs>
          <w:tab w:leader="none" w:pos="72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Overnight Investments. </w:t>
      </w:r>
      <w:r>
        <w:rPr>
          <w:rFonts w:ascii="Times New Roman" w:cs="Times New Roman" w:eastAsia="Times New Roman" w:hAnsi="Times New Roman"/>
          <w:sz w:val="18"/>
          <w:szCs w:val="18"/>
          <w:color w:val="auto"/>
        </w:rPr>
        <w:t>To the extent that with respect to the Deposit Account, there is a credit balance expected as of the end of a day,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instructed by Secured Party, Securities Intermediary shall apply such credit balances to acquire Overnight Investments. Any Overnight Investments shall be held for the credit of the Collateral Account. Pledgor shall have no right to invest funds in a Deposit Account to the extent that free balances have been invested in Overnight Investments pursuant to this Section. Except as specifically set forth above, any amount received after 2:00 p.m., New York time will remain uninvested and shall not bear interest.</w:t>
      </w:r>
    </w:p>
    <w:p>
      <w:pPr>
        <w:spacing w:after="0" w:line="188" w:lineRule="exact"/>
        <w:rPr>
          <w:rFonts w:ascii="Times New Roman" w:cs="Times New Roman" w:eastAsia="Times New Roman" w:hAnsi="Times New Roman"/>
          <w:sz w:val="18"/>
          <w:szCs w:val="18"/>
          <w:color w:val="auto"/>
        </w:rPr>
      </w:pPr>
    </w:p>
    <w:p>
      <w:pPr>
        <w:ind w:right="140" w:firstLine="359"/>
        <w:spacing w:after="0" w:line="255" w:lineRule="auto"/>
        <w:tabs>
          <w:tab w:leader="none" w:pos="72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of Securities Intermediary on Purchase of Investments. </w:t>
      </w:r>
      <w:r>
        <w:rPr>
          <w:rFonts w:ascii="Times New Roman" w:cs="Times New Roman" w:eastAsia="Times New Roman" w:hAnsi="Times New Roman"/>
          <w:sz w:val="18"/>
          <w:szCs w:val="18"/>
          <w:color w:val="auto"/>
        </w:rPr>
        <w:t>Promptly upon the purchase, acquisition or transfer for credit of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any Investment, Securities Intermediary shall take all steps that it customarily takes in the ordinary course of its business to ensure that such Investment is credited on its books to the Collateral Account. Without limiting the generality of the foregoing, Securities Intermediary shall promptly (i) send to Pledgor and Secured Party a written confirmation of the acquisition of such Investment, and (ii) indicate by book entry in its records that such Investment has been credited to, and is held for the credit of, the Collateral Account. Securities Intermediary agrees with Pledgor and Secured Party that any credit balances or property credited to, or held for the credit of, the Collateral Account shall be treated as "Financial Assets" as that term is defined in Section 8-102(a)(9) of the Code.</w:t>
      </w:r>
    </w:p>
    <w:p>
      <w:pPr>
        <w:spacing w:after="0" w:line="189" w:lineRule="exact"/>
        <w:rPr>
          <w:rFonts w:ascii="Times New Roman" w:cs="Times New Roman" w:eastAsia="Times New Roman" w:hAnsi="Times New Roman"/>
          <w:sz w:val="18"/>
          <w:szCs w:val="18"/>
          <w:color w:val="auto"/>
        </w:rPr>
      </w:pPr>
    </w:p>
    <w:p>
      <w:pPr>
        <w:ind w:right="220" w:firstLine="359"/>
        <w:spacing w:after="0" w:line="277" w:lineRule="auto"/>
        <w:tabs>
          <w:tab w:leader="none" w:pos="72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Collateral Account. </w:t>
      </w:r>
      <w:r>
        <w:rPr>
          <w:rFonts w:ascii="Times New Roman" w:cs="Times New Roman" w:eastAsia="Times New Roman" w:hAnsi="Times New Roman"/>
          <w:sz w:val="18"/>
          <w:szCs w:val="18"/>
          <w:color w:val="auto"/>
        </w:rPr>
        <w:t>Amounts held on deposit or as credit balances shall not bear interest, although to the extent invested in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Overnight Investments), deposit or credit balances may realize interest income.</w:t>
      </w:r>
    </w:p>
    <w:p>
      <w:pPr>
        <w:sectPr>
          <w:pgSz w:w="11900" w:h="16838" w:orient="portrait"/>
          <w:cols w:equalWidth="0" w:num="1">
            <w:col w:w="11400"/>
          </w:cols>
          <w:pgMar w:left="240" w:top="368" w:right="259" w:bottom="101" w:gutter="0" w:footer="0" w:header="0"/>
          <w:type w:val="continuous"/>
        </w:sectPr>
      </w:pPr>
    </w:p>
    <w:bookmarkStart w:id="100" w:name="page101"/>
    <w:bookmarkEnd w:id="100"/>
    <w:p>
      <w:pPr>
        <w:spacing w:after="0" w:line="85" w:lineRule="exact"/>
        <w:rPr>
          <w:sz w:val="20"/>
          <w:szCs w:val="20"/>
          <w:color w:val="auto"/>
        </w:rPr>
      </w:pPr>
    </w:p>
    <w:p>
      <w:pPr>
        <w:ind w:right="20" w:firstLine="359"/>
        <w:spacing w:after="0" w:line="286" w:lineRule="auto"/>
        <w:tabs>
          <w:tab w:leader="none" w:pos="702"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Control Agreement. </w:t>
      </w:r>
      <w:r>
        <w:rPr>
          <w:rFonts w:ascii="Times New Roman" w:cs="Times New Roman" w:eastAsia="Times New Roman" w:hAnsi="Times New Roman"/>
          <w:sz w:val="16"/>
          <w:szCs w:val="16"/>
          <w:color w:val="auto"/>
        </w:rPr>
        <w:t>Anything contained herein to the contrary notwithstanding, including the actual or alleged absence of a Potential Event of Default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Event of Default, Securities Intermediary shall, if and as directed in writing by Secured Party, without the consent of Pledgor, (i) comply with Entitlement Orders originated by Secured Party with respect to the Collateral Account and any Security Entitlements therein, (ii) comply with instructions, including, without limitation, instructions within the meaning of Section 9-104 of the Code, originated by Secured Party directing the disposition of funds in the Collateral Account,</w:t>
      </w:r>
    </w:p>
    <w:p>
      <w:pPr>
        <w:spacing w:after="0" w:line="1" w:lineRule="exact"/>
        <w:rPr>
          <w:rFonts w:ascii="Times New Roman" w:cs="Times New Roman" w:eastAsia="Times New Roman" w:hAnsi="Times New Roman"/>
          <w:sz w:val="16"/>
          <w:szCs w:val="16"/>
          <w:color w:val="auto"/>
        </w:rPr>
      </w:pPr>
    </w:p>
    <w:p>
      <w:pPr>
        <w:ind w:right="120" w:firstLine="8"/>
        <w:spacing w:after="0" w:line="251" w:lineRule="auto"/>
        <w:tabs>
          <w:tab w:leader="none" w:pos="30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redeem any of the Collateral, (iv) transfer any or all of the Collateral to any account or accounts designated by Secured Party, including the Collateral Account or an account established in Secured Party's name (whether at Secured Party or Securities Intermediary or otherwise), (v) register title to any Collateral in any name specified by Secured Party, including the name of Secured Party or any of its nominees or agents, without reference to any interest of Pledgor, or (vi) otherwise deal with the Collateral as directed by Secured Party. Securities Intermediary shall act on any Entitlement Order or instruction of Secured Party notwithstanding assertions or proof that (1) Secured Party has no right under Sections 14 or 15 to originate the Entitlement Order or instruction or take the underlying action; (2) such Entitlement Order or instruction or action constitutes a breach of this Agreement or any other agreement; or (3) this Agreement has terminated, unless notified in writing by Secured Party that this Agreement has terminated and such notice has not been withdrawn. Nothing contained in this paragraph shall constitute a waiver by Pledgor of any rights or remedies it may have against Secured Party under this Agreement or any other agreement.</w:t>
      </w:r>
    </w:p>
    <w:p>
      <w:pPr>
        <w:spacing w:after="0" w:line="198" w:lineRule="exact"/>
        <w:rPr>
          <w:rFonts w:ascii="Times New Roman" w:cs="Times New Roman" w:eastAsia="Times New Roman" w:hAnsi="Times New Roman"/>
          <w:sz w:val="18"/>
          <w:szCs w:val="18"/>
          <w:color w:val="auto"/>
        </w:rPr>
      </w:pPr>
    </w:p>
    <w:p>
      <w:pPr>
        <w:ind w:right="20" w:firstLine="359"/>
        <w:spacing w:after="0" w:line="264" w:lineRule="auto"/>
        <w:tabs>
          <w:tab w:leader="none" w:pos="73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Deposit of Proceeds. </w:t>
      </w:r>
      <w:r>
        <w:rPr>
          <w:rFonts w:ascii="Times New Roman" w:cs="Times New Roman" w:eastAsia="Times New Roman" w:hAnsi="Times New Roman"/>
          <w:sz w:val="18"/>
          <w:szCs w:val="18"/>
          <w:color w:val="auto"/>
        </w:rPr>
        <w:t>Any interest earned on the Deposit Account in accordance with Section 4(e) and any interest, cash dividends or other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received in respect of any Investments and the net proceeds of any sale or payment of any Investments shall be promptly credited to, and held for the credit of, the Collateral Account. Any distribution of property in respect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Investment shall be credited to and held for the credit of the Collateral Account;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unless otherwise instructed in writing by Secured Party, Securities Intermediary shall, for credit to the Collateral Account, promptly sell, redeem or otherwise liquidate any such property that, as of the date of receipt, is not a Permitted Investment.</w:t>
      </w:r>
    </w:p>
    <w:p>
      <w:pPr>
        <w:spacing w:after="0" w:line="181" w:lineRule="exact"/>
        <w:rPr>
          <w:sz w:val="20"/>
          <w:szCs w:val="20"/>
          <w:color w:val="auto"/>
        </w:rPr>
      </w:pPr>
    </w:p>
    <w:p>
      <w:pPr>
        <w:ind w:left="740" w:hanging="381"/>
        <w:spacing w:after="0"/>
        <w:tabs>
          <w:tab w:leader="none" w:pos="74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Segregation of Accounts.  </w:t>
      </w:r>
      <w:r>
        <w:rPr>
          <w:rFonts w:ascii="Times New Roman" w:cs="Times New Roman" w:eastAsia="Times New Roman" w:hAnsi="Times New Roman"/>
          <w:sz w:val="16"/>
          <w:szCs w:val="16"/>
          <w:color w:val="auto"/>
        </w:rPr>
        <w:t>Except to the extent otherwise instructed by Secured Party, Securities Intermediary shall separately maintain the Collateral</w:t>
      </w:r>
    </w:p>
    <w:p>
      <w:pPr>
        <w:spacing w:after="0" w:line="4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Account.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3" w:lineRule="exact"/>
        <w:rPr>
          <w:sz w:val="20"/>
          <w:szCs w:val="20"/>
          <w:color w:val="auto"/>
        </w:rPr>
      </w:pPr>
    </w:p>
    <w:p>
      <w:pPr>
        <w:ind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Pledge of Security for Secured Obligations. </w:t>
      </w:r>
      <w:r>
        <w:rPr>
          <w:rFonts w:ascii="Times New Roman" w:cs="Times New Roman" w:eastAsia="Times New Roman" w:hAnsi="Times New Roman"/>
          <w:sz w:val="16"/>
          <w:szCs w:val="16"/>
          <w:color w:val="auto"/>
        </w:rPr>
        <w:t>Pledgor hereby pledges and assigns to Secured Party, and hereby grants to Secured Party for the benefit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FF&amp;E Lenders a security interest in, all of Pledgor's right, title and interest in and to the Collateral as collateral security for the prompt payment or performance in full when due, whether at stated maturity, by required prepayment, declaration, acceleration, demand or otherwise (including the payment of amounts that would become due but for the operation of the automatic stay under Section 362(a) of the United States Bankruptcy Code, 11 U.S.C. 362(a)), of all Secured Obligations.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Acknowledgement of Security Interest in Favor of Secured Party; Covenant Against Creation of other Interests.</w:t>
      </w:r>
    </w:p>
    <w:p>
      <w:pPr>
        <w:spacing w:after="0" w:line="227" w:lineRule="exact"/>
        <w:rPr>
          <w:sz w:val="20"/>
          <w:szCs w:val="20"/>
          <w:color w:val="auto"/>
        </w:rPr>
      </w:pPr>
    </w:p>
    <w:p>
      <w:pPr>
        <w:ind w:right="80" w:firstLine="359"/>
        <w:spacing w:after="0" w:line="277" w:lineRule="auto"/>
        <w:tabs>
          <w:tab w:leader="none" w:pos="7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Acknowledgement of Security Interest. </w:t>
      </w:r>
      <w:r>
        <w:rPr>
          <w:rFonts w:ascii="Times New Roman" w:cs="Times New Roman" w:eastAsia="Times New Roman" w:hAnsi="Times New Roman"/>
          <w:sz w:val="18"/>
          <w:szCs w:val="18"/>
          <w:color w:val="auto"/>
        </w:rPr>
        <w:t>Securities Intermediary acknowledges the security interest granted by Pledgor in favor of Secured Party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w:t>
      </w:r>
    </w:p>
    <w:p>
      <w:pPr>
        <w:spacing w:after="0" w:line="170" w:lineRule="exact"/>
        <w:rPr>
          <w:rFonts w:ascii="Times New Roman" w:cs="Times New Roman" w:eastAsia="Times New Roman" w:hAnsi="Times New Roman"/>
          <w:sz w:val="18"/>
          <w:szCs w:val="18"/>
          <w:color w:val="auto"/>
        </w:rPr>
      </w:pPr>
    </w:p>
    <w:p>
      <w:pPr>
        <w:ind w:right="20" w:firstLine="359"/>
        <w:spacing w:after="0" w:line="259" w:lineRule="auto"/>
        <w:tabs>
          <w:tab w:leader="none" w:pos="7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Acknowledgement of Securities Intermediary's Role. </w:t>
      </w:r>
      <w:r>
        <w:rPr>
          <w:rFonts w:ascii="Times New Roman" w:cs="Times New Roman" w:eastAsia="Times New Roman" w:hAnsi="Times New Roman"/>
          <w:sz w:val="18"/>
          <w:szCs w:val="18"/>
          <w:color w:val="auto"/>
        </w:rPr>
        <w:t>Securities Intermediary hereby further acknowledges that it holds the Collateral Account,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Entitlements therein, as securities intermediary (as defined in Section 8-102(a) of the Code) and custodian for, for the benefit of, and subject to the control of, Secured Party. Securities Intermediary shall, by book entry or otherwise, indicate that the Collateral Account, and all Security Entitlements registered to or held therein, are subject to the control of Secured Party as provided in Section 4(f).</w:t>
      </w:r>
    </w:p>
    <w:p>
      <w:pPr>
        <w:spacing w:after="0" w:line="186" w:lineRule="exact"/>
        <w:rPr>
          <w:rFonts w:ascii="Times New Roman" w:cs="Times New Roman" w:eastAsia="Times New Roman" w:hAnsi="Times New Roman"/>
          <w:sz w:val="18"/>
          <w:szCs w:val="18"/>
          <w:color w:val="auto"/>
        </w:rPr>
      </w:pPr>
    </w:p>
    <w:p>
      <w:pPr>
        <w:ind w:right="60" w:firstLine="359"/>
        <w:spacing w:after="0" w:line="259" w:lineRule="auto"/>
        <w:tabs>
          <w:tab w:leader="none" w:pos="72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Intermediary Has No Notice of Adverse Claims. </w:t>
      </w:r>
      <w:r>
        <w:rPr>
          <w:rFonts w:ascii="Times New Roman" w:cs="Times New Roman" w:eastAsia="Times New Roman" w:hAnsi="Times New Roman"/>
          <w:sz w:val="18"/>
          <w:szCs w:val="18"/>
          <w:color w:val="auto"/>
        </w:rPr>
        <w:t>Securities Intermediary represents and warrants that (i) it has no notice of any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against any of the Collateral other than the claim of Secured Party under this Agreement; and (ii) it is not, in its capacity as securities intermediary, party to any agreement other than this Agreement that governs its rights or duties, or limits or conflicts with the rights of Secured Party, including the exclusive right of Secured Party to control as provided in Section 4(f), with respect to the Collateral Account.</w:t>
      </w:r>
    </w:p>
    <w:p>
      <w:pPr>
        <w:spacing w:after="0" w:line="186" w:lineRule="exact"/>
        <w:rPr>
          <w:rFonts w:ascii="Times New Roman" w:cs="Times New Roman" w:eastAsia="Times New Roman" w:hAnsi="Times New Roman"/>
          <w:sz w:val="18"/>
          <w:szCs w:val="18"/>
          <w:color w:val="auto"/>
        </w:rPr>
      </w:pPr>
    </w:p>
    <w:p>
      <w:pPr>
        <w:ind w:right="20" w:firstLine="359"/>
        <w:spacing w:after="0" w:line="259" w:lineRule="auto"/>
        <w:tabs>
          <w:tab w:leader="none" w:pos="73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Intermediary Shall Not Acknowledge Other Claims. </w:t>
      </w:r>
      <w:r>
        <w:rPr>
          <w:rFonts w:ascii="Times New Roman" w:cs="Times New Roman" w:eastAsia="Times New Roman" w:hAnsi="Times New Roman"/>
          <w:sz w:val="18"/>
          <w:szCs w:val="18"/>
          <w:color w:val="auto"/>
        </w:rPr>
        <w:t>Securities Intermediary agrees that, except as expressly provided in Section 6(c)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elsewhere in this Agreement or with the written consent of Secured Party, it shall not agree to or acknowledge (i) any right by any Person other than Secured Party to originate Entitlement Orders or control with respect to the Collateral Account; or (ii) any limitation on the right of Secured Party to originate Entitlement Orders with respect to or direct the transfer of any Investments or cash credited to the Collateral Account.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Securities Intermediary Maintenance of the Collateral Account.</w:t>
      </w:r>
    </w:p>
    <w:p>
      <w:pPr>
        <w:spacing w:after="0" w:line="227" w:lineRule="exact"/>
        <w:rPr>
          <w:sz w:val="20"/>
          <w:szCs w:val="20"/>
          <w:color w:val="auto"/>
        </w:rPr>
      </w:pPr>
    </w:p>
    <w:p>
      <w:pPr>
        <w:ind w:right="100" w:firstLine="359"/>
        <w:spacing w:after="0" w:line="264" w:lineRule="auto"/>
        <w:tabs>
          <w:tab w:leader="none" w:pos="72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Shall Comply With Rules. The parties acknowledge that all transactions in Financial Assets under this Agreement shall be in accordance with the rules and customs of the exchange, market or clearing organization, if any, in which the transactions are executed or settled and in conformity with applicable law and regulations of governmental authorities and future amendments or supplements thereto.</w:t>
      </w:r>
    </w:p>
    <w:p>
      <w:pPr>
        <w:spacing w:after="0" w:line="181" w:lineRule="exact"/>
        <w:rPr>
          <w:rFonts w:ascii="Times New Roman" w:cs="Times New Roman" w:eastAsia="Times New Roman" w:hAnsi="Times New Roman"/>
          <w:sz w:val="18"/>
          <w:szCs w:val="18"/>
          <w:color w:val="auto"/>
        </w:rPr>
      </w:pPr>
    </w:p>
    <w:p>
      <w:pPr>
        <w:ind w:right="620" w:firstLine="359"/>
        <w:spacing w:after="0" w:line="277" w:lineRule="auto"/>
        <w:tabs>
          <w:tab w:leader="none" w:pos="73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Fees and Charges of Securities Intermediary. </w:t>
      </w:r>
      <w:r>
        <w:rPr>
          <w:rFonts w:ascii="Times New Roman" w:cs="Times New Roman" w:eastAsia="Times New Roman" w:hAnsi="Times New Roman"/>
          <w:sz w:val="18"/>
          <w:szCs w:val="18"/>
          <w:color w:val="auto"/>
        </w:rPr>
        <w:t>Pledgor shall pay to Securities Intermediary, in accordance with Securities Intermediary's usual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of charges or any written agreement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Securities Intermediary and Pledgor, any fees or charges reasonably imposed by Securities Intermediary with respect to, the establishment, maintenance and transactions in or affecting the Collateral Account.</w:t>
      </w:r>
    </w:p>
    <w:p>
      <w:pPr>
        <w:spacing w:after="0" w:line="172" w:lineRule="exact"/>
        <w:rPr>
          <w:sz w:val="20"/>
          <w:szCs w:val="20"/>
          <w:color w:val="auto"/>
        </w:rPr>
      </w:pPr>
    </w:p>
    <w:p>
      <w:pPr>
        <w:ind w:right="40" w:firstLine="359"/>
        <w:spacing w:after="0" w:line="312" w:lineRule="auto"/>
        <w:tabs>
          <w:tab w:leader="none" w:pos="72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Securities Intermediary Shall Not Permit Leverage of Investments. </w:t>
      </w:r>
      <w:r>
        <w:rPr>
          <w:rFonts w:ascii="Times New Roman" w:cs="Times New Roman" w:eastAsia="Times New Roman" w:hAnsi="Times New Roman"/>
          <w:sz w:val="16"/>
          <w:szCs w:val="16"/>
          <w:color w:val="auto"/>
        </w:rPr>
        <w:t>Securities Intermediary shall not execute any transaction to acquire a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under Section 4(b) unless (A) there are sufficient funds in the Collateral Account to settle such transactions or (B) it is reasonably anticipated that such funds will be generated through the liquidation of Financial Assets in the Collateral Account. Notwithstanding the foregoing sentence, in the event that Securities</w:t>
      </w:r>
    </w:p>
    <w:p>
      <w:pPr>
        <w:sectPr>
          <w:pgSz w:w="11900" w:h="16923" w:orient="portrait"/>
          <w:cols w:equalWidth="0" w:num="1">
            <w:col w:w="11400"/>
          </w:cols>
          <w:pgMar w:left="240" w:top="123" w:right="259" w:bottom="0" w:gutter="0" w:footer="0" w:header="0"/>
        </w:sectPr>
      </w:pPr>
    </w:p>
    <w:bookmarkStart w:id="101" w:name="page102"/>
    <w:bookmarkEnd w:id="101"/>
    <w:p>
      <w:pPr>
        <w:ind w:right="60"/>
        <w:spacing w:after="0" w:line="291" w:lineRule="auto"/>
        <w:rPr>
          <w:sz w:val="20"/>
          <w:szCs w:val="20"/>
          <w:color w:val="auto"/>
        </w:rPr>
      </w:pPr>
      <w:r>
        <w:rPr>
          <w:rFonts w:ascii="Times New Roman" w:cs="Times New Roman" w:eastAsia="Times New Roman" w:hAnsi="Times New Roman"/>
          <w:sz w:val="16"/>
          <w:szCs w:val="16"/>
          <w:color w:val="auto"/>
        </w:rPr>
        <w:t>Intermediary executes a transaction without adequate funds to settle the transaction, then unless the Securities Intermediary acted willfully or in a grossly negligent manner, Pledgor shall be liable to Securities Intermediary for any deficiency and shall promptly reimburse Securities Intermediary for any loss or expense incurred thereby, including losses sustained by reason of Securities Intermediary's inability to borrow any securities or other property sold for the Collateral Account. Pledgor agrees to pay interest charges which may be imposed by Securities Intermediary in accordance with its usual custom, with respect to late payments for Financial Assets purchased for the Collateral Account and prepayments to the Collateral Account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crediting of the proceeds of sale before the settlement date or receipt by Securities Intermediary of the items sold in good deliverable form). Pledgor agrees to pay promptly any amount which may become due in order to satisfy demands for additional margin or marks to market with respect to any security purchased or sold on instruction from Pledgor.</w:t>
      </w:r>
    </w:p>
    <w:p>
      <w:pPr>
        <w:spacing w:after="0" w:line="165" w:lineRule="exact"/>
        <w:rPr>
          <w:sz w:val="20"/>
          <w:szCs w:val="20"/>
          <w:color w:val="auto"/>
        </w:rPr>
      </w:pPr>
    </w:p>
    <w:p>
      <w:pPr>
        <w:ind w:right="20" w:firstLine="359"/>
        <w:spacing w:after="0" w:line="286" w:lineRule="auto"/>
        <w:tabs>
          <w:tab w:leader="none" w:pos="731" w:val="left"/>
        </w:tabs>
        <w:numPr>
          <w:ilvl w:val="1"/>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Risk of Investments and Transactions. </w:t>
      </w:r>
      <w:r>
        <w:rPr>
          <w:rFonts w:ascii="Times New Roman" w:cs="Times New Roman" w:eastAsia="Times New Roman" w:hAnsi="Times New Roman"/>
          <w:sz w:val="16"/>
          <w:szCs w:val="16"/>
          <w:color w:val="auto"/>
        </w:rPr>
        <w:t>It is not the intention of the parties that Securities Intermediary should bear any investment risk associated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Permitted Investments or Overnight Investments acquired for the credit of the Collateral Account in accordance with Section 4. Any losses or gains realized on such Investments shall be charged or credited to the Collateral Account, as appropriate. On committing to a transaction for the credit of the Collateral Account pursuant to an instruction permitted in accordance with Section 4, Securities Intermediary may, (i) pending settlement, block (A) the Investments to be sold or</w:t>
      </w:r>
    </w:p>
    <w:p>
      <w:pPr>
        <w:spacing w:after="0" w:line="1" w:lineRule="exact"/>
        <w:rPr>
          <w:rFonts w:ascii="Times New Roman" w:cs="Times New Roman" w:eastAsia="Times New Roman" w:hAnsi="Times New Roman"/>
          <w:sz w:val="16"/>
          <w:szCs w:val="16"/>
          <w:color w:val="auto"/>
        </w:rPr>
      </w:pPr>
    </w:p>
    <w:p>
      <w:pPr>
        <w:ind w:right="60" w:firstLine="8"/>
        <w:spacing w:after="0" w:line="261" w:lineRule="auto"/>
        <w:tabs>
          <w:tab w:leader="none" w:pos="2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balances sufficient to settle any acquisition and, (ii) at the time of settlement, deliver such Investments or funds in accordance with the rules, custom or practice of the particular market.</w:t>
      </w:r>
    </w:p>
    <w:p>
      <w:pPr>
        <w:spacing w:after="0" w:line="183" w:lineRule="exact"/>
        <w:rPr>
          <w:rFonts w:ascii="Times New Roman" w:cs="Times New Roman" w:eastAsia="Times New Roman" w:hAnsi="Times New Roman"/>
          <w:sz w:val="18"/>
          <w:szCs w:val="18"/>
          <w:color w:val="auto"/>
        </w:rPr>
      </w:pPr>
    </w:p>
    <w:p>
      <w:pPr>
        <w:ind w:right="60" w:firstLine="359"/>
        <w:spacing w:after="0" w:line="255" w:lineRule="auto"/>
        <w:tabs>
          <w:tab w:leader="none" w:pos="72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Intermediaries and Nominees. </w:t>
      </w:r>
      <w:r>
        <w:rPr>
          <w:rFonts w:ascii="Times New Roman" w:cs="Times New Roman" w:eastAsia="Times New Roman" w:hAnsi="Times New Roman"/>
          <w:sz w:val="18"/>
          <w:szCs w:val="18"/>
          <w:color w:val="auto"/>
        </w:rPr>
        <w:t>Securities Intermediary is authorized, subject to Secured Party's written instructions, to register any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by Securities Intermediary pursuant to this Agreement in the name of Securities Intermediary or in the name of its nominee, or to cause such securities to be registered in the name of a Federal reserve bank, a recognized securities intermediary or clearing corporation, or a nominee of any of them. Securities Intermediary may at any time and from time to time appoint, and may at any time remove, any bank, trust company, clearing corporation, or Broker-Dealer as its agent to carry out such of the provisions of this Agreement. The appointment or use of any intermediary, or the appointment of any such agent, shall not relieve Securities Intermediary of any responsibility or liability under this Agreement.</w:t>
      </w:r>
    </w:p>
    <w:p>
      <w:pPr>
        <w:spacing w:after="0" w:line="193" w:lineRule="exact"/>
        <w:rPr>
          <w:rFonts w:ascii="Times New Roman" w:cs="Times New Roman" w:eastAsia="Times New Roman" w:hAnsi="Times New Roman"/>
          <w:sz w:val="18"/>
          <w:szCs w:val="18"/>
          <w:color w:val="auto"/>
        </w:rPr>
      </w:pPr>
    </w:p>
    <w:p>
      <w:pPr>
        <w:ind w:right="120" w:firstLine="359"/>
        <w:spacing w:after="0" w:line="253" w:lineRule="auto"/>
        <w:tabs>
          <w:tab w:leader="none" w:pos="70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Actions. </w:t>
      </w:r>
      <w:r>
        <w:rPr>
          <w:rFonts w:ascii="Times New Roman" w:cs="Times New Roman" w:eastAsia="Times New Roman" w:hAnsi="Times New Roman"/>
          <w:sz w:val="18"/>
          <w:szCs w:val="18"/>
          <w:color w:val="auto"/>
        </w:rPr>
        <w:t>Except as otherwise set forth herein, the parties agree that neither Secured Party nor Securities Intermediary shall have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ascertaining or acting upon any calls, conversions, exchange offers, tenders, interest rate changes or similar matters relating to any Financial Assets credited to or held for the credit of the Deposit Account (except based on written instructions originated by Pledgor or Secured Party), or for informing Pledgor or Secured Party with respect thereto, whether or not Securities Intermediary or Secured Party has, or is deemed to have, knowledge of any of the aforesaid. Securities Intermediary is authorized to withdraw securities sold or otherwise disposed of, and to credit the Collateral Account with the proceeds thereof or make such other disposition thereof as may be directed in accordance with this Agreement. Securities Intermediary is further authorized to collect all income and other payments which may become due on Financial Assets credited to the Collateral Account, to surrender for payment maturing obligations and those called for redemption and to exchange certificates in temporary form for like certificates in definitive form, or, if the par value of any shares is changed, to effect the exchange for new certificates. It is understood and agreed by Pledgor and Secured Party that, although Securities Intermediary will use reasonable efforts to effect the transactions set forth in the preceding sentence, 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incur no liability for its failure to effect the same unless its failure is the result of wilful misconduct.</w:t>
      </w:r>
    </w:p>
    <w:p>
      <w:pPr>
        <w:spacing w:after="0" w:line="223" w:lineRule="exact"/>
        <w:rPr>
          <w:sz w:val="20"/>
          <w:szCs w:val="20"/>
          <w:color w:val="auto"/>
        </w:rPr>
      </w:pPr>
    </w:p>
    <w:p>
      <w:pPr>
        <w:ind w:right="200" w:firstLine="359"/>
        <w:spacing w:after="0" w:line="342" w:lineRule="auto"/>
        <w:tabs>
          <w:tab w:leader="none" w:pos="731"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Disclosure of Account Relationships. </w:t>
      </w:r>
      <w:r>
        <w:rPr>
          <w:rFonts w:ascii="Times New Roman" w:cs="Times New Roman" w:eastAsia="Times New Roman" w:hAnsi="Times New Roman"/>
          <w:sz w:val="16"/>
          <w:szCs w:val="16"/>
          <w:color w:val="auto"/>
        </w:rPr>
        <w:t>Pledgor and Secured Party acknowledge that Securities Intermediary may be required to disclose to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issuers the name, address and securities positions with respect to Financial Assets credited to the Collateral Account, and hereby consent to such disclosures.</w:t>
      </w:r>
    </w:p>
    <w:p>
      <w:pPr>
        <w:spacing w:after="0" w:line="123" w:lineRule="exact"/>
        <w:rPr>
          <w:rFonts w:ascii="Times New Roman" w:cs="Times New Roman" w:eastAsia="Times New Roman" w:hAnsi="Times New Roman"/>
          <w:sz w:val="16"/>
          <w:szCs w:val="16"/>
          <w:color w:val="auto"/>
        </w:rPr>
      </w:pPr>
    </w:p>
    <w:p>
      <w:pPr>
        <w:ind w:right="100" w:firstLine="359"/>
        <w:spacing w:after="0" w:line="264" w:lineRule="auto"/>
        <w:tabs>
          <w:tab w:leader="none" w:pos="73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Forwarding of Documents. </w:t>
      </w:r>
      <w:r>
        <w:rPr>
          <w:rFonts w:ascii="Times New Roman" w:cs="Times New Roman" w:eastAsia="Times New Roman" w:hAnsi="Times New Roman"/>
          <w:sz w:val="18"/>
          <w:szCs w:val="18"/>
          <w:color w:val="auto"/>
        </w:rPr>
        <w:t>Securities Intermediary shall forward to Pledgor and Secured Party, or notify Pledgor and Secured Party by telephone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communications received by Securities Intermediary as owner of any Financial Assets credited to the Collateral Account and which are intended to be transmitted to the beneficial owner thereof.</w:t>
      </w:r>
    </w:p>
    <w:p>
      <w:pPr>
        <w:spacing w:after="0" w:line="181" w:lineRule="exact"/>
        <w:rPr>
          <w:rFonts w:ascii="Times New Roman" w:cs="Times New Roman" w:eastAsia="Times New Roman" w:hAnsi="Times New Roman"/>
          <w:sz w:val="18"/>
          <w:szCs w:val="18"/>
          <w:color w:val="auto"/>
        </w:rPr>
      </w:pPr>
    </w:p>
    <w:p>
      <w:pPr>
        <w:jc w:val="both"/>
        <w:ind w:right="40" w:firstLine="359"/>
        <w:spacing w:after="0" w:line="264" w:lineRule="auto"/>
        <w:tabs>
          <w:tab w:leader="none" w:pos="69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Direction of Secured Party Controls in Disputes. </w:t>
      </w:r>
      <w:r>
        <w:rPr>
          <w:rFonts w:ascii="Times New Roman" w:cs="Times New Roman" w:eastAsia="Times New Roman" w:hAnsi="Times New Roman"/>
          <w:sz w:val="18"/>
          <w:szCs w:val="18"/>
          <w:color w:val="auto"/>
        </w:rPr>
        <w:t>Pledgor, Securities Intermediary and Secured Party hereby agree that in the event any dispute arises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payment, ownership or right to possession of the Collateral Account or any other Collateral credited to or held therein, Securities Intermediary shall take such actions and shall refrain from taking such actions with respect thereto as may be directed by Secured Party.</w:t>
      </w:r>
    </w:p>
    <w:p>
      <w:pPr>
        <w:spacing w:after="0" w:line="181" w:lineRule="exact"/>
        <w:rPr>
          <w:rFonts w:ascii="Times New Roman" w:cs="Times New Roman" w:eastAsia="Times New Roman" w:hAnsi="Times New Roman"/>
          <w:sz w:val="18"/>
          <w:szCs w:val="18"/>
          <w:color w:val="auto"/>
        </w:rPr>
      </w:pPr>
    </w:p>
    <w:p>
      <w:pPr>
        <w:ind w:right="20" w:firstLine="359"/>
        <w:spacing w:after="0" w:line="257" w:lineRule="auto"/>
        <w:tabs>
          <w:tab w:leader="none" w:pos="69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Setoff, etc. </w:t>
      </w:r>
      <w:r>
        <w:rPr>
          <w:rFonts w:ascii="Times New Roman" w:cs="Times New Roman" w:eastAsia="Times New Roman" w:hAnsi="Times New Roman"/>
          <w:sz w:val="18"/>
          <w:szCs w:val="18"/>
          <w:color w:val="auto"/>
        </w:rPr>
        <w:t>Securities Intermediary shall not exercise on its own behalf any claim, right of set-off, banker's lien, clearing lien, counterclaim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right against any of the Collateral; provided that Securities Intermediary may deduct, from any credit balances, any usual and ordinary transaction and administration fees payable in connection with the administration and operation of the Collateral Account. Except for claims for deductions permitted in the preceding sentence, Securities Intermediary agrees that any security interest it may have in the Collateral Account or any security entitlement carried therein shall be subordinate and junior to the interest of Secured Party.</w:t>
      </w:r>
    </w:p>
    <w:p>
      <w:pPr>
        <w:spacing w:after="0" w:line="188" w:lineRule="exact"/>
        <w:rPr>
          <w:rFonts w:ascii="Times New Roman" w:cs="Times New Roman" w:eastAsia="Times New Roman" w:hAnsi="Times New Roman"/>
          <w:sz w:val="18"/>
          <w:szCs w:val="18"/>
          <w:color w:val="auto"/>
        </w:rPr>
      </w:pPr>
    </w:p>
    <w:p>
      <w:pPr>
        <w:ind w:right="180" w:firstLine="359"/>
        <w:spacing w:after="0" w:line="264" w:lineRule="auto"/>
        <w:tabs>
          <w:tab w:leader="none" w:pos="73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Agreement. </w:t>
      </w:r>
      <w:r>
        <w:rPr>
          <w:rFonts w:ascii="Times New Roman" w:cs="Times New Roman" w:eastAsia="Times New Roman" w:hAnsi="Times New Roman"/>
          <w:sz w:val="18"/>
          <w:szCs w:val="18"/>
          <w:color w:val="auto"/>
        </w:rPr>
        <w:t>This Agreement shall govern the actions, rights and obligations of Securities Intermediary, and shall determine the governing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Collateral Account and the Collateral notwithstanding any term or condition in any agreement other than this Agreement as it may be amended, supplemented or otherwise modified in writing.</w:t>
      </w:r>
    </w:p>
    <w:p>
      <w:pPr>
        <w:spacing w:after="0" w:line="181" w:lineRule="exact"/>
        <w:rPr>
          <w:rFonts w:ascii="Times New Roman" w:cs="Times New Roman" w:eastAsia="Times New Roman" w:hAnsi="Times New Roman"/>
          <w:sz w:val="18"/>
          <w:szCs w:val="18"/>
          <w:color w:val="auto"/>
        </w:rPr>
      </w:pPr>
    </w:p>
    <w:p>
      <w:pPr>
        <w:ind w:right="20" w:firstLine="359"/>
        <w:spacing w:after="0" w:line="302" w:lineRule="auto"/>
        <w:tabs>
          <w:tab w:leader="none" w:pos="69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Care of Financial Assets. </w:t>
      </w:r>
      <w:r>
        <w:rPr>
          <w:rFonts w:ascii="Times New Roman" w:cs="Times New Roman" w:eastAsia="Times New Roman" w:hAnsi="Times New Roman"/>
          <w:sz w:val="16"/>
          <w:szCs w:val="16"/>
          <w:color w:val="auto"/>
        </w:rPr>
        <w:t>Securities Intermediary shall maintain possession or control of all Financial Assets credited to the Collateral Account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segregating such Financial Assets from its proprietary assets and keeping them free of any lien, charge or claim of any third party granted or created by Securities Intermediary. Securities Intermediary shall take such other steps to ensure that Financial Assets credited to the Collateral Account are identified as being held for customers of Securities Intermediary as may required under applicable law, including 17 CFR Part 450, or in accordance with custom and practice in the industry.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Transactions in Collateral Account.</w:t>
      </w:r>
    </w:p>
    <w:p>
      <w:pPr>
        <w:spacing w:after="0" w:line="227" w:lineRule="exact"/>
        <w:rPr>
          <w:sz w:val="20"/>
          <w:szCs w:val="20"/>
          <w:color w:val="auto"/>
        </w:rPr>
      </w:pPr>
    </w:p>
    <w:p>
      <w:pPr>
        <w:ind w:right="60" w:firstLine="359"/>
        <w:spacing w:after="0" w:line="291" w:lineRule="auto"/>
        <w:tabs>
          <w:tab w:leader="none" w:pos="722"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Power of Secured Party to Sell or Transfer. </w:t>
      </w:r>
      <w:r>
        <w:rPr>
          <w:rFonts w:ascii="Times New Roman" w:cs="Times New Roman" w:eastAsia="Times New Roman" w:hAnsi="Times New Roman"/>
          <w:sz w:val="16"/>
          <w:szCs w:val="16"/>
          <w:color w:val="auto"/>
        </w:rPr>
        <w:t>Pledgor agrees that Secured Party may sell or cause the sale or redemption of any Investment and instruct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Intermediary to transfer the proceeds of such sale or any other credit or balance in the Collateral Account to any third party or account, in either case</w:t>
      </w:r>
    </w:p>
    <w:p>
      <w:pPr>
        <w:ind w:right="480" w:firstLine="8"/>
        <w:spacing w:after="0" w:line="261" w:lineRule="auto"/>
        <w:tabs>
          <w:tab w:leader="none" w:pos="21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sale or redemption is necessary to permit Secured Party or the Disbursement Agent to perform its duties under this Agreement, the Disbursement Agreement or the Intercreditor Agreement, or (ii) as provided in Section 14.</w:t>
      </w:r>
    </w:p>
    <w:p>
      <w:pPr>
        <w:spacing w:after="0" w:line="183"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Drawings Permitted from Certain Accounts By Pledgor.  </w:t>
      </w:r>
      <w:r>
        <w:rPr>
          <w:rFonts w:ascii="Times New Roman" w:cs="Times New Roman" w:eastAsia="Times New Roman" w:hAnsi="Times New Roman"/>
          <w:sz w:val="16"/>
          <w:szCs w:val="16"/>
          <w:color w:val="auto"/>
        </w:rPr>
        <w:t>Except during any Suspension Period, Pledgor may by Check (as defined in Section 3-104(2)</w:t>
      </w:r>
    </w:p>
    <w:p>
      <w:pPr>
        <w:spacing w:after="0" w:line="4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or other means draw funds from the Company's FF&amp;E Payment Account for the purposes set forth in the Disbursement Agreement. During any</w:t>
      </w:r>
    </w:p>
    <w:p>
      <w:pPr>
        <w:sectPr>
          <w:pgSz w:w="11900" w:h="16838" w:orient="portrait"/>
          <w:cols w:equalWidth="0" w:num="1">
            <w:col w:w="11400"/>
          </w:cols>
          <w:pgMar w:left="240" w:top="125" w:right="259" w:bottom="16" w:gutter="0" w:footer="0" w:header="0"/>
        </w:sectPr>
      </w:pPr>
    </w:p>
    <w:bookmarkStart w:id="102" w:name="page103"/>
    <w:bookmarkEnd w:id="102"/>
    <w:p>
      <w:pPr>
        <w:spacing w:after="0" w:line="61"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Suspension Period, the Company's FF&amp;E Payment Account shall be blocked, and Pledgor shall have no right to draw any amounts therefrom or cause any Financial Assets to be transferred out of the Collateral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23" w:lineRule="exact"/>
        <w:rPr>
          <w:sz w:val="20"/>
          <w:szCs w:val="20"/>
          <w:color w:val="auto"/>
        </w:rPr>
      </w:pPr>
    </w:p>
    <w:p>
      <w:pPr>
        <w:ind w:right="40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Representations and Warranties By Securities Intermediary. </w:t>
      </w:r>
      <w:r>
        <w:rPr>
          <w:rFonts w:ascii="Times New Roman" w:cs="Times New Roman" w:eastAsia="Times New Roman" w:hAnsi="Times New Roman"/>
          <w:sz w:val="18"/>
          <w:szCs w:val="18"/>
          <w:color w:val="auto"/>
        </w:rPr>
        <w:t>Securities Intermediary hereby represents and warrants to Pledgor and Secured Party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w:t>
      </w:r>
    </w:p>
    <w:p>
      <w:pPr>
        <w:spacing w:after="0" w:line="167" w:lineRule="exact"/>
        <w:rPr>
          <w:sz w:val="20"/>
          <w:szCs w:val="20"/>
          <w:color w:val="auto"/>
        </w:rPr>
      </w:pPr>
    </w:p>
    <w:p>
      <w:pPr>
        <w:ind w:left="720" w:hanging="361"/>
        <w:spacing w:after="0"/>
        <w:tabs>
          <w:tab w:leader="none" w:pos="7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Power.  </w:t>
      </w:r>
      <w:r>
        <w:rPr>
          <w:rFonts w:ascii="Times New Roman" w:cs="Times New Roman" w:eastAsia="Times New Roman" w:hAnsi="Times New Roman"/>
          <w:sz w:val="18"/>
          <w:szCs w:val="18"/>
          <w:color w:val="auto"/>
        </w:rPr>
        <w:t>Securities Intermediary has all necessary corporate power and authority to enter into and perform this Agreement.</w:t>
      </w:r>
    </w:p>
    <w:p>
      <w:pPr>
        <w:spacing w:after="0" w:line="225" w:lineRule="exact"/>
        <w:rPr>
          <w:rFonts w:ascii="Times New Roman" w:cs="Times New Roman" w:eastAsia="Times New Roman" w:hAnsi="Times New Roman"/>
          <w:sz w:val="18"/>
          <w:szCs w:val="18"/>
          <w:color w:val="auto"/>
        </w:rPr>
      </w:pPr>
    </w:p>
    <w:p>
      <w:pPr>
        <w:ind w:right="500" w:firstLine="359"/>
        <w:spacing w:after="0" w:line="277" w:lineRule="auto"/>
        <w:tabs>
          <w:tab w:leader="none" w:pos="73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Authorized. </w:t>
      </w:r>
      <w:r>
        <w:rPr>
          <w:rFonts w:ascii="Times New Roman" w:cs="Times New Roman" w:eastAsia="Times New Roman" w:hAnsi="Times New Roman"/>
          <w:sz w:val="18"/>
          <w:szCs w:val="18"/>
          <w:color w:val="auto"/>
        </w:rPr>
        <w:t>The execution, delivery and performance of this Agreement by Securities Intermediary have been duly authorized by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corporate action on the part of Securities Intermediary.</w:t>
      </w:r>
    </w:p>
    <w:p>
      <w:pPr>
        <w:spacing w:after="0" w:line="170" w:lineRule="exact"/>
        <w:rPr>
          <w:rFonts w:ascii="Times New Roman" w:cs="Times New Roman" w:eastAsia="Times New Roman" w:hAnsi="Times New Roman"/>
          <w:sz w:val="18"/>
          <w:szCs w:val="18"/>
          <w:color w:val="auto"/>
        </w:rPr>
      </w:pPr>
    </w:p>
    <w:p>
      <w:pPr>
        <w:ind w:right="160" w:firstLine="359"/>
        <w:spacing w:after="0" w:line="291" w:lineRule="auto"/>
        <w:tabs>
          <w:tab w:leader="none" w:pos="722"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Securities Intermediary. </w:t>
      </w:r>
      <w:r>
        <w:rPr>
          <w:rFonts w:ascii="Times New Roman" w:cs="Times New Roman" w:eastAsia="Times New Roman" w:hAnsi="Times New Roman"/>
          <w:sz w:val="16"/>
          <w:szCs w:val="16"/>
          <w:color w:val="auto"/>
        </w:rPr>
        <w:t>Securities Intermediary is a "securities intermediary" (as that term is defined in Section 8-102(a)(14) of the Code) and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acting in such capacity with respect to the Collateral Account. Securities Intermediary is not a "clearing corporation" (as that term is defined in Section 8-102(a)</w:t>
      </w:r>
    </w:p>
    <w:p>
      <w:pPr>
        <w:ind w:left="260" w:hanging="252"/>
        <w:spacing w:after="0"/>
        <w:tabs>
          <w:tab w:leader="none" w:pos="2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23" w:lineRule="exact"/>
        <w:rPr>
          <w:sz w:val="20"/>
          <w:szCs w:val="20"/>
          <w:color w:val="auto"/>
        </w:rPr>
      </w:pPr>
    </w:p>
    <w:p>
      <w:pPr>
        <w:ind w:left="360"/>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r>
        <w:rPr>
          <w:sz w:val="20"/>
          <w:szCs w:val="20"/>
          <w:color w:val="auto"/>
        </w:rPr>
        <w:tab/>
      </w:r>
      <w:r>
        <w:rPr>
          <w:rFonts w:ascii="Times New Roman" w:cs="Times New Roman" w:eastAsia="Times New Roman" w:hAnsi="Times New Roman"/>
          <w:sz w:val="16"/>
          <w:szCs w:val="16"/>
          <w:color w:val="auto"/>
        </w:rPr>
        <w:t>Pledgor represents and warrants as follows:</w:t>
      </w:r>
    </w:p>
    <w:p>
      <w:pPr>
        <w:spacing w:after="0" w:line="227" w:lineRule="exact"/>
        <w:rPr>
          <w:sz w:val="20"/>
          <w:szCs w:val="20"/>
          <w:color w:val="auto"/>
        </w:rPr>
      </w:pPr>
    </w:p>
    <w:p>
      <w:pPr>
        <w:ind w:right="40" w:firstLine="359"/>
        <w:spacing w:after="0" w:line="255" w:lineRule="auto"/>
        <w:tabs>
          <w:tab w:leader="none" w:pos="72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Ownership of Collateral; Security Interest; Perfection and Priority. </w:t>
      </w:r>
      <w:r>
        <w:rPr>
          <w:rFonts w:ascii="Times New Roman" w:cs="Times New Roman" w:eastAsia="Times New Roman" w:hAnsi="Times New Roman"/>
          <w:sz w:val="18"/>
          <w:szCs w:val="18"/>
          <w:color w:val="auto"/>
        </w:rPr>
        <w:t>Except as specifically set forth in Section 2.3.10 of the Disbursement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Pledgor is (or at the time of transfer thereof to Securities Intermediary will be) the legal and beneficial owner of the Collateral from time to time transferred by Pledgor to Securities Intermediary, as agent for Secured Party, free and clear of any Lien except for the security interest created by this Agreement. The pledge and assignment of the Collateral pursuant to this Agreement creates a valid security interest in the Collateral securing the Payment of the Secured Obligations. Assuming compliance by Securities Intermediary with this Agreement, Secured Party will have a perfected security interest in the Collateral senior in priority to any other security interest created by Pledgor.</w:t>
      </w:r>
    </w:p>
    <w:p>
      <w:pPr>
        <w:spacing w:after="0" w:line="193" w:lineRule="exact"/>
        <w:rPr>
          <w:rFonts w:ascii="Times New Roman" w:cs="Times New Roman" w:eastAsia="Times New Roman" w:hAnsi="Times New Roman"/>
          <w:sz w:val="18"/>
          <w:szCs w:val="18"/>
          <w:color w:val="auto"/>
        </w:rPr>
      </w:pPr>
    </w:p>
    <w:p>
      <w:pPr>
        <w:ind w:right="80" w:firstLine="359"/>
        <w:spacing w:after="0" w:line="259" w:lineRule="auto"/>
        <w:tabs>
          <w:tab w:leader="none" w:pos="73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Governmental Authorizations. </w:t>
      </w:r>
      <w:r>
        <w:rPr>
          <w:rFonts w:ascii="Times New Roman" w:cs="Times New Roman" w:eastAsia="Times New Roman" w:hAnsi="Times New Roman"/>
          <w:sz w:val="18"/>
          <w:szCs w:val="18"/>
          <w:color w:val="auto"/>
        </w:rPr>
        <w:t>Subject to any Nevada Gaming Commission Approval, no authorization, approval or other action by, and no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filing with, any governmental authority or regulatory body is required for either (i) the grant by Pledgor of the security interest granted hereby, (ii) the execution, delivery or performance of this Agreement by Pledgor, or (iii) the perfection of or, subject to any Nevada Gaming Commission approvals, the exercise by Secured Party or Securities Intermediary of its rights and remedies hereunder (except as may have been taken by or at the direction of Pledgor).</w:t>
      </w:r>
    </w:p>
    <w:p>
      <w:pPr>
        <w:spacing w:after="0" w:line="186" w:lineRule="exact"/>
        <w:rPr>
          <w:rFonts w:ascii="Times New Roman" w:cs="Times New Roman" w:eastAsia="Times New Roman" w:hAnsi="Times New Roman"/>
          <w:sz w:val="18"/>
          <w:szCs w:val="18"/>
          <w:color w:val="auto"/>
        </w:rPr>
      </w:pPr>
    </w:p>
    <w:p>
      <w:pPr>
        <w:ind w:right="320" w:firstLine="359"/>
        <w:spacing w:after="0" w:line="277" w:lineRule="auto"/>
        <w:tabs>
          <w:tab w:leader="none" w:pos="72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Information. </w:t>
      </w:r>
      <w:r>
        <w:rPr>
          <w:rFonts w:ascii="Times New Roman" w:cs="Times New Roman" w:eastAsia="Times New Roman" w:hAnsi="Times New Roman"/>
          <w:sz w:val="18"/>
          <w:szCs w:val="18"/>
          <w:color w:val="auto"/>
        </w:rPr>
        <w:t>All information heretofore, herein or hereafter supplied to Secured Party or Securities Intermediary by or on behalf of Pledgor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Collateral, the establishment of the Collateral Account or otherwise is accurate and complete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p>
      <w:pPr>
        <w:spacing w:after="0" w:line="227" w:lineRule="exact"/>
        <w:rPr>
          <w:sz w:val="20"/>
          <w:szCs w:val="20"/>
          <w:color w:val="auto"/>
        </w:rPr>
      </w:pPr>
    </w:p>
    <w:p>
      <w:pPr>
        <w:ind w:firstLine="359"/>
        <w:spacing w:after="0" w:line="255" w:lineRule="auto"/>
        <w:tabs>
          <w:tab w:leader="none" w:pos="72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Pledgor. </w:t>
      </w:r>
      <w:r>
        <w:rPr>
          <w:rFonts w:ascii="Times New Roman" w:cs="Times New Roman" w:eastAsia="Times New Roman" w:hAnsi="Times New Roman"/>
          <w:sz w:val="18"/>
          <w:szCs w:val="18"/>
          <w:color w:val="auto"/>
        </w:rPr>
        <w:t>Pledgor agrees that from time to time, at the expense of Pledgor, Pledgor shall promptly execute and deliver all further instruments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 take all further action, that may be necessary or reasonably desirable, or that Secured Party may reasonably request, in order to perfect and protect any security interest granted or purported to be granted hereby or to enable Secured Party or Securities Intermediary to exercise and enforce its rights and remedies hereunder with respect to any Collateral. Without limiting the generality of the foregoing, Pledgor shall: (a) execute and file such financing or continuation statements, or amendments thereto, and such other instruments or notices, as Secured Party may reasonably request, in order to perfect and preserve the security interests granted or purported to be granted hereby, and (b) at Secured Party's request, appear in and defend any action or proceeding that may affect Pledgor's title to or Secured Party's security interest in all or any part of the Collateral.</w:t>
      </w:r>
    </w:p>
    <w:p>
      <w:pPr>
        <w:spacing w:after="0" w:line="189" w:lineRule="exact"/>
        <w:rPr>
          <w:rFonts w:ascii="Times New Roman" w:cs="Times New Roman" w:eastAsia="Times New Roman" w:hAnsi="Times New Roman"/>
          <w:sz w:val="18"/>
          <w:szCs w:val="18"/>
          <w:color w:val="auto"/>
        </w:rPr>
      </w:pPr>
    </w:p>
    <w:p>
      <w:pPr>
        <w:ind w:right="100" w:firstLine="359"/>
        <w:spacing w:after="0" w:line="264" w:lineRule="auto"/>
        <w:tabs>
          <w:tab w:leader="none" w:pos="73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Intermediary. </w:t>
      </w:r>
      <w:r>
        <w:rPr>
          <w:rFonts w:ascii="Times New Roman" w:cs="Times New Roman" w:eastAsia="Times New Roman" w:hAnsi="Times New Roman"/>
          <w:sz w:val="18"/>
          <w:szCs w:val="18"/>
          <w:color w:val="auto"/>
        </w:rPr>
        <w:t>Securities Intermediary shall take such further actions as Secured Party shall reasonably request as being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desirable to maintain or achieve perfection or priority of Secured Party's security interest with respect to the Collateral and to permit Secured Party to exercise its rights with respect to the Collateral.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223"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i w:val="1"/>
          <w:iCs w:val="1"/>
          <w:color w:val="auto"/>
        </w:rPr>
        <w:t>Transfers and other Liens.</w:t>
      </w:r>
      <w:r>
        <w:rPr>
          <w:sz w:val="20"/>
          <w:szCs w:val="20"/>
          <w:color w:val="auto"/>
        </w:rPr>
        <w:tab/>
      </w:r>
      <w:r>
        <w:rPr>
          <w:rFonts w:ascii="Times New Roman" w:cs="Times New Roman" w:eastAsia="Times New Roman" w:hAnsi="Times New Roman"/>
          <w:sz w:val="16"/>
          <w:szCs w:val="16"/>
          <w:color w:val="auto"/>
        </w:rPr>
        <w:t>Pledgor agrees that, except as permitted in Section 4(b), and for the security interest created by this Agreement, it shall not</w:t>
      </w:r>
    </w:p>
    <w:p>
      <w:pPr>
        <w:spacing w:after="0" w:line="25" w:lineRule="exact"/>
        <w:rPr>
          <w:sz w:val="20"/>
          <w:szCs w:val="20"/>
          <w:color w:val="auto"/>
        </w:rPr>
      </w:pPr>
    </w:p>
    <w:p>
      <w:pPr>
        <w:ind w:right="480" w:firstLine="8"/>
        <w:spacing w:after="0" w:line="261" w:lineRule="auto"/>
        <w:tabs>
          <w:tab w:leader="none" w:pos="23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(by operation of law or otherwise), redeem or otherwise dispose of any of the Collateral or (b) create or suffer to exist any Lien upon or with respect to any of the Collateral.</w:t>
      </w:r>
    </w:p>
    <w:p>
      <w:pPr>
        <w:spacing w:after="0" w:line="18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Secured Party Appointed Attorney-in-Fact; Secured Party Performance.</w:t>
      </w:r>
    </w:p>
    <w:p>
      <w:pPr>
        <w:spacing w:after="0" w:line="227" w:lineRule="exact"/>
        <w:rPr>
          <w:sz w:val="20"/>
          <w:szCs w:val="20"/>
          <w:color w:val="auto"/>
        </w:rPr>
      </w:pPr>
    </w:p>
    <w:p>
      <w:pPr>
        <w:ind w:right="20" w:firstLine="359"/>
        <w:spacing w:after="0" w:line="255" w:lineRule="auto"/>
        <w:tabs>
          <w:tab w:leader="none" w:pos="72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Secured Party Appointed Attorney-in-Fact. </w:t>
      </w:r>
      <w:r>
        <w:rPr>
          <w:rFonts w:ascii="Times New Roman" w:cs="Times New Roman" w:eastAsia="Times New Roman" w:hAnsi="Times New Roman"/>
          <w:sz w:val="18"/>
          <w:szCs w:val="18"/>
          <w:color w:val="auto"/>
        </w:rPr>
        <w:t>Pledgor hereby irrevocably appoints Secured Party as Pledgor's attorney-in-fact, with full authority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and stead of Pledgor and in the name of Pledgor, Secured Party or otherwise, from time to time in Secured Party's discretion to take any action and to execute any instrument that Secured Party may deem necessary or advisable to accomplish the purposes of this Agreement, including (a) to file one or more financing or continuation statements, or amendments thereto, relative to all or any part of the Collateral without the signature of Pledgor and (b) to receive, endorse and collect any instruments or other Investments made payable to Pledgor representing any dividend, principal or interest payment or other distribution in respect of the Collateral or any part thereof and to give full discharge for the same.</w:t>
      </w:r>
    </w:p>
    <w:p>
      <w:pPr>
        <w:spacing w:after="0" w:line="193" w:lineRule="exact"/>
        <w:rPr>
          <w:rFonts w:ascii="Times New Roman" w:cs="Times New Roman" w:eastAsia="Times New Roman" w:hAnsi="Times New Roman"/>
          <w:sz w:val="18"/>
          <w:szCs w:val="18"/>
          <w:color w:val="auto"/>
        </w:rPr>
      </w:pPr>
    </w:p>
    <w:p>
      <w:pPr>
        <w:ind w:right="160" w:firstLine="359"/>
        <w:spacing w:after="0" w:line="277" w:lineRule="auto"/>
        <w:tabs>
          <w:tab w:leader="none" w:pos="73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by Secured Party. </w:t>
      </w:r>
      <w:r>
        <w:rPr>
          <w:rFonts w:ascii="Times New Roman" w:cs="Times New Roman" w:eastAsia="Times New Roman" w:hAnsi="Times New Roman"/>
          <w:sz w:val="18"/>
          <w:szCs w:val="18"/>
          <w:color w:val="auto"/>
        </w:rPr>
        <w:t>If Pledgor fails to perform any agreement contained herein, Secured Party may itself perform, or cause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agreement, and the expenses of Secured Party incurred in connection therewith shall be payable by Pledgor under Section 16.</w:t>
      </w:r>
    </w:p>
    <w:p>
      <w:pPr>
        <w:sectPr>
          <w:pgSz w:w="11900" w:h="16900" w:orient="portrait"/>
          <w:cols w:equalWidth="0" w:num="1">
            <w:col w:w="11420"/>
          </w:cols>
          <w:pgMar w:left="240" w:top="125" w:right="239" w:bottom="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Remedies.</w:t>
      </w:r>
    </w:p>
    <w:p>
      <w:pPr>
        <w:spacing w:after="0" w:line="227" w:lineRule="exact"/>
        <w:rPr>
          <w:sz w:val="20"/>
          <w:szCs w:val="20"/>
          <w:color w:val="auto"/>
        </w:rPr>
      </w:pPr>
    </w:p>
    <w:p>
      <w:pPr>
        <w:ind w:right="160" w:firstLine="359"/>
        <w:spacing w:after="0" w:line="257" w:lineRule="auto"/>
        <w:tabs>
          <w:tab w:leader="none" w:pos="72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or Sequestration of Collateral after Potential Event of Default or Event of Default. </w:t>
      </w:r>
      <w:r>
        <w:rPr>
          <w:rFonts w:ascii="Times New Roman" w:cs="Times New Roman" w:eastAsia="Times New Roman" w:hAnsi="Times New Roman"/>
          <w:sz w:val="18"/>
          <w:szCs w:val="18"/>
          <w:color w:val="auto"/>
        </w:rPr>
        <w:t>If any Potential Event of Default or Event of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and be continuing, Secured Party may instruct Securities Intermediary to (i) sell or redeem any Investments, (ii) transfer any or all of the Collateral constituting cash to the Deposit Account or transfer any or all of the Collateral to any account designated by Secured Party, including account or accounts established in Secured Party's name (whether at Secured Party or Securities Intermediary or otherwise), (iii) register title to any Collateral in any name specified by Secured Party, including the name of Secured Party or any of its nominees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without reference to any interest of Pledgor, or (iv) otherwise deal with the Collateral as directed by Secured Party.</w:t>
      </w:r>
    </w:p>
    <w:p>
      <w:pPr>
        <w:spacing w:after="0" w:line="223" w:lineRule="exact"/>
        <w:rPr>
          <w:sz w:val="20"/>
          <w:szCs w:val="20"/>
          <w:color w:val="auto"/>
        </w:rPr>
      </w:pPr>
    </w:p>
    <w:p>
      <w:pPr>
        <w:ind w:firstLine="359"/>
        <w:spacing w:after="0" w:line="253" w:lineRule="auto"/>
        <w:tabs>
          <w:tab w:leader="none" w:pos="73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of Secured Party after Event of Default. </w:t>
      </w:r>
      <w:r>
        <w:rPr>
          <w:rFonts w:ascii="Times New Roman" w:cs="Times New Roman" w:eastAsia="Times New Roman" w:hAnsi="Times New Roman"/>
          <w:sz w:val="18"/>
          <w:szCs w:val="18"/>
          <w:color w:val="auto"/>
        </w:rPr>
        <w:t>If any Event of Default shall have occurred and be continuing, subject to any Nevada Gaming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receipt of any required Nevada Gaming Commission Approval, Secured Party may exercise in respect of the Collateral, in addition to all other rights and remedies provided for herein or otherwise available to it at law or in equity, all the rights and remedies of a secured party on default under the Uniform Commercial Code as in effect in any relevant jurisdiction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(whether or not the UCC applies to the affected Collateral), and Secured Party may also in its sole discretion sell the Collateral or any part thereof in one or more parcels at public or private sale, at any exchange or broker's board or at any of Secured Party's offices or elsewhere, for cash, on credit or for future delivery, at such time or times and at such price or prices and upon such other terms as Secured Party may deem commercially reasonable, irrespective, of the impact of any such sales on the market price of the Collateral. Each purchaser at any such sale shall hold the property sold absolutely free from any claim or right on the part of Pledgor, and Pledgor hereby waives (to the extent permitted by applicable law) all rights of redemption, stay or appraisal which it now has or may at any time in the future have under any rule of law or statute now existing or hereafter enacted. Secured Party shall not be obligated to make any sale of Collateral regardless of notice of sale having been given. Secured Party may adjourn any public or private sale from time to time by announcement at the time and place fixed therefor, and such sale may, without further notice, be made at the time and place to which it was so adjourned.</w:t>
      </w:r>
    </w:p>
    <w:p>
      <w:pPr>
        <w:spacing w:after="0" w:line="190" w:lineRule="exact"/>
        <w:rPr>
          <w:rFonts w:ascii="Times New Roman" w:cs="Times New Roman" w:eastAsia="Times New Roman" w:hAnsi="Times New Roman"/>
          <w:sz w:val="18"/>
          <w:szCs w:val="18"/>
          <w:color w:val="auto"/>
        </w:rPr>
      </w:pPr>
    </w:p>
    <w:p>
      <w:pPr>
        <w:ind w:firstLine="359"/>
        <w:spacing w:after="0" w:line="259" w:lineRule="auto"/>
        <w:tabs>
          <w:tab w:leader="none" w:pos="71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as to Manner of Sale. </w:t>
      </w:r>
      <w:r>
        <w:rPr>
          <w:rFonts w:ascii="Times New Roman" w:cs="Times New Roman" w:eastAsia="Times New Roman" w:hAnsi="Times New Roman"/>
          <w:sz w:val="18"/>
          <w:szCs w:val="18"/>
          <w:color w:val="auto"/>
        </w:rPr>
        <w:t>Pledgor hereby agrees that the Collateral is of a type customarily sold on recognized markets and, accordingly,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 notice to any Person is required before any sale of any of the Collateral pursuant to the terms of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without prejudice to the foregoing, Pledgor agrees that, to the extent notice of any such sale shall be required by law, at least ten days' notice to Pledgor of the time and place of any public sale or the time after which any private sale is to be made shall constitute reasonable notification.</w:t>
      </w:r>
    </w:p>
    <w:p>
      <w:pPr>
        <w:spacing w:after="0" w:line="186" w:lineRule="exact"/>
        <w:rPr>
          <w:rFonts w:ascii="Times New Roman" w:cs="Times New Roman" w:eastAsia="Times New Roman" w:hAnsi="Times New Roman"/>
          <w:sz w:val="18"/>
          <w:szCs w:val="18"/>
          <w:color w:val="auto"/>
        </w:rPr>
      </w:pPr>
    </w:p>
    <w:p>
      <w:pPr>
        <w:ind w:right="80" w:firstLine="359"/>
        <w:spacing w:after="0" w:line="277" w:lineRule="auto"/>
        <w:tabs>
          <w:tab w:leader="none" w:pos="73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Deficiency. </w:t>
      </w:r>
      <w:r>
        <w:rPr>
          <w:rFonts w:ascii="Times New Roman" w:cs="Times New Roman" w:eastAsia="Times New Roman" w:hAnsi="Times New Roman"/>
          <w:sz w:val="18"/>
          <w:szCs w:val="18"/>
          <w:color w:val="auto"/>
        </w:rPr>
        <w:t>If the proceeds of any sale or other disposition of the Collateral are insufficient to pay all the Secured Obligations, Pledgor shall be liable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deficiency and the fees of any attorneys employed by Secured Party to collect such deficiency.</w:t>
      </w:r>
    </w:p>
    <w:p>
      <w:pPr>
        <w:spacing w:after="0" w:line="170" w:lineRule="exact"/>
        <w:rPr>
          <w:rFonts w:ascii="Times New Roman" w:cs="Times New Roman" w:eastAsia="Times New Roman" w:hAnsi="Times New Roman"/>
          <w:sz w:val="18"/>
          <w:szCs w:val="18"/>
          <w:color w:val="auto"/>
        </w:rPr>
      </w:pPr>
    </w:p>
    <w:p>
      <w:pPr>
        <w:ind w:right="20" w:firstLine="359"/>
        <w:spacing w:after="0" w:line="277" w:lineRule="auto"/>
        <w:tabs>
          <w:tab w:leader="none" w:pos="72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Set-off. </w:t>
      </w:r>
      <w:r>
        <w:rPr>
          <w:rFonts w:ascii="Times New Roman" w:cs="Times New Roman" w:eastAsia="Times New Roman" w:hAnsi="Times New Roman"/>
          <w:sz w:val="18"/>
          <w:szCs w:val="18"/>
          <w:color w:val="auto"/>
        </w:rPr>
        <w:t>Anything contained herein to the contrary notwithstanding, all sums in the Collateral Account shall be subject to Secured Party's or any FF&amp;E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rights of set-off.</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15.</w:t>
      </w:r>
    </w:p>
    <w:p>
      <w:pPr>
        <w:spacing w:after="0" w:line="223" w:lineRule="exact"/>
        <w:rPr>
          <w:sz w:val="20"/>
          <w:szCs w:val="20"/>
          <w:color w:val="auto"/>
        </w:rPr>
      </w:pPr>
    </w:p>
    <w:p>
      <w:pPr>
        <w:ind w:right="120" w:firstLine="34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Application of Proceeds. </w:t>
      </w:r>
      <w:r>
        <w:rPr>
          <w:rFonts w:ascii="Times New Roman" w:cs="Times New Roman" w:eastAsia="Times New Roman" w:hAnsi="Times New Roman"/>
          <w:sz w:val="18"/>
          <w:szCs w:val="18"/>
          <w:color w:val="auto"/>
        </w:rPr>
        <w:t>If any Event of Default shall have occurred and be continuing, all cash included as Collateral and all proceeds received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Party in respect of any sale or redemption of, collection from, or other realization upon all or any part of the Collateral may, in the discretion of Secured Party, be held by or for Secured Party as Collateral for, or then, or at any other time thereafter, applied in full or in part by Secured Party against, the Secured Obligations in any order or priority as may be determined by the Secured Party.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Duties; Exculpation; Indemnity, Expenses.</w:t>
      </w:r>
    </w:p>
    <w:p>
      <w:pPr>
        <w:spacing w:after="0" w:line="227" w:lineRule="exact"/>
        <w:rPr>
          <w:sz w:val="20"/>
          <w:szCs w:val="20"/>
          <w:color w:val="auto"/>
        </w:rPr>
      </w:pPr>
    </w:p>
    <w:p>
      <w:pPr>
        <w:ind w:left="720" w:hanging="361"/>
        <w:spacing w:after="0"/>
        <w:tabs>
          <w:tab w:leader="none" w:pos="7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Intermediary.</w:t>
      </w:r>
    </w:p>
    <w:p>
      <w:pPr>
        <w:spacing w:after="0" w:line="225" w:lineRule="exact"/>
        <w:rPr>
          <w:rFonts w:ascii="Times New Roman" w:cs="Times New Roman" w:eastAsia="Times New Roman" w:hAnsi="Times New Roman"/>
          <w:sz w:val="18"/>
          <w:szCs w:val="18"/>
          <w:color w:val="auto"/>
        </w:rPr>
      </w:pPr>
    </w:p>
    <w:p>
      <w:pPr>
        <w:ind w:left="540" w:right="100" w:firstLine="359"/>
        <w:spacing w:after="0" w:line="257" w:lineRule="auto"/>
        <w:tabs>
          <w:tab w:leader="none" w:pos="1232"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Duties. </w:t>
      </w:r>
      <w:r>
        <w:rPr>
          <w:rFonts w:ascii="Times New Roman" w:cs="Times New Roman" w:eastAsia="Times New Roman" w:hAnsi="Times New Roman"/>
          <w:sz w:val="18"/>
          <w:szCs w:val="18"/>
          <w:color w:val="auto"/>
        </w:rPr>
        <w:t>Securities Intermediary's duties hereunder are only those specifically provided herein, and Securities Intermediary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 no liability whatsoever for any actions or omissions hereunder except for any such liability arising out of or in connection with Securities Intermediary's gross negligence or wilful misconduct. Securities Intermediary has no obligation to inquire into, or to ensure, the sufficiency of this Agreement or the arrangements described hereunder to satisfy any objectives of Secured Party or Pledgor. Securities Intermediary shall have no duty to supervise or to provide investment counseling or advice to Pledgor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Secured Party with respect to the purchase, sale, retention or other disposition of any Financial Assets held hereunder. Except as specifically otherwise provided in this Agreement, Securities Intermediary shall not be responsible for enforcing compliance by the other parties to this Agreement with their respective duties and obligations to each other under this or any other Agreement. Securities Intermediary shall have no liability in the event it is unable to perform its duties hereunder due to acts of war or other force majeur events outside its control, including court orders instructing the Securities Intermediary to take, or not to take, certain actions.</w:t>
      </w:r>
    </w:p>
    <w:p>
      <w:pPr>
        <w:spacing w:after="0" w:line="191" w:lineRule="exact"/>
        <w:rPr>
          <w:sz w:val="20"/>
          <w:szCs w:val="20"/>
          <w:color w:val="auto"/>
        </w:rPr>
      </w:pPr>
    </w:p>
    <w:p>
      <w:pPr>
        <w:ind w:left="540" w:right="40" w:firstLine="359"/>
        <w:spacing w:after="0" w:line="342" w:lineRule="auto"/>
        <w:tabs>
          <w:tab w:leader="none" w:pos="1281"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Consultation with Counsel. </w:t>
      </w:r>
      <w:r>
        <w:rPr>
          <w:rFonts w:ascii="Times New Roman" w:cs="Times New Roman" w:eastAsia="Times New Roman" w:hAnsi="Times New Roman"/>
          <w:sz w:val="16"/>
          <w:szCs w:val="16"/>
          <w:color w:val="auto"/>
        </w:rPr>
        <w:t>Securities Intermediary may consult with, and obtain advice from, legal counsel as to the construction of any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provisions of this Agreement, and shall incur no liability in acting in good faith in accordance with the reasonable advice and opinion of such counsel.</w:t>
      </w:r>
    </w:p>
    <w:p>
      <w:pPr>
        <w:spacing w:after="0" w:line="123" w:lineRule="exact"/>
        <w:rPr>
          <w:rFonts w:ascii="Times New Roman" w:cs="Times New Roman" w:eastAsia="Times New Roman" w:hAnsi="Times New Roman"/>
          <w:sz w:val="16"/>
          <w:szCs w:val="16"/>
          <w:color w:val="auto"/>
        </w:rPr>
      </w:pPr>
    </w:p>
    <w:p>
      <w:pPr>
        <w:ind w:left="540" w:right="60" w:firstLine="359"/>
        <w:spacing w:after="0" w:line="264" w:lineRule="auto"/>
        <w:tabs>
          <w:tab w:leader="none" w:pos="133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Pledgor agrees to indemnify Securities Intermediary in accordance with Section 11.15.2 of the Disbursement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hereby agrees that Securities Intermediary shall be an indemnified party under such Section 11.15.2 of the Disbursement Agreement, which is hereby incorporated herein by reference.</w:t>
      </w:r>
    </w:p>
    <w:p>
      <w:pPr>
        <w:spacing w:after="0" w:line="181" w:lineRule="exact"/>
        <w:rPr>
          <w:rFonts w:ascii="Times New Roman" w:cs="Times New Roman" w:eastAsia="Times New Roman" w:hAnsi="Times New Roman"/>
          <w:sz w:val="18"/>
          <w:szCs w:val="18"/>
          <w:color w:val="auto"/>
        </w:rPr>
      </w:pPr>
    </w:p>
    <w:p>
      <w:pPr>
        <w:ind w:left="540" w:right="280" w:firstLine="359"/>
        <w:spacing w:after="0" w:line="259" w:lineRule="auto"/>
        <w:tabs>
          <w:tab w:leader="none" w:pos="13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Reasonable Reliance. </w:t>
      </w:r>
      <w:r>
        <w:rPr>
          <w:rFonts w:ascii="Times New Roman" w:cs="Times New Roman" w:eastAsia="Times New Roman" w:hAnsi="Times New Roman"/>
          <w:sz w:val="18"/>
          <w:szCs w:val="18"/>
          <w:color w:val="auto"/>
        </w:rPr>
        <w:t>Securities Intermediary shall be fully protected and shall suffer no liability in acting in accordance with any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reasonably believed by it to have been given (i) by Secured Party with respect to any aspect of the operation of the Collateral Account (including any such instructions relating to any investment or transfer of any amounts held therein) or (ii) by Pledgor, to the extent provided in Section 4(b), with respect to the Collateral Account.</w:t>
      </w:r>
    </w:p>
    <w:p>
      <w:pPr>
        <w:spacing w:after="0" w:line="186" w:lineRule="exact"/>
        <w:rPr>
          <w:rFonts w:ascii="Times New Roman" w:cs="Times New Roman" w:eastAsia="Times New Roman" w:hAnsi="Times New Roman"/>
          <w:sz w:val="18"/>
          <w:szCs w:val="18"/>
          <w:color w:val="auto"/>
        </w:rPr>
      </w:pPr>
    </w:p>
    <w:p>
      <w:pPr>
        <w:ind w:left="740" w:hanging="381"/>
        <w:spacing w:after="0"/>
        <w:tabs>
          <w:tab w:leader="none" w:pos="7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Secured Party.</w:t>
      </w:r>
    </w:p>
    <w:p>
      <w:pPr>
        <w:sectPr>
          <w:pgSz w:w="11900" w:h="16838" w:orient="portrait"/>
          <w:cols w:equalWidth="0" w:num="1">
            <w:col w:w="11400"/>
          </w:cols>
          <w:pgMar w:left="240" w:top="123" w:right="259" w:bottom="0" w:gutter="0" w:footer="0" w:header="0"/>
        </w:sectPr>
      </w:pPr>
    </w:p>
    <w:bookmarkStart w:id="104" w:name="page105"/>
    <w:bookmarkEnd w:id="104"/>
    <w:p>
      <w:pPr>
        <w:ind w:left="540" w:right="40" w:firstLine="359"/>
        <w:spacing w:after="0" w:line="252" w:lineRule="auto"/>
        <w:tabs>
          <w:tab w:leader="none" w:pos="123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Exculpation. </w:t>
      </w:r>
      <w:r>
        <w:rPr>
          <w:rFonts w:ascii="Times New Roman" w:cs="Times New Roman" w:eastAsia="Times New Roman" w:hAnsi="Times New Roman"/>
          <w:sz w:val="18"/>
          <w:szCs w:val="18"/>
          <w:color w:val="auto"/>
        </w:rPr>
        <w:t>The powers conferred on Secured Party hereunder are solely to protect its interest in the Collateral and shall not impose any duty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it to exercise any such powers. Except for the exercise of reasonable care in the custody of any Collateral in its possession and the accounting for moneys actually received by it hereunder, Secured Party shall have no duty as to any Collateral, it being understood that Secured Party shall have no responsibility for (a) ascertaining or taking action with respect to calls, conversions, exchanges, maturities, tenders or other matters relating to any Collateral, whether or not Secured Party has or is deemed to have knowledge of such matters, (b) taking any necessary steps (other than steps taken in accordance with the standard of care set forth above to maintain possession of the Collateral) to preserve rights against any parties with respect to any Collateral, (c) taking any necessary steps to collect or realize upon the Secured Obligations or any guarantee therefor, or any part thereof, or any of the Collateral, (d) initiating any action to protect the Collateral against the possibility of a decline in market value, (e) any loss resulting from Investments made, held or sold pursuant to Section 4, except for a loss resulting from Secured Party's gross negligence (or negligence in the handling of funds) or willful misconduct in complying with Section 4, or (f) determining (i) the correctness of any statement or calculation made by Pledgor in any written or telex (tested or otherwise) instructions or (ii) whether any transfer to the Collateral Account is proper. Secured Party shall be deemed to have exercised reasonable care in the custody and preservation of Collateral in its possession if such Collateral is accorded treatment substantially equal to that which Secured Party accords its own property of like kind. In addition to the foregoing and without limiting the generality thereof, Secured Party shall not be responsible for any actions or omissions of Securities Intermediary.</w:t>
      </w:r>
    </w:p>
    <w:p>
      <w:pPr>
        <w:spacing w:after="0" w:line="198" w:lineRule="exact"/>
        <w:rPr>
          <w:rFonts w:ascii="Times New Roman" w:cs="Times New Roman" w:eastAsia="Times New Roman" w:hAnsi="Times New Roman"/>
          <w:sz w:val="18"/>
          <w:szCs w:val="18"/>
          <w:color w:val="auto"/>
        </w:rPr>
      </w:pPr>
    </w:p>
    <w:p>
      <w:pPr>
        <w:ind w:left="540" w:right="100" w:firstLine="359"/>
        <w:spacing w:after="0" w:line="264" w:lineRule="auto"/>
        <w:tabs>
          <w:tab w:leader="none" w:pos="128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Pledgor agrees that its indemnity of Secured Party and each FF&amp;E Lender set forth in the Disbursement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FF&amp;E Facility Agreement shall apply, subject to the terms thereof, to any and all claims, losses and liabilities in any way relating to, growing out of or resulting from this Agreement and the transactions contemplated hereby (including enforcement of this Agreement).</w:t>
      </w:r>
    </w:p>
    <w:p>
      <w:pPr>
        <w:spacing w:after="0" w:line="181" w:lineRule="exact"/>
        <w:rPr>
          <w:rFonts w:ascii="Times New Roman" w:cs="Times New Roman" w:eastAsia="Times New Roman" w:hAnsi="Times New Roman"/>
          <w:sz w:val="18"/>
          <w:szCs w:val="18"/>
          <w:color w:val="auto"/>
        </w:rPr>
      </w:pPr>
    </w:p>
    <w:p>
      <w:pPr>
        <w:ind w:left="540" w:right="60" w:firstLine="359"/>
        <w:spacing w:after="0" w:line="277" w:lineRule="auto"/>
        <w:tabs>
          <w:tab w:leader="none" w:pos="133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Reasonable Reliance. </w:t>
      </w:r>
      <w:r>
        <w:rPr>
          <w:rFonts w:ascii="Times New Roman" w:cs="Times New Roman" w:eastAsia="Times New Roman" w:hAnsi="Times New Roman"/>
          <w:sz w:val="18"/>
          <w:szCs w:val="18"/>
          <w:color w:val="auto"/>
        </w:rPr>
        <w:t>Secured Party shall be fully protected and shall suffer no liability in acting in accordance with any written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believed by it to have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Pledgor, to the extent provided in Section 4(b), with respect to any investments of any amounts held for the credit of the Collateral Account.</w:t>
      </w:r>
    </w:p>
    <w:p>
      <w:pPr>
        <w:spacing w:after="0" w:line="223" w:lineRule="exact"/>
        <w:rPr>
          <w:sz w:val="20"/>
          <w:szCs w:val="20"/>
          <w:color w:val="auto"/>
        </w:rPr>
      </w:pPr>
    </w:p>
    <w:p>
      <w:pPr>
        <w:ind w:left="540" w:right="100" w:firstLine="359"/>
        <w:spacing w:after="0" w:line="302" w:lineRule="auto"/>
        <w:tabs>
          <w:tab w:leader="none" w:pos="132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Expenses. </w:t>
      </w:r>
      <w:r>
        <w:rPr>
          <w:rFonts w:ascii="Times New Roman" w:cs="Times New Roman" w:eastAsia="Times New Roman" w:hAnsi="Times New Roman"/>
          <w:sz w:val="16"/>
          <w:szCs w:val="16"/>
          <w:color w:val="auto"/>
        </w:rPr>
        <w:t>Pledgor shall pay to Secured Party upon demand the amount of any and all costs and expenses, including the reasonable fees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of its counsel and of any experts and agents, that Secured Party may reasonably incur in connection with (i) the administration of this Agreement, (ii) the custody, preservation, use or operation of, or the sale of, collection from, or other realization upon, any of the Collateral, (iii) the exercise or enforcement of any of the rights of Secured Party hereunder, or (iv) the failure by Pledgor to perform or observe any of the provisions hereof.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17.</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Resignation and Removal of Securities Intermediary.</w:t>
      </w:r>
    </w:p>
    <w:p>
      <w:pPr>
        <w:spacing w:after="0" w:line="227" w:lineRule="exact"/>
        <w:rPr>
          <w:sz w:val="20"/>
          <w:szCs w:val="20"/>
          <w:color w:val="auto"/>
        </w:rPr>
      </w:pPr>
    </w:p>
    <w:p>
      <w:pPr>
        <w:ind w:right="180" w:firstLine="359"/>
        <w:spacing w:after="0" w:line="264" w:lineRule="auto"/>
        <w:tabs>
          <w:tab w:leader="none" w:pos="72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w:t>
      </w:r>
      <w:r>
        <w:rPr>
          <w:rFonts w:ascii="Times New Roman" w:cs="Times New Roman" w:eastAsia="Times New Roman" w:hAnsi="Times New Roman"/>
          <w:sz w:val="18"/>
          <w:szCs w:val="18"/>
          <w:color w:val="auto"/>
        </w:rPr>
        <w:t>Securities Intermediary may be removed at any time by written notice given by Secured Party to Securities Intermediary and Pledgor,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removal shall not become effective until a successor Securities Intermediary shall have been appointed by Secured Party and shall have accepted such appointment in writing.</w:t>
      </w:r>
    </w:p>
    <w:p>
      <w:pPr>
        <w:spacing w:after="0" w:line="181" w:lineRule="exact"/>
        <w:rPr>
          <w:rFonts w:ascii="Times New Roman" w:cs="Times New Roman" w:eastAsia="Times New Roman" w:hAnsi="Times New Roman"/>
          <w:sz w:val="18"/>
          <w:szCs w:val="18"/>
          <w:color w:val="auto"/>
        </w:rPr>
      </w:pPr>
    </w:p>
    <w:p>
      <w:pPr>
        <w:ind w:right="80" w:firstLine="359"/>
        <w:spacing w:after="0" w:line="257" w:lineRule="auto"/>
        <w:tabs>
          <w:tab w:leader="none" w:pos="73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w:t>
      </w:r>
      <w:r>
        <w:rPr>
          <w:rFonts w:ascii="Times New Roman" w:cs="Times New Roman" w:eastAsia="Times New Roman" w:hAnsi="Times New Roman"/>
          <w:sz w:val="18"/>
          <w:szCs w:val="18"/>
          <w:color w:val="auto"/>
        </w:rPr>
        <w:t>Securities Intermediary may resign at any time by giving not less than thirty days' written notice to Secured Party and Pledgor, but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shall not become effective until a successor Securities Intermediary shall have been appointed by Secured Party and shall have accepted such appointment in writing. If an instrument of acceptance by a successor Securities Intermediary shall not have been delivered to the resigning Securities Intermediary within thirty days after the giving of any such notice of resignation, the resigning Securities Intermediary may, at the expense of Pledgor, petition any court of competent jurisdiction for the appointment of a successor Securities Intermediary.</w:t>
      </w:r>
    </w:p>
    <w:p>
      <w:pPr>
        <w:spacing w:after="0" w:line="188" w:lineRule="exact"/>
        <w:rPr>
          <w:rFonts w:ascii="Times New Roman" w:cs="Times New Roman" w:eastAsia="Times New Roman" w:hAnsi="Times New Roman"/>
          <w:sz w:val="18"/>
          <w:szCs w:val="18"/>
          <w:color w:val="auto"/>
        </w:rPr>
      </w:pPr>
    </w:p>
    <w:p>
      <w:pPr>
        <w:ind w:firstLine="359"/>
        <w:spacing w:after="0" w:line="257" w:lineRule="auto"/>
        <w:tabs>
          <w:tab w:leader="none" w:pos="72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 Securities Intermediary. </w:t>
      </w:r>
      <w:r>
        <w:rPr>
          <w:rFonts w:ascii="Times New Roman" w:cs="Times New Roman" w:eastAsia="Times New Roman" w:hAnsi="Times New Roman"/>
          <w:sz w:val="18"/>
          <w:szCs w:val="18"/>
          <w:color w:val="auto"/>
        </w:rPr>
        <w:t>Any successor Securities Intermediary shall be a corporation qualified to do business in, and located in,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 is subject to supervision or examination by the applicable Governmental Authority, (B) has a combined capital and surplus of at least Five Hundred Million Dollars (US$500,000,000), (C) has a long-term credit rating of not less than "A-"or "A3", respectively, by any Rating Agency; </w:t>
      </w:r>
      <w:r>
        <w:rPr>
          <w:rFonts w:ascii="Times New Roman" w:cs="Times New Roman" w:eastAsia="Times New Roman" w:hAnsi="Times New Roman"/>
          <w:sz w:val="18"/>
          <w:szCs w:val="18"/>
          <w:i w:val="1"/>
          <w:iCs w:val="1"/>
          <w:color w:val="auto"/>
        </w:rPr>
        <w:t>and provided, that</w:t>
      </w:r>
      <w:r>
        <w:rPr>
          <w:rFonts w:ascii="Times New Roman" w:cs="Times New Roman" w:eastAsia="Times New Roman" w:hAnsi="Times New Roman"/>
          <w:sz w:val="18"/>
          <w:szCs w:val="18"/>
          <w:color w:val="auto"/>
        </w:rPr>
        <w:t xml:space="preserve"> any such bank with a long-term credit rating of "A-"or "A3 "shall not cease to be eligible to act as Securities Intermediary upon a downward change in either such rating of no more than one category or grade of such minimum rating, as the case may be.</w:t>
      </w:r>
    </w:p>
    <w:p>
      <w:pPr>
        <w:spacing w:after="0" w:line="188" w:lineRule="exact"/>
        <w:rPr>
          <w:rFonts w:ascii="Times New Roman" w:cs="Times New Roman" w:eastAsia="Times New Roman" w:hAnsi="Times New Roman"/>
          <w:sz w:val="18"/>
          <w:szCs w:val="18"/>
          <w:color w:val="auto"/>
        </w:rPr>
      </w:pPr>
    </w:p>
    <w:p>
      <w:pPr>
        <w:ind w:right="80" w:firstLine="359"/>
        <w:spacing w:after="0" w:line="297" w:lineRule="auto"/>
        <w:tabs>
          <w:tab w:leader="none" w:pos="731"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Process of Succession. </w:t>
      </w:r>
      <w:r>
        <w:rPr>
          <w:rFonts w:ascii="Times New Roman" w:cs="Times New Roman" w:eastAsia="Times New Roman" w:hAnsi="Times New Roman"/>
          <w:sz w:val="16"/>
          <w:szCs w:val="16"/>
          <w:color w:val="auto"/>
        </w:rPr>
        <w:t>Upon the appointment of a successor Securities Intermediary and its acceptance of such appointment, the resigning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removed Securities Intermediary shall transfer all items of Collateral held by it to such successor (which items of Collateral shall be transferred to an appropriate new Collateral Account established and maintained by such successor). Following such appointment all references herein to Securities Intermediary shall be deemed a reference to such successor;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the provisions of Section 16(a) hereof shall continue to inure to the benefit of the resigning or removed Securities Intermediary with respect to any actions taken or omitted to be taken by it under this Agreement while it was Securities Intermediary hereunder.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18.</w:t>
      </w:r>
    </w:p>
    <w:p>
      <w:pPr>
        <w:spacing w:after="0" w:line="22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Security Interest; Termination of Obligations of Securities Intermediary. </w:t>
      </w:r>
      <w:r>
        <w:rPr>
          <w:rFonts w:ascii="Times New Roman" w:cs="Times New Roman" w:eastAsia="Times New Roman" w:hAnsi="Times New Roman"/>
          <w:sz w:val="18"/>
          <w:szCs w:val="18"/>
          <w:color w:val="auto"/>
        </w:rPr>
        <w:t>This Agreement shall create a continuing security interest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Collateral and shall (a) remain in full force and effect until the indefeasible payment in full of the Secured Obligations and (b) be binding upon Pledgor, its successors and assigns, and (c) inure, together with the rights and remedies of Secured Party hereunder, to the benefit of Secured Party and the FF&amp;E Lenders and their respective successors, transferees and assigns. Upon the indefeasible payment in full of all Secured Obligations and the cancellation or termination of the commitments under the Loan Agreement, the security interest granted hereby shall terminate and all rights to the Collateral shall revert to Pledgor. Upon any such termination Secured Party shall, at Pledgor's expense, execute and deliver to Pledgor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instruments of transfer, certificates, termination statements and the like as Pledgor shall reasonably request to evidence such termination and Pledgor shall be entitled to the return, upon its request and at its expense, against receipt and without recourse to Secured Party, of such of the Collateral as shall not have been sold or otherwise applied pursuant to the terms hereof. Securities Intermediary shall not be released from its obligations hereunder, and shall continue to maintain any Collateral in accordance with this Agreement, until notified in writing by Secured Party that this Agreement has terminated and so long as Secured Party has not withdrawn such notification.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19.</w:t>
      </w:r>
    </w:p>
    <w:p>
      <w:pPr>
        <w:sectPr>
          <w:pgSz w:w="11900" w:h="16838" w:orient="portrait"/>
          <w:cols w:equalWidth="0" w:num="1">
            <w:col w:w="11400"/>
          </w:cols>
          <w:pgMar w:left="240" w:top="123" w:right="259" w:bottom="0" w:gutter="0" w:footer="0" w:header="0"/>
        </w:sectPr>
      </w:pPr>
    </w:p>
    <w:bookmarkStart w:id="105" w:name="page106"/>
    <w:bookmarkEnd w:id="105"/>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Secured Party as Collateral Agent.</w:t>
      </w:r>
    </w:p>
    <w:p>
      <w:pPr>
        <w:spacing w:after="0" w:line="227" w:lineRule="exact"/>
        <w:rPr>
          <w:sz w:val="20"/>
          <w:szCs w:val="20"/>
          <w:color w:val="auto"/>
        </w:rPr>
      </w:pPr>
    </w:p>
    <w:p>
      <w:pPr>
        <w:jc w:val="both"/>
        <w:ind w:right="260" w:firstLine="359"/>
        <w:spacing w:after="0" w:line="259" w:lineRule="auto"/>
        <w:tabs>
          <w:tab w:leader="none" w:pos="7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Agency. </w:t>
      </w:r>
      <w:r>
        <w:rPr>
          <w:rFonts w:ascii="Times New Roman" w:cs="Times New Roman" w:eastAsia="Times New Roman" w:hAnsi="Times New Roman"/>
          <w:sz w:val="18"/>
          <w:szCs w:val="18"/>
          <w:color w:val="auto"/>
        </w:rPr>
        <w:t>Secured Party has been appointed to act as Secured Party hereunder by the FF&amp;E Lenders pursuant to the Loan Agreement. Secured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the Disbursement Agreement and the Loan Agreement.</w:t>
      </w:r>
    </w:p>
    <w:p>
      <w:pPr>
        <w:spacing w:after="0" w:line="186" w:lineRule="exact"/>
        <w:rPr>
          <w:rFonts w:ascii="Times New Roman" w:cs="Times New Roman" w:eastAsia="Times New Roman" w:hAnsi="Times New Roman"/>
          <w:sz w:val="18"/>
          <w:szCs w:val="18"/>
          <w:color w:val="auto"/>
        </w:rPr>
      </w:pPr>
    </w:p>
    <w:p>
      <w:pPr>
        <w:ind w:right="80" w:firstLine="359"/>
        <w:spacing w:after="0" w:line="252" w:lineRule="auto"/>
        <w:tabs>
          <w:tab w:leader="none" w:pos="73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Identity of Agent. </w:t>
      </w:r>
      <w:r>
        <w:rPr>
          <w:rFonts w:ascii="Times New Roman" w:cs="Times New Roman" w:eastAsia="Times New Roman" w:hAnsi="Times New Roman"/>
          <w:sz w:val="18"/>
          <w:szCs w:val="18"/>
          <w:color w:val="auto"/>
        </w:rPr>
        <w:t>Secured Party shall at all times be the same Person that is the Collateral Agent under the Loan Agreement.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resignations by the Collateral Agent pursuant to Section 11.9 of the Loan Agreement shall also constitute notice of resignation as Secured Party under this Agreement and substitution of a successor collateral agent pursuant to Section 11.9 of the Loan Agreement shall also constitute substitution of a successor Secured Party under this Agreement. Upon the acceptance of any appointment as Collateral Agent under Section 11.9 of the Loan Agreement by a successor Collateral Agent, that successor Collateral Agent shall thereupon succeed to and become vested with all the rights, powers, privileges and duties of the retiring or removed Secured Party under this Agreement, and the retiring or removed Secured Party under this Agreement shall promptly (i) transfer to such successor Secured Party all items of Collateral held by Secured Party (which as appropriate shall be credited to, and held for the credit of, the new Collateral Account established and maintained by such successor Secured Party), together with all records and other documents necessary or appropriate in connection with the performance of the duties of the successor Secured Party under this Agreement, and (ii) execute and deliver to such successor Secured Party such amendments to financing statements, and take such other actions, as may be necessary or appropriate in connection with the assignment to such successor Secured Party of the security interests created hereunder, whereupon such retiring or removed Secured Party shall be discharged from its duties and obligations under this Agreement. After any retiring or removed Collateral Agent's resignation or removal hereunder as Secured Party, the provisions of this Agreement shall inure to its benefit as to any actions taken or omitted to be taken by it under this Agreement while it was Secured Party hereunder.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20.</w:t>
      </w:r>
    </w:p>
    <w:p>
      <w:pPr>
        <w:spacing w:after="0" w:line="223" w:lineRule="exact"/>
        <w:rPr>
          <w:sz w:val="20"/>
          <w:szCs w:val="20"/>
          <w:color w:val="auto"/>
        </w:rPr>
      </w:pPr>
    </w:p>
    <w:p>
      <w:pPr>
        <w:ind w:firstLine="345"/>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Amendments, Etc. </w:t>
      </w:r>
      <w:r>
        <w:rPr>
          <w:rFonts w:ascii="Times New Roman" w:cs="Times New Roman" w:eastAsia="Times New Roman" w:hAnsi="Times New Roman"/>
          <w:sz w:val="18"/>
          <w:szCs w:val="18"/>
          <w:color w:val="auto"/>
        </w:rPr>
        <w:t>No amendment or waiver of any provision of this Agreement, or consent to any departure by any party herefrom, shall in any event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unless the same shall be in writing and signed by the other parties, and then such waiver or consent shall be effective only in the specific instance and for the specific purpose for which it was given.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21.</w:t>
      </w:r>
    </w:p>
    <w:p>
      <w:pPr>
        <w:spacing w:after="0" w:line="223"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w:t>
      </w:r>
      <w:r>
        <w:rPr>
          <w:rFonts w:ascii="Times New Roman" w:cs="Times New Roman" w:eastAsia="Times New Roman" w:hAnsi="Times New Roman"/>
          <w:sz w:val="18"/>
          <w:szCs w:val="18"/>
          <w:color w:val="auto"/>
        </w:rPr>
        <w:t>Any communications between the parties hereto or notices provided herein to be given may be given to the address of the party as set forth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party's name on the signature pages hereof. All notices or other communications required or permitted to be given hereunder shall be in writing and shall be considered as properly given (a) if delivered in person, (b) if sent by a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 xml:space="preserve">receipt by the addressee, except that communication or notice so transmitted by telecopy or other direct written electronic means shall be deemed to have been validly and effectively given on the day (if a Business Day and, if not, on the next following Business Day) on which it is validly transmitted if transmitted before 4 p.m., recipient's time, and if transmitted after that time, on the next following Business Day;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any notice is tendered to an addressee and the delivery thereof is refused by such addressee, such notice shall be effective upon such tender. Any party shall have the right to change its address for notice hereunder to any other location by giving of no less than twenty (20) days' notice to the other parties in the manner set forth hereinabove.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22.</w:t>
      </w:r>
    </w:p>
    <w:p>
      <w:pPr>
        <w:spacing w:after="0" w:line="223" w:lineRule="exact"/>
        <w:rPr>
          <w:sz w:val="20"/>
          <w:szCs w:val="20"/>
          <w:color w:val="auto"/>
        </w:rPr>
      </w:pPr>
    </w:p>
    <w:p>
      <w:pPr>
        <w:jc w:val="both"/>
        <w:ind w:right="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or Indulgence Not Waiver, Remedies Cumulative. </w:t>
      </w:r>
      <w:r>
        <w:rPr>
          <w:rFonts w:ascii="Times New Roman" w:cs="Times New Roman" w:eastAsia="Times New Roman" w:hAnsi="Times New Roman"/>
          <w:sz w:val="18"/>
          <w:szCs w:val="18"/>
          <w:color w:val="auto"/>
        </w:rPr>
        <w:t>No failure or delay on the part of Secured Party in the exercise of any power, right or privilege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hereunder shall impair such power, right or privilege or be construed to be a waiver of any default or acquiescence therein, nor shall any single or partial exercise of any such power, right or privilege preclude any other or further exercise thereof or of any other power, right or privilege. All rights and remedies existing under this Agreement are cumulative to, and not exclusive of, any rights or remedies otherwise available.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23.</w:t>
      </w:r>
    </w:p>
    <w:p>
      <w:pPr>
        <w:spacing w:after="0" w:line="223" w:lineRule="exact"/>
        <w:rPr>
          <w:sz w:val="20"/>
          <w:szCs w:val="20"/>
          <w:color w:val="auto"/>
        </w:rPr>
      </w:pPr>
    </w:p>
    <w:p>
      <w:pPr>
        <w:ind w:right="1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Severability. </w:t>
      </w:r>
      <w:r>
        <w:rPr>
          <w:rFonts w:ascii="Times New Roman" w:cs="Times New Roman" w:eastAsia="Times New Roman" w:hAnsi="Times New Roman"/>
          <w:sz w:val="18"/>
          <w:szCs w:val="18"/>
          <w:color w:val="auto"/>
        </w:rPr>
        <w:t>In case any provision in or obligation under this Agreement shall be invalid, illegal or unenforceable in any jurisdiction, the validity, legality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enforceability of the remaining provisions or obligations, or of such provision or obligation in any other jurisdiction, shall not in any way be affected or impaired thereby.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24.</w:t>
      </w:r>
    </w:p>
    <w:p>
      <w:pPr>
        <w:spacing w:after="0" w:line="223" w:lineRule="exact"/>
        <w:rPr>
          <w:sz w:val="20"/>
          <w:szCs w:val="20"/>
          <w:color w:val="auto"/>
        </w:rPr>
      </w:pPr>
    </w:p>
    <w:p>
      <w:pPr>
        <w:ind w:right="1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Headings. </w:t>
      </w:r>
      <w:r>
        <w:rPr>
          <w:rFonts w:ascii="Times New Roman" w:cs="Times New Roman" w:eastAsia="Times New Roman" w:hAnsi="Times New Roman"/>
          <w:sz w:val="18"/>
          <w:szCs w:val="18"/>
          <w:color w:val="auto"/>
        </w:rPr>
        <w:t>Section and subsection headings in this Agreement are included herein for convenience of reference only and shall not constitute a part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for any other purpose or be given any substantive effect.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25.</w:t>
      </w:r>
    </w:p>
    <w:p>
      <w:pPr>
        <w:spacing w:after="0" w:line="223"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Governing Law. </w:t>
      </w:r>
      <w:r>
        <w:rPr>
          <w:rFonts w:ascii="Times New Roman" w:cs="Times New Roman" w:eastAsia="Times New Roman" w:hAnsi="Times New Roman"/>
          <w:sz w:val="18"/>
          <w:szCs w:val="18"/>
          <w:b w:val="1"/>
          <w:bCs w:val="1"/>
          <w:color w:val="auto"/>
        </w:rPr>
        <w:t>THIS AGREEMENT SHALL BE GOVERNED BY, AND SHALL BE CONSTRUED AND ENFORCED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WITH, THE INTERNAL LAWS OF THE STATE OF NEW YORK, WITHOUT REGARD TO CONFLICTS OF LAWS PRINCIPLES. Securities Intermediary's jurisdiction (within the meaning of Section 9-304 of the Code) shall be the State of New York and to the extent that notwithstanding the intention of the parties, the Collateral Account is a deposit account, the bank's jurisdiction (within the meaning of Section 8-110 of the Code) shall be the State of New York.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26.</w:t>
      </w:r>
    </w:p>
    <w:p>
      <w:pPr>
        <w:spacing w:after="0" w:line="223" w:lineRule="exact"/>
        <w:rPr>
          <w:sz w:val="20"/>
          <w:szCs w:val="20"/>
          <w:color w:val="auto"/>
        </w:rPr>
      </w:pPr>
    </w:p>
    <w:p>
      <w:pPr>
        <w:ind w:right="40" w:firstLine="35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Consent to Jurisdiction and Service of Process. </w:t>
      </w:r>
      <w:r>
        <w:rPr>
          <w:rFonts w:ascii="Times New Roman" w:cs="Times New Roman" w:eastAsia="Times New Roman" w:hAnsi="Times New Roman"/>
          <w:sz w:val="16"/>
          <w:szCs w:val="16"/>
          <w:b w:val="1"/>
          <w:bCs w:val="1"/>
          <w:color w:val="auto"/>
        </w:rPr>
        <w:t>ALL JUDICIAL PROCEEDINGS BROUGHT AGAINST PLEDGOR ARISING OUT OF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RELATING TO THIS AGREEMENT MAY BE BROUGHT IN ANY STATE OR FEDERAL COURT OF COMPETENT JURISDICTION IN THE STATE OF NEW YORK, AND BY EXECUTION AND DELIVERY OF THIS AGREEMENT PLEDGOR ACCEPTS FOR ITSELF AND IN CONNECTION WITH ITS PROPERTIES, GENERALLY AND UNCONDITIONALLY, THE NONEXCLUSIVE JURISDICTION OF THE AFORESAID COURTS AND WAIVES ANY DEFENSE OF FORUM NON CONVENIENS AND IRREVOCABLY AGREES TO BE BOUND BY ANY JUDGMENT RENDERED THEREBY IN CONNECTION WITH THIS AGREEMENT</w:t>
      </w:r>
      <w:r>
        <w:rPr>
          <w:rFonts w:ascii="Times New Roman" w:cs="Times New Roman" w:eastAsia="Times New Roman" w:hAnsi="Times New Roman"/>
          <w:sz w:val="16"/>
          <w:szCs w:val="16"/>
          <w:color w:val="auto"/>
        </w:rPr>
        <w:t>. Pledgor hereby agrees that service of all process in any such</w:t>
      </w:r>
    </w:p>
    <w:p>
      <w:pPr>
        <w:sectPr>
          <w:pgSz w:w="11900" w:h="16838" w:orient="portrait"/>
          <w:cols w:equalWidth="0" w:num="1">
            <w:col w:w="11420"/>
          </w:cols>
          <w:pgMar w:left="240" w:top="121" w:right="239" w:bottom="0" w:gutter="0" w:footer="0" w:header="0"/>
        </w:sectPr>
      </w:pPr>
    </w:p>
    <w:bookmarkStart w:id="106" w:name="page107"/>
    <w:bookmarkEnd w:id="106"/>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proceeding in any such court may be made by registered or certified mail, return receipt requested, to Pledgor at its address provided in Section 21, such service being hereby acknowledged by Pledgor to be sufficient for personal jurisdiction in any action against Pledgor in any such court and to be otherwise effective and binding service in every respect. Nothing herein shall affect the right to serve process in any other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law or shall limit the right of Secured Party to bring proceedings against Pledgor in the courts of any other jurisdiction.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27.</w:t>
      </w:r>
    </w:p>
    <w:p>
      <w:pPr>
        <w:spacing w:after="0" w:line="223" w:lineRule="exact"/>
        <w:rPr>
          <w:sz w:val="20"/>
          <w:szCs w:val="20"/>
          <w:color w:val="auto"/>
        </w:rPr>
      </w:pPr>
    </w:p>
    <w:p>
      <w:pPr>
        <w:ind w:right="20" w:firstLine="34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Waiver of Jury Trial. </w:t>
      </w:r>
      <w:r>
        <w:rPr>
          <w:rFonts w:ascii="Times New Roman" w:cs="Times New Roman" w:eastAsia="Times New Roman" w:hAnsi="Times New Roman"/>
          <w:sz w:val="16"/>
          <w:szCs w:val="16"/>
          <w:b w:val="1"/>
          <w:bCs w:val="1"/>
          <w:color w:val="auto"/>
        </w:rPr>
        <w:t>PLEDGOR, SECURITIES INTERMEDIARY AND SECURED PARTY HEREBY AGREE TO WAIVE THEIR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RESPECTIVE RIGHTS TO A JURY TRIAL OF ANY CLAIM OR CAUSE OF ACTION BASED UPON OR ARISING OUT OF THIS AGREEMENT</w:t>
      </w:r>
      <w:r>
        <w:rPr>
          <w:rFonts w:ascii="Times New Roman" w:cs="Times New Roman" w:eastAsia="Times New Roman" w:hAnsi="Times New Roman"/>
          <w:sz w:val="16"/>
          <w:szCs w:val="16"/>
          <w:color w:val="auto"/>
        </w:rPr>
        <w:t>. The scope of this waiver is intended to be all-encompassing of any and all disputes that may be filed in any court and that relate to the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matter of this transaction, including contract claims, tort claims, breach of duty claims, and all other common law and statutory claims. Pledgor and Secured Party each acknowledge that this waiver is a material inducement for Pledgor and Secured Party to enter into a business relationship, that Pledgor and Secured Party have already relied on this waiver in entering into this Agreement and that each will continue to rely on this waiver in their related future dealings. Pledgor and Secured Party further warrant and represent that each has reviewed this waiver with its legal counsel, and that each knowingly and voluntarily waives its jury trial rights following consultation with legal counsel. </w:t>
      </w:r>
      <w:r>
        <w:rPr>
          <w:rFonts w:ascii="Times New Roman" w:cs="Times New Roman" w:eastAsia="Times New Roman" w:hAnsi="Times New Roman"/>
          <w:sz w:val="16"/>
          <w:szCs w:val="16"/>
          <w:b w:val="1"/>
          <w:bCs w:val="1"/>
          <w:color w:val="auto"/>
        </w:rPr>
        <w:t>THIS WAIVER IS IRREVOCABLE, MEANING THAT IT MAY NOT BE MODIFIED EITHER</w:t>
      </w:r>
    </w:p>
    <w:p>
      <w:pPr>
        <w:spacing w:after="0" w:line="3" w:lineRule="exact"/>
        <w:rPr>
          <w:sz w:val="20"/>
          <w:szCs w:val="20"/>
          <w:color w:val="auto"/>
        </w:rPr>
      </w:pPr>
    </w:p>
    <w:p>
      <w:pPr>
        <w:ind w:right="300"/>
        <w:spacing w:after="0" w:line="323" w:lineRule="auto"/>
        <w:rPr>
          <w:sz w:val="20"/>
          <w:szCs w:val="20"/>
          <w:color w:val="auto"/>
        </w:rPr>
      </w:pPr>
      <w:r>
        <w:rPr>
          <w:rFonts w:ascii="Times New Roman" w:cs="Times New Roman" w:eastAsia="Times New Roman" w:hAnsi="Times New Roman"/>
          <w:sz w:val="16"/>
          <w:szCs w:val="16"/>
          <w:b w:val="1"/>
          <w:bCs w:val="1"/>
          <w:color w:val="auto"/>
        </w:rPr>
        <w:t>ORALLY OR IN WRITING, AND THIS WAIVER SHALL APPLY TO ANY SUBSEQUENT AMENDMENTS, RENEWALS, SUPPLEMENTS OR MODIFICATIONS TO THIS AGREEMENT</w:t>
      </w:r>
      <w:r>
        <w:rPr>
          <w:rFonts w:ascii="Times New Roman" w:cs="Times New Roman" w:eastAsia="Times New Roman" w:hAnsi="Times New Roman"/>
          <w:sz w:val="16"/>
          <w:szCs w:val="16"/>
          <w:color w:val="auto"/>
        </w:rPr>
        <w:t>. In the event of litigation, this Agreement may be filed as a written consent to a trial by the court.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28.</w:t>
      </w:r>
    </w:p>
    <w:p>
      <w:pPr>
        <w:spacing w:after="0" w:line="223" w:lineRule="exact"/>
        <w:rPr>
          <w:sz w:val="20"/>
          <w:szCs w:val="20"/>
          <w:color w:val="auto"/>
        </w:rPr>
      </w:pPr>
    </w:p>
    <w:p>
      <w:pPr>
        <w:ind w:right="4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Counterparts. </w:t>
      </w:r>
      <w:r>
        <w:rPr>
          <w:rFonts w:ascii="Times New Roman" w:cs="Times New Roman" w:eastAsia="Times New Roman" w:hAnsi="Times New Roman"/>
          <w:sz w:val="16"/>
          <w:szCs w:val="16"/>
          <w:color w:val="auto"/>
        </w:rPr>
        <w:t>This Agreement may be executed in one or more counterparts and by different parties hereto in separate counterparts, each of which when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29.</w:t>
      </w:r>
    </w:p>
    <w:p>
      <w:pPr>
        <w:spacing w:after="0" w:line="223" w:lineRule="exact"/>
        <w:rPr>
          <w:sz w:val="20"/>
          <w:szCs w:val="20"/>
          <w:color w:val="auto"/>
        </w:rPr>
      </w:pPr>
    </w:p>
    <w:p>
      <w:pPr>
        <w:ind w:right="8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Secured Party's Representative. </w:t>
      </w:r>
      <w:r>
        <w:rPr>
          <w:rFonts w:ascii="Times New Roman" w:cs="Times New Roman" w:eastAsia="Times New Roman" w:hAnsi="Times New Roman"/>
          <w:sz w:val="16"/>
          <w:szCs w:val="16"/>
          <w:color w:val="auto"/>
        </w:rPr>
        <w:t>The Secured Party hereby authorizes the entity from time to time acting as the Disbursement Agent under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Disbursement Agreement to, from time to time, act on its behalf hereunder. Until the Secured Party notifies Securities Intermediary and Pledgor to the contrary, any such Disbursement Agent shall be a "representative" (as defined in Section 1-201(35) of the Code) of the Secured Party and, as such, any Entitlement Orders or other instructions or actions issued or taken by such Disbursement Agent hereunder shall be as effective as if issued or taken directly by the Secured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set forth above.</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PLEDGOR:</w:t>
      </w:r>
    </w:p>
    <w:p>
      <w:pPr>
        <w:spacing w:after="0" w:line="2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Wynn Resorts Holdings, LLC,</w:t>
            </w:r>
          </w:p>
        </w:tc>
        <w:tc>
          <w:tcPr>
            <w:tcW w:w="31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6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3140" w:type="dxa"/>
            <w:vAlign w:val="bottom"/>
          </w:tcPr>
          <w:p>
            <w:pPr>
              <w:spacing w:after="0"/>
              <w:rPr>
                <w:sz w:val="18"/>
                <w:szCs w:val="18"/>
                <w:color w:val="auto"/>
              </w:rPr>
            </w:pPr>
          </w:p>
        </w:tc>
      </w:tr>
      <w:tr>
        <w:trPr>
          <w:trHeight w:val="228"/>
        </w:trPr>
        <w:tc>
          <w:tcPr>
            <w:tcW w:w="760" w:type="dxa"/>
            <w:vAlign w:val="bottom"/>
          </w:tcPr>
          <w:p>
            <w:pPr>
              <w:spacing w:after="0"/>
              <w:rPr>
                <w:sz w:val="19"/>
                <w:szCs w:val="19"/>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its sole member</w:t>
            </w: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20"/>
        </w:trPr>
        <w:tc>
          <w:tcPr>
            <w:tcW w:w="760" w:type="dxa"/>
            <w:vAlign w:val="bottom"/>
          </w:tcPr>
          <w:p>
            <w:pPr>
              <w:spacing w:after="0"/>
              <w:rPr>
                <w:sz w:val="24"/>
                <w:szCs w:val="24"/>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3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Valvino Lamore, LLC,</w:t>
            </w:r>
          </w:p>
        </w:tc>
        <w:tc>
          <w:tcPr>
            <w:tcW w:w="31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3140" w:type="dxa"/>
            <w:vAlign w:val="bottom"/>
          </w:tcPr>
          <w:p>
            <w:pPr>
              <w:spacing w:after="0"/>
              <w:rPr>
                <w:sz w:val="18"/>
                <w:szCs w:val="18"/>
                <w:color w:val="auto"/>
              </w:rPr>
            </w:pPr>
          </w:p>
        </w:tc>
      </w:tr>
      <w:tr>
        <w:trPr>
          <w:trHeight w:val="228"/>
        </w:trPr>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its sole member</w:t>
            </w:r>
          </w:p>
        </w:tc>
        <w:tc>
          <w:tcPr>
            <w:tcW w:w="3140" w:type="dxa"/>
            <w:vAlign w:val="bottom"/>
          </w:tcPr>
          <w:p>
            <w:pPr>
              <w:spacing w:after="0"/>
              <w:rPr>
                <w:sz w:val="19"/>
                <w:szCs w:val="19"/>
                <w:color w:val="auto"/>
              </w:rPr>
            </w:pPr>
          </w:p>
        </w:tc>
      </w:tr>
      <w:tr>
        <w:trPr>
          <w:trHeight w:val="420"/>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Wynn Resorts, Limited,</w:t>
            </w:r>
          </w:p>
        </w:tc>
        <w:tc>
          <w:tcPr>
            <w:tcW w:w="31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Nevada corporation,</w:t>
            </w:r>
          </w:p>
        </w:tc>
        <w:tc>
          <w:tcPr>
            <w:tcW w:w="3140" w:type="dxa"/>
            <w:vAlign w:val="bottom"/>
          </w:tcPr>
          <w:p>
            <w:pPr>
              <w:spacing w:after="0"/>
              <w:rPr>
                <w:sz w:val="18"/>
                <w:szCs w:val="18"/>
                <w:color w:val="auto"/>
              </w:rPr>
            </w:pPr>
          </w:p>
        </w:tc>
      </w:tr>
      <w:tr>
        <w:trPr>
          <w:trHeight w:val="228"/>
        </w:trPr>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its managing member</w:t>
            </w:r>
          </w:p>
        </w:tc>
        <w:tc>
          <w:tcPr>
            <w:tcW w:w="3140" w:type="dxa"/>
            <w:vAlign w:val="bottom"/>
          </w:tcPr>
          <w:p>
            <w:pPr>
              <w:spacing w:after="0"/>
              <w:rPr>
                <w:sz w:val="19"/>
                <w:szCs w:val="19"/>
                <w:color w:val="auto"/>
              </w:rPr>
            </w:pPr>
          </w:p>
        </w:tc>
      </w:tr>
      <w:tr>
        <w:trPr>
          <w:trHeight w:val="432"/>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spacing w:after="0"/>
              <w:rPr>
                <w:sz w:val="24"/>
                <w:szCs w:val="24"/>
                <w:color w:val="auto"/>
              </w:rPr>
            </w:pPr>
          </w:p>
        </w:tc>
      </w:tr>
      <w:tr>
        <w:trPr>
          <w:trHeight w:val="120"/>
        </w:trPr>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319"/>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3140" w:type="dxa"/>
            <w:vAlign w:val="bottom"/>
          </w:tcPr>
          <w:p>
            <w:pPr>
              <w:spacing w:after="0"/>
              <w:rPr>
                <w:sz w:val="24"/>
                <w:szCs w:val="24"/>
                <w:color w:val="auto"/>
              </w:rPr>
            </w:pPr>
          </w:p>
        </w:tc>
      </w:tr>
      <w:tr>
        <w:trPr>
          <w:trHeight w:val="120"/>
        </w:trPr>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319"/>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3140" w:type="dxa"/>
            <w:vAlign w:val="bottom"/>
          </w:tcPr>
          <w:p>
            <w:pPr>
              <w:spacing w:after="0"/>
              <w:rPr>
                <w:sz w:val="24"/>
                <w:szCs w:val="24"/>
                <w:color w:val="auto"/>
              </w:rPr>
            </w:pPr>
          </w:p>
        </w:tc>
      </w:tr>
      <w:tr>
        <w:trPr>
          <w:trHeight w:val="120"/>
        </w:trPr>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523"/>
        </w:trPr>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Notice Address</w:t>
            </w:r>
          </w:p>
        </w:tc>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Wynn Las Vegas, LLC</w:t>
            </w:r>
          </w:p>
        </w:tc>
      </w:tr>
      <w:tr>
        <w:trPr>
          <w:trHeight w:val="228"/>
        </w:trPr>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3145 Las Vegas Boulevard South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-1074420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-1074420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-782955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-491490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Attn: Ron Kramer</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Telephone No.: (702) 733-4123</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Facsimile No.: (702) 791-0167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81280</wp:posOffset>
            </wp:positionV>
            <wp:extent cx="243967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7" w:name="page108"/>
    <w:bookmarkEnd w:id="107"/>
    <w:p>
      <w:pPr>
        <w:ind w:left="2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Address:</w:t>
            </w: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Wynn Las Vegas Capital Corp.</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5"/>
              </w:rPr>
              <w:t>3145 Las Vegas Boulevard South</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Attn: Ron Kramer</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Telephone No.: (702) 733-4123</w:t>
            </w:r>
          </w:p>
        </w:tc>
      </w:tr>
      <w:tr>
        <w:trPr>
          <w:trHeight w:val="228"/>
        </w:trPr>
        <w:tc>
          <w:tcPr>
            <w:tcW w:w="1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Facsimile No.: (702) 791-0167</w:t>
            </w:r>
          </w:p>
        </w:tc>
      </w:tr>
      <w:tr>
        <w:trPr>
          <w:trHeight w:val="42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DESIGN &amp; DEVELOPMENT, LLC,</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0"/>
        </w:trPr>
        <w:tc>
          <w:tcPr>
            <w:tcW w:w="126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r>
      <w:tr>
        <w:trPr>
          <w:trHeight w:val="31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0"/>
        </w:trPr>
        <w:tc>
          <w:tcPr>
            <w:tcW w:w="126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r>
      <w:tr>
        <w:trPr>
          <w:trHeight w:val="31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0"/>
        </w:trPr>
        <w:tc>
          <w:tcPr>
            <w:tcW w:w="126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r>
      <w:tr>
        <w:trPr>
          <w:trHeight w:val="52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Address:</w:t>
            </w: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Wynn Design &amp; Development</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5"/>
              </w:rPr>
              <w:t>3145 Las Vegas Boulevard South</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Attn: Kenneth Wynn</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Attn: Todd Nisbet</w:t>
            </w: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Telephone No.: (702) 733-4497</w:t>
            </w:r>
          </w:p>
        </w:tc>
      </w:tr>
      <w:tr>
        <w:trPr>
          <w:trHeight w:val="228"/>
        </w:trPr>
        <w:tc>
          <w:tcPr>
            <w:tcW w:w="1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Facsimile No.: (702) 733-4715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-1760220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-1760220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-1468755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-1468755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-1177290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-1177290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WELLS FARGO BANK NEVADA, NATIONAL ASSOCIATION,</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not in its individual capacity, but solely as Collateral Agent under</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Loan Agreement</w:t>
      </w:r>
    </w:p>
    <w:p>
      <w:pPr>
        <w:spacing w:after="0" w:line="21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39670" cy="215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235585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Notice Address: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SECURITIES INTERMEDIARY:</w:t>
      </w:r>
    </w:p>
    <w:p>
      <w:pPr>
        <w:spacing w:after="0" w:line="2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as Securities Intermediary</w:t>
      </w:r>
    </w:p>
    <w:p>
      <w:pPr>
        <w:spacing w:after="0" w:line="21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81280</wp:posOffset>
            </wp:positionV>
            <wp:extent cx="243967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396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81280</wp:posOffset>
            </wp:positionV>
            <wp:extent cx="32626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62630" cy="2159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372745</wp:posOffset>
            </wp:positionV>
            <wp:extent cx="32626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62630" cy="2159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664845</wp:posOffset>
            </wp:positionV>
            <wp:extent cx="32626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62630" cy="2159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956310</wp:posOffset>
            </wp:positionV>
            <wp:extent cx="32626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62630" cy="2159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1247775</wp:posOffset>
            </wp:positionV>
            <wp:extent cx="32626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62630" cy="2159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1539240</wp:posOffset>
            </wp:positionV>
            <wp:extent cx="32626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62630" cy="215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1693545</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ATTACHMENT 1</w:t>
      </w:r>
    </w:p>
    <w:p>
      <w:pPr>
        <w:sectPr>
          <w:pgSz w:w="11900" w:h="16838" w:orient="portrait"/>
          <w:cols w:equalWidth="0" w:num="1">
            <w:col w:w="10220"/>
          </w:cols>
          <w:pgMar w:left="1440" w:top="341" w:right="239" w:bottom="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color w:val="auto"/>
        </w:rPr>
        <w:t>[FORM OF PROHIBITION NOTICE]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Letterhead of Secured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of notice]</w:t>
      </w:r>
    </w:p>
    <w:p>
      <w:pPr>
        <w:spacing w:after="0" w:line="2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218440</wp:posOffset>
            </wp:positionV>
            <wp:extent cx="250825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08250" cy="215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510540</wp:posOffset>
            </wp:positionV>
            <wp:extent cx="250825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08250" cy="215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802005</wp:posOffset>
            </wp:positionV>
            <wp:extent cx="250825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08250" cy="215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1093470</wp:posOffset>
            </wp:positionV>
            <wp:extent cx="250825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20" w:hanging="712"/>
        <w:spacing w:after="0"/>
        <w:tabs>
          <w:tab w:leader="none" w:pos="7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LLC</w:t>
      </w:r>
    </w:p>
    <w:p>
      <w:pPr>
        <w:spacing w:after="0" w:line="21" w:lineRule="exact"/>
        <w:rPr>
          <w:rFonts w:ascii="Times New Roman" w:cs="Times New Roman" w:eastAsia="Times New Roman" w:hAnsi="Times New Roman"/>
          <w:sz w:val="18"/>
          <w:szCs w:val="18"/>
          <w:color w:val="auto"/>
        </w:rPr>
      </w:pPr>
    </w:p>
    <w:p>
      <w:pPr>
        <w:ind w:left="720" w:right="8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Wynn Resorts Holdings, LLC 3145 Las Vegas Boulevard South Las Vegas, Nevada 89109 Attn: Ron Kramer</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c/o Wynn Resorts Holdings, LLC 3145 Las Vegas Boulevard South Las Vegas, Nevada 89109 Attn: Ron Kramer</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Design &amp; Development c/o Wynn Resorts Holdings, LLC 3145 Las Vegas Boulevard South Las Vegas, Nevada 89109 Attn: Kenneth Wynn</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Todd Nisbet</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733-4715</w:t>
      </w:r>
    </w:p>
    <w:p>
      <w:pPr>
        <w:sectPr>
          <w:pgSz w:w="11900" w:h="16838" w:orient="portrait"/>
          <w:cols w:equalWidth="0" w:num="1">
            <w:col w:w="11420"/>
          </w:cols>
          <w:pgMar w:left="240" w:top="125" w:right="239" w:bottom="923" w:gutter="0" w:footer="0" w:header="0"/>
        </w:sectPr>
      </w:pPr>
    </w:p>
    <w:p>
      <w:pPr>
        <w:spacing w:after="0" w:line="21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Prohibition Notice under that Certain Local FF&amp;E</w:t>
      </w:r>
    </w:p>
    <w:p>
      <w:pPr>
        <w:spacing w:after="0" w:line="46"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i w:val="1"/>
          <w:iCs w:val="1"/>
          <w:color w:val="auto"/>
        </w:rPr>
        <w:t>Collateral Account Agreement/[</w:t>
      </w:r>
      <w:r>
        <w:rPr>
          <w:sz w:val="20"/>
          <w:szCs w:val="20"/>
          <w:color w:val="auto"/>
        </w:rPr>
        <w:tab/>
      </w:r>
      <w:r>
        <w:rPr>
          <w:rFonts w:ascii="Times New Roman" w:cs="Times New Roman" w:eastAsia="Times New Roman" w:hAnsi="Times New Roman"/>
          <w:sz w:val="15"/>
          <w:szCs w:val="15"/>
          <w:i w:val="1"/>
          <w:iCs w:val="1"/>
          <w:color w:val="auto"/>
        </w:rPr>
        <w:t>]</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 xml:space="preserve">Account Number </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ectPr>
          <w:pgSz w:w="11900" w:h="16838" w:orient="portrait"/>
          <w:cols w:equalWidth="0" w:num="2">
            <w:col w:w="2320" w:space="340"/>
            <w:col w:w="8760"/>
          </w:cols>
          <w:pgMar w:left="240" w:top="125" w:right="239" w:bottom="923"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Pursuant to the Local FF&amp;E Collateral Account Agreement dated as of October , 2002 ("Local FF&amp;E Collateral Account Agreement") among Wells Fargo Bank Nevada, National Association, not in its individual capacity, but solely as Collateral Agent under the Loan Agreement, as Secured Party, certain Pledgors and Securities Intermediary, we hereby give you this Prohibition Notice and notify you of the commencement of a Suspension Period. Until further notice from the undersigned substantially in the form of Attachment 2 to the Local FF&amp;E Collateral Account Agreement, Securities Intermediary shall not accept or follow instructions from Pledgor pursuant to Section 4(b) of the Local FF&amp;E Collateral Account Agreement.</w:t>
      </w:r>
    </w:p>
    <w:p>
      <w:pPr>
        <w:spacing w:after="0" w:line="1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Capitalized terms used and not otherwise defined in this notice are used with their respective meanings in the Local FF&amp;E Collateral Account Agreement.</w:t>
      </w:r>
    </w:p>
    <w:p>
      <w:pPr>
        <w:spacing w:after="0" w:line="2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Yours truly,</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9147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ATTACHMENT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RESCISSION OF PROHIBITION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Secured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of notice]</w:t>
      </w:r>
    </w:p>
    <w:p>
      <w:pPr>
        <w:spacing w:after="0" w:line="2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218440</wp:posOffset>
            </wp:positionV>
            <wp:extent cx="250825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08250" cy="215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510540</wp:posOffset>
            </wp:positionV>
            <wp:extent cx="250825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08250" cy="215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802005</wp:posOffset>
            </wp:positionV>
            <wp:extent cx="250825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ectPr>
          <w:pgSz w:w="11900" w:h="16838" w:orient="portrait"/>
          <w:cols w:equalWidth="0" w:num="1">
            <w:col w:w="11420"/>
          </w:cols>
          <w:pgMar w:left="240" w:top="125" w:right="239" w:bottom="923" w:gutter="0" w:footer="0" w:header="0"/>
          <w:type w:val="continuous"/>
        </w:sectPr>
      </w:pPr>
    </w:p>
    <w:bookmarkStart w:id="109" w:name="page110"/>
    <w:bookmarkEnd w:id="109"/>
    <w:p>
      <w:pPr>
        <w:ind w:left="720" w:hanging="712"/>
        <w:spacing w:after="0"/>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610235</wp:posOffset>
            </wp:positionH>
            <wp:positionV relativeFrom="page">
              <wp:posOffset>318135</wp:posOffset>
            </wp:positionV>
            <wp:extent cx="250825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08250" cy="21590"/>
                    </a:xfrm>
                    <a:prstGeom prst="rect">
                      <a:avLst/>
                    </a:prstGeom>
                    <a:noFill/>
                  </pic:spPr>
                </pic:pic>
              </a:graphicData>
            </a:graphic>
          </wp:anchor>
        </w:drawing>
        <w:t>Wynn Las Vegas, LLC</w:t>
      </w:r>
    </w:p>
    <w:p>
      <w:pPr>
        <w:spacing w:after="0" w:line="21" w:lineRule="exact"/>
        <w:rPr>
          <w:rFonts w:ascii="Times New Roman" w:cs="Times New Roman" w:eastAsia="Times New Roman" w:hAnsi="Times New Roman"/>
          <w:sz w:val="18"/>
          <w:szCs w:val="18"/>
          <w:color w:val="auto"/>
        </w:rPr>
      </w:pPr>
    </w:p>
    <w:p>
      <w:pPr>
        <w:ind w:left="720" w:right="8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Wynn Resorts Holdings, LLC 3145 Las Vegas Boulevard South Las Vegas, Nevada 89109 Attn: Ron Kramer</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c/o Wynn Resorts Holdings, LLC 3145 Las Vegas Boulevard South Las Vegas, Nevada 89109 Attn: Ron Kramer</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791-0167</w:t>
      </w:r>
    </w:p>
    <w:p>
      <w:pPr>
        <w:spacing w:after="0" w:line="212" w:lineRule="exact"/>
        <w:rPr>
          <w:rFonts w:ascii="Times New Roman" w:cs="Times New Roman" w:eastAsia="Times New Roman" w:hAnsi="Times New Roman"/>
          <w:sz w:val="18"/>
          <w:szCs w:val="18"/>
          <w:color w:val="auto"/>
        </w:rPr>
      </w:pPr>
    </w:p>
    <w:p>
      <w:pPr>
        <w:ind w:left="720" w:right="8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Design &amp; Development c/o Wynn Resorts Holdings, LLC 3145 Las Vegas Boulevard South Las Vegas, Nevada 89109 Attn: Kenneth Wynn</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Todd Nisbet</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(702) 733-4715</w:t>
      </w:r>
    </w:p>
    <w:p>
      <w:pPr>
        <w:sectPr>
          <w:pgSz w:w="11900" w:h="16838" w:orient="portrait"/>
          <w:cols w:equalWidth="0" w:num="1">
            <w:col w:w="11420"/>
          </w:cols>
          <w:pgMar w:left="240" w:top="841" w:right="239" w:bottom="1440" w:gutter="0" w:footer="0" w:header="0"/>
        </w:sectPr>
      </w:pPr>
    </w:p>
    <w:p>
      <w:pPr>
        <w:spacing w:after="0" w:line="21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800"/>
        <w:spacing w:after="0" w:line="277" w:lineRule="auto"/>
        <w:rPr>
          <w:sz w:val="20"/>
          <w:szCs w:val="20"/>
          <w:color w:val="auto"/>
        </w:rPr>
      </w:pPr>
      <w:r>
        <w:rPr>
          <w:rFonts w:ascii="Times New Roman" w:cs="Times New Roman" w:eastAsia="Times New Roman" w:hAnsi="Times New Roman"/>
          <w:sz w:val="18"/>
          <w:szCs w:val="18"/>
          <w:i w:val="1"/>
          <w:iCs w:val="1"/>
          <w:color w:val="auto"/>
        </w:rPr>
        <w:t>Rescission of Prohibition Notice under that Certain Local FF&amp;E Collateral Account Agreement/</w:t>
      </w:r>
      <w:r>
        <w:rPr>
          <w:rFonts w:ascii="Times New Roman" w:cs="Times New Roman" w:eastAsia="Times New Roman" w:hAnsi="Times New Roman"/>
          <w:sz w:val="18"/>
          <w:szCs w:val="18"/>
          <w:b w:val="1"/>
          <w:bCs w:val="1"/>
          <w:i w:val="1"/>
          <w:iCs w:val="1"/>
          <w:color w:val="auto"/>
        </w:rPr>
        <w:t>[ ]</w:t>
      </w:r>
      <w:r>
        <w:rPr>
          <w:rFonts w:ascii="Times New Roman" w:cs="Times New Roman" w:eastAsia="Times New Roman" w:hAnsi="Times New Roman"/>
          <w:sz w:val="18"/>
          <w:szCs w:val="18"/>
          <w:i w:val="1"/>
          <w:iCs w:val="1"/>
          <w:color w:val="auto"/>
        </w:rPr>
        <w:t xml:space="preserve"> Account Number </w:t>
      </w:r>
      <w:r>
        <w:rPr>
          <w:rFonts w:ascii="Times New Roman" w:cs="Times New Roman" w:eastAsia="Times New Roman" w:hAnsi="Times New Roman"/>
          <w:sz w:val="18"/>
          <w:szCs w:val="18"/>
          <w:b w:val="1"/>
          <w:bCs w:val="1"/>
          <w:i w:val="1"/>
          <w:iCs w:val="1"/>
          <w:color w:val="auto"/>
        </w:rPr>
        <w:t>[ ]</w:t>
      </w:r>
    </w:p>
    <w:p>
      <w:pPr>
        <w:spacing w:after="0" w:line="172" w:lineRule="exact"/>
        <w:rPr>
          <w:sz w:val="20"/>
          <w:szCs w:val="20"/>
          <w:color w:val="auto"/>
        </w:rPr>
      </w:pPr>
    </w:p>
    <w:p>
      <w:pPr>
        <w:sectPr>
          <w:pgSz w:w="11900" w:h="16838" w:orient="portrait"/>
          <w:cols w:equalWidth="0" w:num="2">
            <w:col w:w="2320" w:space="340"/>
            <w:col w:w="8760"/>
          </w:cols>
          <w:pgMar w:left="240" w:top="84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Pursuant to the Local FF&amp;E Collateral Account Agreement dated as of October</w:t>
      </w:r>
      <w:r>
        <w:rPr>
          <w:sz w:val="20"/>
          <w:szCs w:val="20"/>
          <w:color w:val="auto"/>
        </w:rPr>
        <w:tab/>
      </w:r>
      <w:r>
        <w:rPr>
          <w:rFonts w:ascii="Times New Roman" w:cs="Times New Roman" w:eastAsia="Times New Roman" w:hAnsi="Times New Roman"/>
          <w:sz w:val="16"/>
          <w:szCs w:val="16"/>
          <w:color w:val="auto"/>
        </w:rPr>
        <w:t>, 2002 ("Local FF&amp;E Collateral Account Agreement") among Wells Fargo</w:t>
      </w:r>
    </w:p>
    <w:p>
      <w:pPr>
        <w:sectPr>
          <w:pgSz w:w="11900" w:h="16838" w:orient="portrait"/>
          <w:cols w:equalWidth="0" w:num="1">
            <w:col w:w="11420"/>
          </w:cols>
          <w:pgMar w:left="240" w:top="841" w:right="239" w:bottom="1440" w:gutter="0" w:footer="0" w:header="0"/>
          <w:type w:val="continuous"/>
        </w:sectPr>
      </w:pPr>
    </w:p>
    <w:p>
      <w:pPr>
        <w:spacing w:after="0" w:line="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Bank Nevada, National Association, not in its individual capacity, but solely as Collateral Agent under the Loan Agreement, as Secured Party, certain Pledgors and Securities Intermediary, we hereby notify you of the rescission by Secured Party of the Prohibition Notice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date of Prohibition Notice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end of the related Suspension Period. You are hereby instructed that, until receipt of a new Prohibition Notice, you shall accept and follow written instructions from Pledgor pursuant to Section 4(b) of the Local FF&amp;E Collateral Account Agreement.</w:t>
      </w:r>
    </w:p>
    <w:p>
      <w:pPr>
        <w:spacing w:after="0" w:line="19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Capitalized terms used and not otherwise defined in this notice are used with their respective meanings in the Local FF&amp;E Collateral Account Agreement.</w:t>
      </w:r>
    </w:p>
    <w:p>
      <w:pPr>
        <w:spacing w:after="0" w:line="2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Yours truly,</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81280</wp:posOffset>
            </wp:positionV>
            <wp:extent cx="391477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9147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Local FF&amp;E Collateral Account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Exhibit 10.1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TABLE OF CONTENTS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EXHIBITS</w:t>
        </w:r>
      </w:hyperlink>
    </w:p>
    <w:p>
      <w:pPr>
        <w:spacing w:after="0" w:line="213"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Exhibit 10.1</w:t>
        </w:r>
      </w:hyperlink>
    </w:p>
    <w:p>
      <w:pPr>
        <w:spacing w:after="0" w:line="225"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Exhibit J to Disbursement Agreement</w:t>
        </w:r>
      </w:hyperlink>
    </w:p>
    <w:p>
      <w:pPr>
        <w:sectPr>
          <w:pgSz w:w="11900" w:h="16838" w:orient="portrait"/>
          <w:cols w:equalWidth="0" w:num="1">
            <w:col w:w="11420"/>
          </w:cols>
          <w:pgMar w:left="240" w:top="841" w:right="239" w:bottom="1440" w:gutter="0" w:footer="0" w:header="0"/>
          <w:type w:val="continuous"/>
        </w:sectPr>
      </w:pPr>
    </w:p>
    <w:bookmarkStart w:id="110" w:name="page111"/>
    <w:bookmarkEnd w:id="110"/>
    <w:p>
      <w:pPr>
        <w:spacing w:after="0"/>
        <w:rPr>
          <w:rFonts w:ascii="Times New Roman" w:cs="Times New Roman" w:eastAsia="Times New Roman" w:hAnsi="Times New Roman"/>
          <w:sz w:val="22"/>
          <w:szCs w:val="22"/>
          <w:color w:val="0000EE"/>
        </w:rPr>
      </w:pPr>
      <w:hyperlink w:anchor="page11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TO LOAN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Dated as of December 3, 2002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respect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322580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TO LOAN AGREEMENT</w:t>
      </w:r>
    </w:p>
    <w:p>
      <w:pPr>
        <w:spacing w:after="0" w:line="211"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AMENDMENT TO LOAN AGREEMENT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dated as of December 3, 2002 is among Wynn Las Vegas, LLC, a Nevada limited liability company(the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xml:space="preserve">), Wells Fargo Bank Nevada, National Association, a national banking association, not in its individual capacity (except as specifically set forth herein), but solely as collateral agent (the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xml:space="preserve">), and each of the Persons listed on the signature pages hereto as a Lender (each, a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right="20" w:firstLine="349"/>
        <w:spacing w:after="0" w:line="262"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the Collateral Agent, and the Lenders have heretofore entered into that certain Loan Agreement (as amended, supplemented or otherwise modified from time to time, the </w:t>
      </w:r>
      <w:r>
        <w:rPr>
          <w:rFonts w:ascii="Times New Roman" w:cs="Times New Roman" w:eastAsia="Times New Roman" w:hAnsi="Times New Roman"/>
          <w:sz w:val="18"/>
          <w:szCs w:val="18"/>
          <w:i w:val="1"/>
          <w:iCs w:val="1"/>
          <w:color w:val="auto"/>
        </w:rPr>
        <w:t>"Loan Agreement"</w:t>
      </w:r>
      <w:r>
        <w:rPr>
          <w:rFonts w:ascii="Times New Roman" w:cs="Times New Roman" w:eastAsia="Times New Roman" w:hAnsi="Times New Roman"/>
          <w:sz w:val="18"/>
          <w:szCs w:val="18"/>
          <w:color w:val="auto"/>
        </w:rPr>
        <w:t>) dated as of October 30, 2002. Capitalized terms used, but not otherwise defined in this Amendment, shall have those meanings assigned to such terms in Appendix 1 to the Loan Agreement, as amended by this Amendment.</w:t>
      </w:r>
    </w:p>
    <w:p>
      <w:pPr>
        <w:spacing w:after="0" w:line="186"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desire to amend the Loan Agreement.</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good and valuable consideration the receipt and sufficiency of which is hereby acknowledged, the parties hereto do hereby agree as follows:</w:t>
      </w:r>
    </w:p>
    <w:p>
      <w:pPr>
        <w:spacing w:after="0" w:line="1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6"/>
          <w:szCs w:val="16"/>
          <w:color w:val="auto"/>
        </w:rPr>
        <w:t>AMENDMENTS TO LOAN AGREEMENT.</w:t>
      </w:r>
    </w:p>
    <w:p>
      <w:pPr>
        <w:spacing w:after="0" w:line="223"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Section 1.1.</w:t>
      </w:r>
      <w:r>
        <w:rPr>
          <w:sz w:val="20"/>
          <w:szCs w:val="20"/>
          <w:color w:val="auto"/>
        </w:rPr>
        <w:tab/>
      </w:r>
      <w:r>
        <w:rPr>
          <w:rFonts w:ascii="Times New Roman" w:cs="Times New Roman" w:eastAsia="Times New Roman" w:hAnsi="Times New Roman"/>
          <w:sz w:val="16"/>
          <w:szCs w:val="16"/>
          <w:color w:val="auto"/>
        </w:rPr>
        <w:t>Section 7.1(d) of the Loan Agreement shall be and is hereby amended in its entirety to read as follows:</w:t>
      </w:r>
    </w:p>
    <w:p>
      <w:pPr>
        <w:spacing w:after="0" w:line="225" w:lineRule="exact"/>
        <w:rPr>
          <w:sz w:val="20"/>
          <w:szCs w:val="20"/>
          <w:color w:val="auto"/>
        </w:rPr>
      </w:pPr>
    </w:p>
    <w:p>
      <w:pPr>
        <w:ind w:left="540"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Maintenance of Net Worth.</w:t>
      </w:r>
      <w:r>
        <w:rPr>
          <w:rFonts w:ascii="Times New Roman" w:cs="Times New Roman" w:eastAsia="Times New Roman" w:hAnsi="Times New Roman"/>
          <w:sz w:val="18"/>
          <w:szCs w:val="18"/>
          <w:color w:val="auto"/>
        </w:rPr>
        <w:t xml:space="preserve"> Permit the Consolidated Net Worth of the Borrower (i) at the first Quarterly Date to be less than the sum of (such sum, the </w:t>
      </w:r>
      <w:r>
        <w:rPr>
          <w:rFonts w:ascii="Times New Roman" w:cs="Times New Roman" w:eastAsia="Times New Roman" w:hAnsi="Times New Roman"/>
          <w:sz w:val="18"/>
          <w:szCs w:val="18"/>
          <w:i w:val="1"/>
          <w:iCs w:val="1"/>
          <w:color w:val="auto"/>
        </w:rPr>
        <w:t>"Required First Quarter Net Worth"</w:t>
      </w:r>
      <w:r>
        <w:rPr>
          <w:rFonts w:ascii="Times New Roman" w:cs="Times New Roman" w:eastAsia="Times New Roman" w:hAnsi="Times New Roman"/>
          <w:sz w:val="18"/>
          <w:szCs w:val="18"/>
          <w:color w:val="auto"/>
        </w:rPr>
        <w:t>) $900,000,000 and (x) if Consolidated Net Income of the Borrower from the Document Closing Date through the first Quarterly Date is less than or equal to zero, 100% of such negative amount of such Consolidated Net Income or (y) if Consolidated Net Income from the Document Closing Date through the first Quarterly Date is greater than zero, 75% of the positive amount of such Consolidated Net Income and (ii) at any Quarterly Date subsequent to the first Quarterly Date to be less than the sum of the Required First Quarter Net Worth plus an amount equal to the sum of 75% of Consolidated Net Income of the Borrower for each fiscal quarter ending after the first Quarterly Date through such Quarterly Date."</w:t>
      </w:r>
    </w:p>
    <w:p>
      <w:pPr>
        <w:spacing w:after="0" w:line="189"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1.2. </w:t>
      </w:r>
      <w:r>
        <w:rPr>
          <w:rFonts w:ascii="Times New Roman" w:cs="Times New Roman" w:eastAsia="Times New Roman" w:hAnsi="Times New Roman"/>
          <w:sz w:val="18"/>
          <w:szCs w:val="18"/>
          <w:color w:val="auto"/>
        </w:rPr>
        <w:t>Section 7.8(e) of the Loan Agreement shall be and is hereby amended by deleting "Group 1 Entity" and substituting therefor "Wynn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w:t>
      </w:r>
    </w:p>
    <w:p>
      <w:pPr>
        <w:spacing w:after="0" w:line="170"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1.3. </w:t>
      </w:r>
      <w:r>
        <w:rPr>
          <w:rFonts w:ascii="Times New Roman" w:cs="Times New Roman" w:eastAsia="Times New Roman" w:hAnsi="Times New Roman"/>
          <w:sz w:val="18"/>
          <w:szCs w:val="18"/>
          <w:color w:val="auto"/>
        </w:rPr>
        <w:t>Section 7.9 of the Loan Agreement shall be and is hereby amended by deleting the "(i)" in the 13th line thereof and the "(a)" in the 16th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w:t>
      </w:r>
    </w:p>
    <w:p>
      <w:pPr>
        <w:spacing w:after="0" w:line="170" w:lineRule="exact"/>
        <w:rPr>
          <w:sz w:val="20"/>
          <w:szCs w:val="20"/>
          <w:color w:val="auto"/>
        </w:rPr>
      </w:pPr>
    </w:p>
    <w:p>
      <w:pPr>
        <w:ind w:right="7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1.4. </w:t>
      </w:r>
      <w:r>
        <w:rPr>
          <w:rFonts w:ascii="Times New Roman" w:cs="Times New Roman" w:eastAsia="Times New Roman" w:hAnsi="Times New Roman"/>
          <w:sz w:val="18"/>
          <w:szCs w:val="18"/>
          <w:color w:val="auto"/>
        </w:rPr>
        <w:t>Section 7.10 of the Loan Agreement shall be and is hereby amended by deleting the period at the end of subparagraph (f) thereof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substituting therefor a semicolon and the word "and", and adding the following as a new subparagraph (g) thereto to read as follows:</w:t>
      </w:r>
    </w:p>
    <w:p>
      <w:pPr>
        <w:spacing w:after="0" w:line="172" w:lineRule="exact"/>
        <w:rPr>
          <w:sz w:val="20"/>
          <w:szCs w:val="20"/>
          <w:color w:val="auto"/>
        </w:rPr>
      </w:pPr>
    </w:p>
    <w:p>
      <w:pPr>
        <w:jc w:val="both"/>
        <w:ind w:left="540" w:right="220" w:firstLine="351"/>
        <w:spacing w:after="0" w:line="262" w:lineRule="auto"/>
        <w:rPr>
          <w:sz w:val="20"/>
          <w:szCs w:val="20"/>
          <w:color w:val="auto"/>
        </w:rPr>
      </w:pPr>
      <w:r>
        <w:rPr>
          <w:rFonts w:ascii="Times New Roman" w:cs="Times New Roman" w:eastAsia="Times New Roman" w:hAnsi="Times New Roman"/>
          <w:sz w:val="18"/>
          <w:szCs w:val="18"/>
          <w:color w:val="auto"/>
        </w:rPr>
        <w:t>"(g) associated with the use of the Aircraft for any purpose not reasonably related to the Project or the Project-related Permitted Businesses of the Borrower, Las Vegas Jet or World Travel, in which case the Borrower, Las Vegas Jet or World Travel, as the case may be, shall be reimbursed promptly for all actual costs and expenses incurred by such Loan Party in connection with such use."</w:t>
      </w:r>
    </w:p>
    <w:p>
      <w:pPr>
        <w:spacing w:after="0" w:line="184" w:lineRule="exact"/>
        <w:rPr>
          <w:sz w:val="20"/>
          <w:szCs w:val="20"/>
          <w:color w:val="auto"/>
        </w:rPr>
      </w:pPr>
    </w:p>
    <w:p>
      <w:pPr>
        <w:jc w:val="center"/>
        <w:ind w:right="-179"/>
        <w:spacing w:after="0"/>
        <w:tabs>
          <w:tab w:leader="none" w:pos="160" w:val="left"/>
        </w:tabs>
        <w:rPr>
          <w:sz w:val="20"/>
          <w:szCs w:val="20"/>
          <w:color w:val="auto"/>
        </w:rPr>
      </w:pPr>
      <w:r>
        <w:rPr>
          <w:rFonts w:ascii="Times New Roman" w:cs="Times New Roman" w:eastAsia="Times New Roman" w:hAnsi="Times New Roman"/>
          <w:sz w:val="18"/>
          <w:szCs w:val="18"/>
          <w:i w:val="1"/>
          <w:iCs w:val="1"/>
          <w:color w:val="auto"/>
        </w:rPr>
        <w:t>Section 1.5.</w:t>
      </w:r>
      <w:r>
        <w:rPr>
          <w:sz w:val="20"/>
          <w:szCs w:val="20"/>
          <w:color w:val="auto"/>
        </w:rPr>
        <w:tab/>
      </w:r>
      <w:r>
        <w:rPr>
          <w:rFonts w:ascii="Times New Roman" w:cs="Times New Roman" w:eastAsia="Times New Roman" w:hAnsi="Times New Roman"/>
          <w:sz w:val="16"/>
          <w:szCs w:val="16"/>
          <w:color w:val="auto"/>
        </w:rPr>
        <w:t>Section 7.15 of the Loan Agreement shall be and is hereby amended by deleting "Subject to Sections 7.24 and 7.25," in the first line thereof.</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Section 1.6.</w:t>
      </w:r>
      <w:r>
        <w:rPr>
          <w:sz w:val="20"/>
          <w:szCs w:val="20"/>
          <w:color w:val="auto"/>
        </w:rPr>
        <w:tab/>
      </w:r>
      <w:r>
        <w:rPr>
          <w:rFonts w:ascii="Times New Roman" w:cs="Times New Roman" w:eastAsia="Times New Roman" w:hAnsi="Times New Roman"/>
          <w:sz w:val="16"/>
          <w:szCs w:val="16"/>
          <w:color w:val="auto"/>
        </w:rPr>
        <w:t>Section 7.16(c) of the Loan Agreement shall be and is hereby amended in its entirety to read as follows:</w:t>
      </w:r>
    </w:p>
    <w:p>
      <w:pPr>
        <w:spacing w:after="0" w:line="227" w:lineRule="exact"/>
        <w:rPr>
          <w:sz w:val="20"/>
          <w:szCs w:val="20"/>
          <w:color w:val="auto"/>
        </w:rPr>
      </w:pPr>
    </w:p>
    <w:p>
      <w:pPr>
        <w:ind w:left="540" w:right="140" w:firstLine="359"/>
        <w:spacing w:after="0" w:line="275" w:lineRule="auto"/>
        <w:tabs>
          <w:tab w:leader="none" w:pos="116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or permit any amendment or waiver of, the terms of either the Intercompany Note or, except as provided in Section 9.2 of the Aircraft Security Agreement, the Aircraft Security Agreement or permit the termination thereof.</w:t>
      </w:r>
    </w:p>
    <w:p>
      <w:pPr>
        <w:spacing w:after="0" w:line="172"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1.7. </w:t>
      </w:r>
      <w:r>
        <w:rPr>
          <w:rFonts w:ascii="Times New Roman" w:cs="Times New Roman" w:eastAsia="Times New Roman" w:hAnsi="Times New Roman"/>
          <w:sz w:val="18"/>
          <w:szCs w:val="18"/>
          <w:color w:val="auto"/>
        </w:rPr>
        <w:t>Section 7.23 of the Loan Agreement shall be and is hereby amended by deleting "Administrative Agent" and substituting therefor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w:t>
      </w:r>
    </w:p>
    <w:p>
      <w:pPr>
        <w:sectPr>
          <w:pgSz w:w="11900" w:h="16838" w:orient="portrait"/>
          <w:cols w:equalWidth="0" w:num="1">
            <w:col w:w="11400"/>
          </w:cols>
          <w:pgMar w:left="240" w:top="355" w:right="259" w:bottom="0" w:gutter="0" w:footer="0" w:header="0"/>
        </w:sectPr>
      </w:pPr>
    </w:p>
    <w:bookmarkStart w:id="111" w:name="page112"/>
    <w:bookmarkEnd w:id="111"/>
    <w:p>
      <w:pPr>
        <w:ind w:right="6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1.8. </w:t>
      </w:r>
      <w:r>
        <w:rPr>
          <w:rFonts w:ascii="Times New Roman" w:cs="Times New Roman" w:eastAsia="Times New Roman" w:hAnsi="Times New Roman"/>
          <w:sz w:val="18"/>
          <w:szCs w:val="18"/>
          <w:color w:val="auto"/>
        </w:rPr>
        <w:t>(a) Appendix 1 of the Loan Agreement shall be and is hereby amended by amending and restating in their entirety the definitions of</w:t>
      </w:r>
      <w:r>
        <w:rPr>
          <w:rFonts w:ascii="Times New Roman" w:cs="Times New Roman" w:eastAsia="Times New Roman" w:hAnsi="Times New Roman"/>
          <w:sz w:val="18"/>
          <w:szCs w:val="18"/>
          <w:i w:val="1"/>
          <w:iCs w:val="1"/>
          <w:color w:val="auto"/>
        </w:rPr>
        <w:t xml:space="preserve"> "Aircraft"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Eurodollar Rate</w:t>
      </w:r>
      <w:r>
        <w:rPr>
          <w:rFonts w:ascii="Times New Roman" w:cs="Times New Roman" w:eastAsia="Times New Roman" w:hAnsi="Times New Roman"/>
          <w:sz w:val="18"/>
          <w:szCs w:val="18"/>
          <w:color w:val="auto"/>
        </w:rPr>
        <w:t>" to read as follows:</w:t>
      </w:r>
    </w:p>
    <w:p>
      <w:pPr>
        <w:spacing w:after="0" w:line="170" w:lineRule="exact"/>
        <w:rPr>
          <w:sz w:val="20"/>
          <w:szCs w:val="20"/>
          <w:color w:val="auto"/>
        </w:rPr>
      </w:pPr>
    </w:p>
    <w:p>
      <w:pPr>
        <w:ind w:left="1080"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"Aircraft" </w:t>
      </w:r>
      <w:r>
        <w:rPr>
          <w:rFonts w:ascii="Times New Roman" w:cs="Times New Roman" w:eastAsia="Times New Roman" w:hAnsi="Times New Roman"/>
          <w:sz w:val="18"/>
          <w:szCs w:val="18"/>
          <w:color w:val="auto"/>
        </w:rPr>
        <w:t>shall mean the Existing Aircraft and, after the Disposition of the Existing Aircraft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7.5(p)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the Replacement Aircraft in the event the Replacement Aircraft is acquired pursuant to </w:t>
      </w:r>
      <w:r>
        <w:rPr>
          <w:rFonts w:ascii="Times New Roman" w:cs="Times New Roman" w:eastAsia="Times New Roman" w:hAnsi="Times New Roman"/>
          <w:sz w:val="18"/>
          <w:szCs w:val="18"/>
          <w:b w:val="1"/>
          <w:bCs w:val="1"/>
          <w:color w:val="auto"/>
        </w:rPr>
        <w:t>Section 7.5(p)(iii)(B)</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Eurodollar Rate</w:t>
      </w:r>
      <w:r>
        <w:rPr>
          <w:rFonts w:ascii="Times New Roman" w:cs="Times New Roman" w:eastAsia="Times New Roman" w:hAnsi="Times New Roman"/>
          <w:sz w:val="16"/>
          <w:szCs w:val="16"/>
          <w:color w:val="auto"/>
        </w:rPr>
        <w:t>" shall mean with respect to each day during each Interest Period pertaining to a Eurodollar Loan, a rate per annum equal to</w:t>
      </w:r>
    </w:p>
    <w:p>
      <w:pPr>
        <w:spacing w:after="0" w:line="46" w:lineRule="exact"/>
        <w:rPr>
          <w:sz w:val="20"/>
          <w:szCs w:val="20"/>
          <w:color w:val="auto"/>
        </w:rPr>
      </w:pPr>
    </w:p>
    <w:p>
      <w:pPr>
        <w:ind w:left="1080" w:right="40" w:firstLine="8"/>
        <w:spacing w:after="0" w:line="271" w:lineRule="auto"/>
        <w:tabs>
          <w:tab w:leader="none" w:pos="1319"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applicable London interbank offered rate per annum for deposits in Dollars appearing on Telerate Page 3750 as of 11:00 a.m. (London time) two (2) Business Days prior to the first day of such Interest Period; or if no London interbank offered rate of such maturity then appears on Telerate Page 3750, then the rate equal to the London interbank offered rate per annum for deposits in Dollars maturing immediately before or immediately after such maturity, whichever is higher, as determined by the Collateral Agent from Telerate Page 3750; or if Telerate Page 3750 is not available, the applicable LIBO Rate for the relevant Interest Period shall be the rate per annum determined by the Collateral Agent to be the arithmetic average of the rates at which the Collateral Agent offers to place deposits in Dollars with first-class banks in the London interbank market at approximately 11:00 a.m. (London time) two (2) Business Days prior to the first day of such Interest Period, in the approximate amount of the aggregate outstanding principal amount of such Eurodollar Loan and having a maturity approximately equal to such Interest Period, divided (and rounded upward to the nearest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16</w:t>
      </w:r>
      <w:r>
        <w:rPr>
          <w:rFonts w:ascii="Times New Roman" w:cs="Times New Roman" w:eastAsia="Times New Roman" w:hAnsi="Times New Roman"/>
          <w:sz w:val="17"/>
          <w:szCs w:val="17"/>
          <w:color w:val="auto"/>
        </w:rPr>
        <w:t xml:space="preserve"> of 1%) by (b) a percentage equal to 100%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"Eurocurrency Reserve Requirements."</w:t>
      </w:r>
    </w:p>
    <w:p>
      <w:pPr>
        <w:spacing w:after="0" w:line="59" w:lineRule="exact"/>
        <w:rPr>
          <w:rFonts w:ascii="Times New Roman" w:cs="Times New Roman" w:eastAsia="Times New Roman" w:hAnsi="Times New Roman"/>
          <w:sz w:val="17"/>
          <w:szCs w:val="17"/>
          <w:color w:val="auto"/>
        </w:rPr>
      </w:pPr>
    </w:p>
    <w:p>
      <w:pPr>
        <w:ind w:left="540" w:right="840" w:firstLine="359"/>
        <w:spacing w:after="0" w:line="275" w:lineRule="auto"/>
        <w:tabs>
          <w:tab w:leader="none" w:pos="117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Appendix 1 of the Loan Agreement shall be and is hereby further amended by adding in alphabetical order the following definition of </w:t>
      </w:r>
      <w:r>
        <w:rPr>
          <w:rFonts w:ascii="Times New Roman" w:cs="Times New Roman" w:eastAsia="Times New Roman" w:hAnsi="Times New Roman"/>
          <w:sz w:val="18"/>
          <w:szCs w:val="18"/>
          <w:i w:val="1"/>
          <w:iCs w:val="1"/>
          <w:color w:val="auto"/>
        </w:rPr>
        <w:t xml:space="preserve">"Consolidated Interest Coverage Ratio" </w:t>
      </w:r>
      <w:r>
        <w:rPr>
          <w:rFonts w:ascii="Times New Roman" w:cs="Times New Roman" w:eastAsia="Times New Roman" w:hAnsi="Times New Roman"/>
          <w:sz w:val="18"/>
          <w:szCs w:val="18"/>
          <w:color w:val="auto"/>
        </w:rPr>
        <w:t>to read as follows:</w:t>
      </w:r>
    </w:p>
    <w:p>
      <w:pPr>
        <w:spacing w:after="0" w:line="172" w:lineRule="exact"/>
        <w:rPr>
          <w:sz w:val="20"/>
          <w:szCs w:val="20"/>
          <w:color w:val="auto"/>
        </w:rPr>
      </w:pPr>
    </w:p>
    <w:p>
      <w:pPr>
        <w:ind w:left="10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"Consolidated Interest Coverage Ratio" </w:t>
      </w:r>
      <w:r>
        <w:rPr>
          <w:rFonts w:ascii="Times New Roman" w:cs="Times New Roman" w:eastAsia="Times New Roman" w:hAnsi="Times New Roman"/>
          <w:sz w:val="18"/>
          <w:szCs w:val="18"/>
          <w:color w:val="auto"/>
        </w:rPr>
        <w:t>shall mean for any period, the ratio of (a) Consolidated EBITDA of the Borrower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period to (b) Consolidated Interest Expense of the Borrower and its Subsidiaries for such period.</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6"/>
          <w:szCs w:val="16"/>
          <w:color w:val="auto"/>
        </w:rPr>
        <w:t>WAIVER.</w:t>
      </w:r>
    </w:p>
    <w:p>
      <w:pPr>
        <w:spacing w:after="0" w:line="223"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the terms of Section 6.1(b) of the Loan Agreement, upon the effectiveness of this Amendment as set forth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hereof, the failure of the Borrower to deliver the unaudited consolidated and consolidating balance sheets and the related unaudited consolidated and consolidating statements of income and of cash flows for the quarter ending September 30, 2002 within the time period and in the form required in such Section 6.1(b), shall not constitute a Default under the Loan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balance sheets and statements of income and of cash flows for such quarter are delivered in the required form to the Collateral Agent and each Lender on or prior to December 15, 2002.</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6"/>
          <w:szCs w:val="16"/>
          <w:color w:val="auto"/>
        </w:rPr>
        <w:t>EFFECTIVENESS.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This Amendment shall become effective on December 3, 2002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upon the satisfaction of the following conditions precedent:</w:t>
      </w:r>
    </w:p>
    <w:p>
      <w:pPr>
        <w:spacing w:after="0" w:line="227" w:lineRule="exact"/>
        <w:rPr>
          <w:sz w:val="20"/>
          <w:szCs w:val="20"/>
          <w:color w:val="auto"/>
        </w:rPr>
      </w:pPr>
    </w:p>
    <w:p>
      <w:pPr>
        <w:ind w:left="540" w:right="20" w:firstLine="359"/>
        <w:spacing w:after="0" w:line="258" w:lineRule="auto"/>
        <w:tabs>
          <w:tab w:leader="none" w:pos="117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all other agreements and instruments related thereto shall have been duly authorized, executed and delivered by each of the parties thereto, shall be in form and substance satisfactory to each party thereto and an executed counterpart of each thereof shall have been received by each of the parties thereto. After giving effect to this Amendment, the Operative Documents shall be in full force and effect as to all parties and no Default or Event of Default shall have occurred or be continuing.</w:t>
      </w:r>
    </w:p>
    <w:p>
      <w:pPr>
        <w:spacing w:after="0" w:line="190"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October 30, 2002, there shall have been no Material Adverse Effect.</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6"/>
          <w:szCs w:val="16"/>
          <w:color w:val="auto"/>
        </w:rPr>
        <w:t>FEES AND EXPENSES.</w:t>
      </w:r>
    </w:p>
    <w:p>
      <w:pPr>
        <w:spacing w:after="0" w:line="225"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Borrower agrees to pay all the reasonable fees and expenses of the Collateral Agent and the Lenders (including the reasonable expenses of their respective counsel) in connection with the negotiation and preparation of this Amendment.</w:t>
      </w:r>
    </w:p>
    <w:p>
      <w:pPr>
        <w:spacing w:after="0" w:line="1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6"/>
          <w:szCs w:val="16"/>
          <w:color w:val="auto"/>
        </w:rPr>
        <w:t>MISCELLANEOUS.</w:t>
      </w:r>
    </w:p>
    <w:p>
      <w:pPr>
        <w:spacing w:after="0" w:line="223"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5.1. Guarantor Obligations. </w:t>
      </w:r>
      <w:r>
        <w:rPr>
          <w:rFonts w:ascii="Times New Roman" w:cs="Times New Roman" w:eastAsia="Times New Roman" w:hAnsi="Times New Roman"/>
          <w:sz w:val="18"/>
          <w:szCs w:val="18"/>
          <w:color w:val="auto"/>
        </w:rPr>
        <w:t>Each Guarantor hereby ratifies and affirms in all respects its obligations under its guaranty and acknowledges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guaranty shall remain in full force and effect.</w:t>
      </w:r>
    </w:p>
    <w:p>
      <w:pPr>
        <w:spacing w:after="0" w:line="170"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Section 5.2. Construction. </w:t>
      </w:r>
      <w:r>
        <w:rPr>
          <w:rFonts w:ascii="Times New Roman" w:cs="Times New Roman" w:eastAsia="Times New Roman" w:hAnsi="Times New Roman"/>
          <w:sz w:val="18"/>
          <w:szCs w:val="18"/>
          <w:color w:val="auto"/>
        </w:rPr>
        <w:t>This Amendment shall be construed in connection with and as part of the Loan Agreement, and except as modified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amended by this Amendment, all terms, conditions and covenants contained in the Loan Agreement are hereby ratified and shall be and remain in full force and effect.</w:t>
      </w:r>
    </w:p>
    <w:p>
      <w:pPr>
        <w:spacing w:after="0" w:line="181"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Section 5.3. Headings and Table of Contents. </w:t>
      </w:r>
      <w:r>
        <w:rPr>
          <w:rFonts w:ascii="Times New Roman" w:cs="Times New Roman" w:eastAsia="Times New Roman" w:hAnsi="Times New Roman"/>
          <w:sz w:val="18"/>
          <w:szCs w:val="18"/>
          <w:color w:val="auto"/>
        </w:rPr>
        <w:t>The headings of the Sections of this Amendment are inserted for purposes of convenience only and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construed to affect the meaning or construction of any of the provisions hereof and any reference to numbered Sections, unless otherwise indicated, are to Sections of this Amendment.</w:t>
      </w:r>
    </w:p>
    <w:p>
      <w:pPr>
        <w:spacing w:after="0" w:line="181" w:lineRule="exact"/>
        <w:rPr>
          <w:sz w:val="20"/>
          <w:szCs w:val="20"/>
          <w:color w:val="auto"/>
        </w:rPr>
      </w:pPr>
    </w:p>
    <w:p>
      <w:pPr>
        <w:ind w:right="2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Section 5.4. References. </w:t>
      </w:r>
      <w:r>
        <w:rPr>
          <w:rFonts w:ascii="Times New Roman" w:cs="Times New Roman" w:eastAsia="Times New Roman" w:hAnsi="Times New Roman"/>
          <w:sz w:val="18"/>
          <w:szCs w:val="18"/>
          <w:color w:val="auto"/>
        </w:rPr>
        <w:t>Any and all notices, requests, certificates and other instruments executed and delivered after the execution and delivery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may refer to the Loan Agreement without making specific reference to this Amendment but nevertheless all such references shall be deemed to include this Amendment unless the context otherwise requires.</w:t>
      </w:r>
    </w:p>
    <w:p>
      <w:pPr>
        <w:spacing w:after="0" w:line="181"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5.5. Counterparts. </w:t>
      </w:r>
      <w:r>
        <w:rPr>
          <w:rFonts w:ascii="Times New Roman" w:cs="Times New Roman" w:eastAsia="Times New Roman" w:hAnsi="Times New Roman"/>
          <w:sz w:val="18"/>
          <w:szCs w:val="18"/>
          <w:color w:val="auto"/>
        </w:rPr>
        <w:t>This Amendment may be executed in any number of counterparts, each executed counterpart constituting an original but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only one Amendment.</w:t>
      </w:r>
    </w:p>
    <w:p>
      <w:pPr>
        <w:spacing w:after="0" w:line="170"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Section 5.6. Governing Law. </w:t>
      </w:r>
      <w:r>
        <w:rPr>
          <w:rFonts w:ascii="Times New Roman" w:cs="Times New Roman" w:eastAsia="Times New Roman" w:hAnsi="Times New Roman"/>
          <w:sz w:val="18"/>
          <w:szCs w:val="18"/>
          <w:color w:val="auto"/>
        </w:rPr>
        <w:t>This Amendment shall be governed by and construed in accordance under the laws of the State of New York without regard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conflict of law principles (other than Title 14 of Article V of the New York General Obligation Law).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begin on Next Page]</w:t>
      </w:r>
    </w:p>
    <w:p>
      <w:pPr>
        <w:sectPr>
          <w:pgSz w:w="11900" w:h="16838" w:orient="portrait"/>
          <w:cols w:equalWidth="0" w:num="1">
            <w:col w:w="11420"/>
          </w:cols>
          <w:pgMar w:left="240" w:top="123" w:right="239" w:bottom="0" w:gutter="0" w:footer="0" w:header="0"/>
        </w:sectPr>
      </w:pPr>
    </w:p>
    <w:bookmarkStart w:id="112" w:name="page113"/>
    <w:bookmarkEnd w:id="112"/>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Executed and delivered as of this 3 day of December, 2002.</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Wynn Resorts Holdings, LLC,</w:t>
            </w:r>
          </w:p>
        </w:tc>
        <w:tc>
          <w:tcPr>
            <w:tcW w:w="22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5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2280" w:type="dxa"/>
            <w:vAlign w:val="bottom"/>
          </w:tcPr>
          <w:p>
            <w:pPr>
              <w:spacing w:after="0"/>
              <w:rPr>
                <w:sz w:val="18"/>
                <w:szCs w:val="18"/>
                <w:color w:val="auto"/>
              </w:rPr>
            </w:pPr>
          </w:p>
        </w:tc>
      </w:tr>
      <w:tr>
        <w:trPr>
          <w:trHeight w:val="228"/>
        </w:trPr>
        <w:tc>
          <w:tcPr>
            <w:tcW w:w="414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sole member</w:t>
            </w:r>
          </w:p>
        </w:tc>
        <w:tc>
          <w:tcPr>
            <w:tcW w:w="3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0"/>
        </w:trPr>
        <w:tc>
          <w:tcPr>
            <w:tcW w:w="414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Valvino Lamore, LLC,</w:t>
            </w:r>
          </w:p>
        </w:tc>
        <w:tc>
          <w:tcPr>
            <w:tcW w:w="228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2280" w:type="dxa"/>
            <w:vAlign w:val="bottom"/>
          </w:tcPr>
          <w:p>
            <w:pPr>
              <w:spacing w:after="0"/>
              <w:rPr>
                <w:sz w:val="18"/>
                <w:szCs w:val="18"/>
                <w:color w:val="auto"/>
              </w:rPr>
            </w:pPr>
          </w:p>
        </w:tc>
      </w:tr>
      <w:tr>
        <w:trPr>
          <w:trHeight w:val="228"/>
        </w:trPr>
        <w:tc>
          <w:tcPr>
            <w:tcW w:w="4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sole member</w:t>
            </w:r>
          </w:p>
        </w:tc>
        <w:tc>
          <w:tcPr>
            <w:tcW w:w="2280" w:type="dxa"/>
            <w:vAlign w:val="bottom"/>
          </w:tcPr>
          <w:p>
            <w:pPr>
              <w:spacing w:after="0"/>
              <w:rPr>
                <w:sz w:val="19"/>
                <w:szCs w:val="19"/>
                <w:color w:val="auto"/>
              </w:rPr>
            </w:pPr>
          </w:p>
        </w:tc>
      </w:tr>
      <w:tr>
        <w:trPr>
          <w:trHeight w:val="420"/>
        </w:trPr>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w:t>
            </w:r>
          </w:p>
        </w:tc>
        <w:tc>
          <w:tcPr>
            <w:tcW w:w="228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 Nevada corporation,</w:t>
            </w:r>
          </w:p>
        </w:tc>
        <w:tc>
          <w:tcPr>
            <w:tcW w:w="2280" w:type="dxa"/>
            <w:vAlign w:val="bottom"/>
          </w:tcPr>
          <w:p>
            <w:pPr>
              <w:spacing w:after="0"/>
              <w:rPr>
                <w:sz w:val="18"/>
                <w:szCs w:val="18"/>
                <w:color w:val="auto"/>
              </w:rPr>
            </w:pPr>
          </w:p>
        </w:tc>
      </w:tr>
      <w:tr>
        <w:trPr>
          <w:trHeight w:val="228"/>
        </w:trPr>
        <w:tc>
          <w:tcPr>
            <w:tcW w:w="4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2280" w:type="dxa"/>
            <w:vAlign w:val="bottom"/>
          </w:tcPr>
          <w:p>
            <w:pPr>
              <w:spacing w:after="0"/>
              <w:rPr>
                <w:sz w:val="19"/>
                <w:szCs w:val="19"/>
                <w:color w:val="auto"/>
              </w:rPr>
            </w:pPr>
          </w:p>
        </w:tc>
      </w:tr>
      <w:tr>
        <w:trPr>
          <w:trHeight w:val="432"/>
        </w:trPr>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 MARC H. RUBINSTEIN</w:t>
            </w:r>
          </w:p>
        </w:tc>
        <w:tc>
          <w:tcPr>
            <w:tcW w:w="2280" w:type="dxa"/>
            <w:vAlign w:val="bottom"/>
          </w:tcPr>
          <w:p>
            <w:pPr>
              <w:spacing w:after="0"/>
              <w:rPr>
                <w:sz w:val="24"/>
                <w:szCs w:val="24"/>
                <w:color w:val="auto"/>
              </w:rPr>
            </w:pPr>
          </w:p>
        </w:tc>
      </w:tr>
      <w:tr>
        <w:trPr>
          <w:trHeight w:val="120"/>
        </w:trPr>
        <w:tc>
          <w:tcPr>
            <w:tcW w:w="4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280" w:type="dxa"/>
            <w:vAlign w:val="bottom"/>
          </w:tcPr>
          <w:p>
            <w:pPr>
              <w:spacing w:after="0"/>
              <w:rPr>
                <w:sz w:val="10"/>
                <w:szCs w:val="10"/>
                <w:color w:val="auto"/>
              </w:rPr>
            </w:pPr>
          </w:p>
        </w:tc>
      </w:tr>
      <w:tr>
        <w:trPr>
          <w:trHeight w:val="307"/>
        </w:trPr>
        <w:tc>
          <w:tcPr>
            <w:tcW w:w="4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c>
          <w:tcPr>
            <w:tcW w:w="2280" w:type="dxa"/>
            <w:vAlign w:val="bottom"/>
          </w:tcPr>
          <w:p>
            <w:pPr>
              <w:spacing w:after="0"/>
              <w:rPr>
                <w:sz w:val="24"/>
                <w:szCs w:val="24"/>
                <w:color w:val="auto"/>
              </w:rPr>
            </w:pPr>
          </w:p>
        </w:tc>
      </w:tr>
      <w:tr>
        <w:trPr>
          <w:trHeight w:val="228"/>
        </w:trPr>
        <w:tc>
          <w:tcPr>
            <w:tcW w:w="4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&amp; Secretary</w:t>
            </w:r>
          </w:p>
        </w:tc>
        <w:tc>
          <w:tcPr>
            <w:tcW w:w="2280" w:type="dxa"/>
            <w:vAlign w:val="bottom"/>
          </w:tcPr>
          <w:p>
            <w:pPr>
              <w:spacing w:after="0"/>
              <w:rPr>
                <w:sz w:val="19"/>
                <w:szCs w:val="19"/>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-443230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-443230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BANK OF AMERICA, N.A., as Lender</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Scott Faber</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BANK OF AMERICA, N.A., as Lender</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Peter J. Vitale</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SOCIETE GENERALE, as Lender</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K.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Thomas K. Day</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GENERAL ELECTRIC CAPITAL CORPORATION, as Lender</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J.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Richard J. O'Neill</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Vice President Risk, Capital Funding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THE CIT GROUP/EQUIPMENT FINANCING, INC., as Lender</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O.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Frank O. Young</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Accepted and agreed to as of the date last above written.</w:t>
      </w:r>
    </w:p>
    <w:p>
      <w:pPr>
        <w:sectPr>
          <w:pgSz w:w="11900" w:h="16851" w:orient="portrait"/>
          <w:cols w:equalWidth="0" w:num="1">
            <w:col w:w="11420"/>
          </w:cols>
          <w:pgMar w:left="240" w:top="125" w:right="239" w:bottom="0" w:gutter="0" w:footer="0" w:header="0"/>
          <w:type w:val="continuous"/>
        </w:sectPr>
      </w:pPr>
    </w:p>
    <w:bookmarkStart w:id="113" w:name="page114"/>
    <w:bookmarkEnd w:id="113"/>
    <w:p>
      <w:pPr>
        <w:ind w:left="4280"/>
        <w:spacing w:after="0"/>
        <w:rPr>
          <w:sz w:val="20"/>
          <w:szCs w:val="20"/>
          <w:color w:val="auto"/>
        </w:rPr>
      </w:pPr>
      <w:r>
        <w:rPr>
          <w:rFonts w:ascii="Times New Roman" w:cs="Times New Roman" w:eastAsia="Times New Roman" w:hAnsi="Times New Roman"/>
          <w:sz w:val="18"/>
          <w:szCs w:val="18"/>
          <w:color w:val="auto"/>
        </w:rPr>
        <w:t>DEUTSCHE BANK TRUST COMPANY AMERICAS, as</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George R. Reynolds</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BEAR, STEARNS CORPORATE LENDING INC., as Lender</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VICTOR BULZACCHELLI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Victor Bulzacchelli</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Accepted and agreed to as of the date last above written.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GMAC COMMERCIAL MORTGAGE CORPORATION, as</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John Hopkins</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WELLS FARGO BANK NEVADA, NATIONAL</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ASSOCIATION, as Collateral Agent</w:t>
      </w:r>
    </w:p>
    <w:p>
      <w:pPr>
        <w:spacing w:after="0" w:line="213" w:lineRule="exact"/>
        <w:rPr>
          <w:sz w:val="20"/>
          <w:szCs w:val="20"/>
          <w:color w:val="auto"/>
        </w:rPr>
      </w:pPr>
    </w:p>
    <w:p>
      <w:pPr>
        <w:ind w:left="428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NANCY M.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81280</wp:posOffset>
            </wp:positionV>
            <wp:extent cx="254254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Nancy M. Dahl</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Each of the undersigned hereby further confirms its continued guaranty of the obligations of the Borrower under the Loan Agreement, as amended hereby, pursuant to the terms of its guaranty on this 3 day of December, 2002.</w:t>
      </w:r>
    </w:p>
    <w:p>
      <w:pPr>
        <w:spacing w:after="0" w:line="17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13" w:lineRule="exact"/>
        <w:rPr>
          <w:sz w:val="20"/>
          <w:szCs w:val="20"/>
          <w:color w:val="auto"/>
        </w:rPr>
      </w:pPr>
    </w:p>
    <w:p>
      <w:pPr>
        <w:ind w:left="2800"/>
        <w:spacing w:after="0"/>
        <w:tabs>
          <w:tab w:leader="none" w:pos="3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81280</wp:posOffset>
            </wp:positionV>
            <wp:extent cx="347726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77260" cy="21590"/>
                    </a:xfrm>
                    <a:prstGeom prst="rect">
                      <a:avLst/>
                    </a:prstGeom>
                    <a:noFill/>
                  </pic:spPr>
                </pic:pic>
              </a:graphicData>
            </a:graphic>
          </wp:anchor>
        </w:drawing>
      </w:r>
    </w:p>
    <w:p>
      <w:pPr>
        <w:spacing w:after="0" w:line="23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Marc H. Rubinstein</w:t>
      </w:r>
    </w:p>
    <w:p>
      <w:pPr>
        <w:spacing w:after="0" w:line="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Title: Senior Vice President, General Counsel &amp; Secretary</w:t>
      </w:r>
    </w:p>
    <w:p>
      <w:pPr>
        <w:spacing w:after="0" w:line="24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2800"/>
        <w:spacing w:after="0"/>
        <w:tabs>
          <w:tab w:leader="none" w:pos="3300" w:val="left"/>
        </w:tabs>
        <w:rPr>
          <w:sz w:val="20"/>
          <w:szCs w:val="20"/>
          <w:color w:val="auto"/>
        </w:rPr>
      </w:pPr>
      <w:r>
        <w:rPr>
          <w:rFonts w:ascii="Times New Roman" w:cs="Times New Roman" w:eastAsia="Times New Roman" w:hAnsi="Times New Roman"/>
          <w:sz w:val="18"/>
          <w:szCs w:val="18"/>
          <w:color w:val="auto"/>
        </w:rPr>
        <w:t>By:</w:t>
        <w:tab/>
        <w:t>Wynn Resorts, Limited,</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p>
      <w:pPr>
        <w:ind w:left="3320"/>
        <w:spacing w:after="0"/>
        <w:tabs>
          <w:tab w:leader="none" w:pos="3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81280</wp:posOffset>
            </wp:positionV>
            <wp:extent cx="309118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91180" cy="21590"/>
                    </a:xfrm>
                    <a:prstGeom prst="rect">
                      <a:avLst/>
                    </a:prstGeom>
                    <a:noFill/>
                  </pic:spPr>
                </pic:pic>
              </a:graphicData>
            </a:graphic>
          </wp:anchor>
        </w:drawing>
      </w:r>
    </w:p>
    <w:p>
      <w:pPr>
        <w:spacing w:after="0" w:line="2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Marc H. Rubinstein</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Title: Senior Vice President, General Counsel &amp; Secretary</w:t>
      </w:r>
    </w:p>
    <w:p>
      <w:pPr>
        <w:spacing w:after="0" w:line="24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WYNN LAS VEGAS CAPITAL CORP., a Nevada corporation,</w:t>
      </w:r>
    </w:p>
    <w:p>
      <w:pPr>
        <w:spacing w:after="0" w:line="225" w:lineRule="exact"/>
        <w:rPr>
          <w:sz w:val="20"/>
          <w:szCs w:val="20"/>
          <w:color w:val="auto"/>
        </w:rPr>
      </w:pPr>
    </w:p>
    <w:p>
      <w:pPr>
        <w:ind w:left="2800"/>
        <w:spacing w:after="0"/>
        <w:tabs>
          <w:tab w:leader="none" w:pos="3300" w:val="left"/>
        </w:tabs>
        <w:rPr>
          <w:sz w:val="20"/>
          <w:szCs w:val="20"/>
          <w:color w:val="auto"/>
        </w:rPr>
      </w:pPr>
      <w:r>
        <w:rPr>
          <w:rFonts w:ascii="Times New Roman" w:cs="Times New Roman" w:eastAsia="Times New Roman" w:hAnsi="Times New Roman"/>
          <w:sz w:val="18"/>
          <w:szCs w:val="18"/>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81280</wp:posOffset>
            </wp:positionV>
            <wp:extent cx="347726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77260" cy="21590"/>
                    </a:xfrm>
                    <a:prstGeom prst="rect">
                      <a:avLst/>
                    </a:prstGeom>
                    <a:noFill/>
                  </pic:spPr>
                </pic:pic>
              </a:graphicData>
            </a:graphic>
          </wp:anchor>
        </w:drawing>
      </w:r>
    </w:p>
    <w:p>
      <w:pPr>
        <w:spacing w:after="0" w:line="23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Marc H. Rubinstein</w:t>
      </w:r>
    </w:p>
    <w:p>
      <w:pPr>
        <w:spacing w:after="0" w:line="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4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PALO, LLC,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13" w:lineRule="exact"/>
        <w:rPr>
          <w:sz w:val="20"/>
          <w:szCs w:val="20"/>
          <w:color w:val="auto"/>
        </w:rPr>
      </w:pPr>
    </w:p>
    <w:p>
      <w:pPr>
        <w:ind w:left="2800"/>
        <w:spacing w:after="0"/>
        <w:tabs>
          <w:tab w:leader="none" w:pos="3300" w:val="left"/>
        </w:tabs>
        <w:rPr>
          <w:sz w:val="20"/>
          <w:szCs w:val="20"/>
          <w:color w:val="auto"/>
        </w:rPr>
      </w:pPr>
      <w:r>
        <w:rPr>
          <w:rFonts w:ascii="Times New Roman" w:cs="Times New Roman" w:eastAsia="Times New Roman" w:hAnsi="Times New Roman"/>
          <w:sz w:val="18"/>
          <w:szCs w:val="18"/>
          <w:color w:val="auto"/>
        </w:rPr>
        <w:t>By:</w:t>
        <w:tab/>
        <w:t>Wynn Resorts Holdings, LLC,</w:t>
      </w:r>
    </w:p>
    <w:p>
      <w:pPr>
        <w:spacing w:after="0" w:line="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p>
      <w:pPr>
        <w:ind w:left="3320"/>
        <w:spacing w:after="0"/>
        <w:tabs>
          <w:tab w:leader="none" w:pos="3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Valvino Lamore, LLC,</w:t>
      </w:r>
    </w:p>
    <w:p>
      <w:pPr>
        <w:sectPr>
          <w:pgSz w:w="11900" w:h="16838" w:orient="portrait"/>
          <w:cols w:equalWidth="0" w:num="1">
            <w:col w:w="11200"/>
          </w:cols>
          <w:pgMar w:left="240" w:top="125" w:right="459" w:bottom="0" w:gutter="0" w:footer="0" w:header="0"/>
        </w:sectPr>
      </w:pPr>
    </w:p>
    <w:bookmarkStart w:id="114" w:name="page115"/>
    <w:bookmarkEnd w:id="114"/>
    <w:p>
      <w:pPr>
        <w:ind w:left="39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tbl>
      <w:tblPr>
        <w:tblLayout w:type="fixed"/>
        <w:tblInd w:w="392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6"/>
        </w:trPr>
        <w:tc>
          <w:tcPr>
            <w:tcW w:w="4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228"/>
        </w:trPr>
        <w:tc>
          <w:tcPr>
            <w:tcW w:w="440" w:type="dxa"/>
            <w:vAlign w:val="bottom"/>
          </w:tcPr>
          <w:p>
            <w:pPr>
              <w:spacing w:after="0"/>
              <w:rPr>
                <w:sz w:val="19"/>
                <w:szCs w:val="19"/>
                <w:color w:val="auto"/>
              </w:rPr>
            </w:pPr>
          </w:p>
        </w:tc>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32"/>
        </w:trPr>
        <w:tc>
          <w:tcPr>
            <w:tcW w:w="4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MARC H. RUBINSTEIN</w:t>
            </w:r>
          </w:p>
        </w:tc>
      </w:tr>
      <w:tr>
        <w:trPr>
          <w:trHeight w:val="120"/>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19"/>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-216535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-216535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8"/>
          <w:szCs w:val="18"/>
          <w:color w:val="auto"/>
        </w:rPr>
        <w:t>Title: Senior Vice President, General Counsel &amp;</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DESERT INN WATER COMPANY, LLC,</w:t>
      </w:r>
    </w:p>
    <w:p>
      <w:pPr>
        <w:spacing w:after="0" w:line="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2840"/>
        <w:spacing w:after="0"/>
        <w:tabs>
          <w:tab w:leader="none" w:pos="3340" w:val="left"/>
        </w:tabs>
        <w:rPr>
          <w:sz w:val="20"/>
          <w:szCs w:val="20"/>
          <w:color w:val="auto"/>
        </w:rPr>
      </w:pPr>
      <w:r>
        <w:rPr>
          <w:rFonts w:ascii="Times New Roman" w:cs="Times New Roman" w:eastAsia="Times New Roman" w:hAnsi="Times New Roman"/>
          <w:sz w:val="18"/>
          <w:szCs w:val="18"/>
          <w:color w:val="auto"/>
        </w:rPr>
        <w:t>By:</w:t>
        <w:tab/>
        <w:t>Valvino Lamore, LLC,</w:t>
      </w:r>
    </w:p>
    <w:p>
      <w:pPr>
        <w:spacing w:after="0" w:line="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tbl>
      <w:tblPr>
        <w:tblLayout w:type="fixed"/>
        <w:tblInd w:w="336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 Nevada corporation,</w:t>
            </w: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MARC H. RUBINSTEIN</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0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&amp;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-353695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-353695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2840"/>
        <w:spacing w:after="0"/>
        <w:tabs>
          <w:tab w:leader="none" w:pos="3340" w:val="left"/>
        </w:tabs>
        <w:rPr>
          <w:sz w:val="20"/>
          <w:szCs w:val="20"/>
          <w:color w:val="auto"/>
        </w:rPr>
      </w:pPr>
      <w:r>
        <w:rPr>
          <w:rFonts w:ascii="Times New Roman" w:cs="Times New Roman" w:eastAsia="Times New Roman" w:hAnsi="Times New Roman"/>
          <w:sz w:val="18"/>
          <w:szCs w:val="18"/>
          <w:color w:val="auto"/>
        </w:rPr>
        <w:t>By:</w:t>
        <w:tab/>
        <w:t>Valvino Lamore, LLC,</w:t>
      </w:r>
    </w:p>
    <w:p>
      <w:pPr>
        <w:spacing w:after="0" w:line="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tbl>
      <w:tblPr>
        <w:tblLayout w:type="fixed"/>
        <w:tblInd w:w="33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6"/>
        </w:trPr>
        <w:tc>
          <w:tcPr>
            <w:tcW w:w="420" w:type="dxa"/>
            <w:vAlign w:val="bottom"/>
          </w:tcPr>
          <w:p>
            <w:pPr>
              <w:spacing w:after="0"/>
              <w:rPr>
                <w:sz w:val="18"/>
                <w:szCs w:val="18"/>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228"/>
        </w:trPr>
        <w:tc>
          <w:tcPr>
            <w:tcW w:w="420" w:type="dxa"/>
            <w:vAlign w:val="bottom"/>
          </w:tcPr>
          <w:p>
            <w:pPr>
              <w:spacing w:after="0"/>
              <w:rPr>
                <w:sz w:val="19"/>
                <w:szCs w:val="19"/>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32"/>
        </w:trPr>
        <w:tc>
          <w:tcPr>
            <w:tcW w:w="42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 MARC H. RUBINSTEIN</w:t>
            </w:r>
          </w:p>
        </w:tc>
      </w:tr>
      <w:tr>
        <w:trPr>
          <w:trHeight w:val="120"/>
        </w:trPr>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r>
      <w:tr>
        <w:trPr>
          <w:trHeight w:val="307"/>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r>
      <w:tr>
        <w:trPr>
          <w:trHeight w:val="228"/>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w w:val="99"/>
              </w:rPr>
              <w:t>Title: Senior Vice President, General Counsel &amp;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-353695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-353695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2840"/>
        <w:spacing w:after="0"/>
        <w:tabs>
          <w:tab w:leader="none" w:pos="3340" w:val="left"/>
        </w:tabs>
        <w:rPr>
          <w:sz w:val="20"/>
          <w:szCs w:val="20"/>
          <w:color w:val="auto"/>
        </w:rPr>
      </w:pPr>
      <w:r>
        <w:rPr>
          <w:rFonts w:ascii="Times New Roman" w:cs="Times New Roman" w:eastAsia="Times New Roman" w:hAnsi="Times New Roman"/>
          <w:sz w:val="18"/>
          <w:szCs w:val="18"/>
          <w:color w:val="auto"/>
        </w:rPr>
        <w:t>By:</w:t>
        <w:tab/>
        <w:t>Valvino Lamore, LLC,</w:t>
      </w:r>
    </w:p>
    <w:p>
      <w:pPr>
        <w:spacing w:after="0" w:line="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Wynn Resorts, Limited,</w:t>
            </w:r>
          </w:p>
        </w:tc>
        <w:tc>
          <w:tcPr>
            <w:tcW w:w="26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Nevada corporation,</w:t>
            </w:r>
          </w:p>
        </w:tc>
        <w:tc>
          <w:tcPr>
            <w:tcW w:w="2640" w:type="dxa"/>
            <w:vAlign w:val="bottom"/>
          </w:tcPr>
          <w:p>
            <w:pPr>
              <w:spacing w:after="0"/>
              <w:rPr>
                <w:sz w:val="18"/>
                <w:szCs w:val="18"/>
                <w:color w:val="auto"/>
              </w:rPr>
            </w:pPr>
          </w:p>
        </w:tc>
      </w:tr>
      <w:tr>
        <w:trPr>
          <w:trHeight w:val="228"/>
        </w:trPr>
        <w:tc>
          <w:tcPr>
            <w:tcW w:w="3780" w:type="dxa"/>
            <w:vAlign w:val="bottom"/>
          </w:tcPr>
          <w:p>
            <w:pPr>
              <w:spacing w:after="0"/>
              <w:rPr>
                <w:sz w:val="19"/>
                <w:szCs w:val="19"/>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sole member</w:t>
            </w:r>
          </w:p>
        </w:tc>
        <w:tc>
          <w:tcPr>
            <w:tcW w:w="2640" w:type="dxa"/>
            <w:vAlign w:val="bottom"/>
          </w:tcPr>
          <w:p>
            <w:pPr>
              <w:spacing w:after="0"/>
              <w:rPr>
                <w:sz w:val="19"/>
                <w:szCs w:val="19"/>
                <w:color w:val="auto"/>
              </w:rPr>
            </w:pPr>
          </w:p>
        </w:tc>
      </w:tr>
      <w:tr>
        <w:trPr>
          <w:trHeight w:val="432"/>
        </w:trPr>
        <w:tc>
          <w:tcPr>
            <w:tcW w:w="37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 MARC H. RUBINSTEIN</w:t>
            </w:r>
          </w:p>
        </w:tc>
        <w:tc>
          <w:tcPr>
            <w:tcW w:w="2640" w:type="dxa"/>
            <w:vAlign w:val="bottom"/>
          </w:tcPr>
          <w:p>
            <w:pPr>
              <w:spacing w:after="0"/>
              <w:rPr>
                <w:sz w:val="24"/>
                <w:szCs w:val="24"/>
                <w:color w:val="auto"/>
              </w:rPr>
            </w:pPr>
          </w:p>
        </w:tc>
      </w:tr>
      <w:tr>
        <w:trPr>
          <w:trHeight w:val="120"/>
        </w:trPr>
        <w:tc>
          <w:tcPr>
            <w:tcW w:w="3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07"/>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c>
          <w:tcPr>
            <w:tcW w:w="2640" w:type="dxa"/>
            <w:vAlign w:val="bottom"/>
          </w:tcPr>
          <w:p>
            <w:pPr>
              <w:spacing w:after="0"/>
              <w:rPr>
                <w:sz w:val="24"/>
                <w:szCs w:val="24"/>
                <w:color w:val="auto"/>
              </w:rPr>
            </w:pPr>
          </w:p>
        </w:tc>
      </w:tr>
      <w:tr>
        <w:trPr>
          <w:trHeight w:val="228"/>
        </w:trPr>
        <w:tc>
          <w:tcPr>
            <w:tcW w:w="3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w w:val="99"/>
              </w:rPr>
              <w:t>Title: Senior Vice President, General Counsel &amp; Secretary</w:t>
            </w:r>
          </w:p>
        </w:tc>
        <w:tc>
          <w:tcPr>
            <w:tcW w:w="2640" w:type="dxa"/>
            <w:vAlign w:val="bottom"/>
          </w:tcPr>
          <w:p>
            <w:pPr>
              <w:spacing w:after="0"/>
              <w:rPr>
                <w:sz w:val="19"/>
                <w:szCs w:val="19"/>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-443230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-443230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2800"/>
        <w:spacing w:after="0"/>
        <w:tabs>
          <w:tab w:leader="none" w:pos="3300" w:val="left"/>
        </w:tabs>
        <w:rPr>
          <w:sz w:val="20"/>
          <w:szCs w:val="20"/>
          <w:color w:val="auto"/>
        </w:rPr>
      </w:pPr>
      <w:r>
        <w:rPr>
          <w:rFonts w:ascii="Times New Roman" w:cs="Times New Roman" w:eastAsia="Times New Roman" w:hAnsi="Times New Roman"/>
          <w:sz w:val="18"/>
          <w:szCs w:val="18"/>
          <w:color w:val="auto"/>
        </w:rPr>
        <w:t>By:</w:t>
        <w:tab/>
        <w:t>WYNN LAS VEGAS, LLC,</w:t>
      </w:r>
    </w:p>
    <w:p>
      <w:pPr>
        <w:spacing w:after="0" w:line="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 Nevada limited liability company,</w:t>
      </w:r>
    </w:p>
    <w:p>
      <w:pPr>
        <w:sectPr>
          <w:pgSz w:w="11900" w:h="16838" w:orient="portrait"/>
          <w:cols w:equalWidth="0" w:num="1">
            <w:col w:w="11420"/>
          </w:cols>
          <w:pgMar w:left="240" w:top="125" w:right="239" w:bottom="0" w:gutter="0" w:footer="0" w:header="0"/>
        </w:sectPr>
      </w:pPr>
    </w:p>
    <w:p>
      <w:pPr>
        <w:spacing w:after="0" w:line="21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3580" w:space="340"/>
            <w:col w:w="7500"/>
          </w:cols>
          <w:pgMar w:left="240" w:top="125" w:right="239" w:bottom="0" w:gutter="0" w:footer="0" w:header="0"/>
          <w:type w:val="continuous"/>
        </w:sectPr>
      </w:pP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Valvino Lamore, LLC,</w:t>
      </w:r>
    </w:p>
    <w:p>
      <w:pPr>
        <w:sectPr>
          <w:pgSz w:w="11900" w:h="16838" w:orient="portrait"/>
          <w:cols w:equalWidth="0" w:num="2">
            <w:col w:w="4180" w:space="360"/>
            <w:col w:w="6880"/>
          </w:cols>
          <w:pgMar w:left="240" w:top="125" w:right="239" w:bottom="0" w:gutter="0" w:footer="0" w:header="0"/>
          <w:type w:val="continuous"/>
        </w:sectPr>
      </w:pPr>
    </w:p>
    <w:bookmarkStart w:id="115" w:name="page116"/>
    <w:bookmarkEnd w:id="115"/>
    <w:p>
      <w:pPr>
        <w:ind w:left="4540"/>
        <w:spacing w:after="0"/>
        <w:rPr>
          <w:sz w:val="20"/>
          <w:szCs w:val="20"/>
          <w:color w:val="auto"/>
        </w:rPr>
      </w:pPr>
      <w:r>
        <w:rPr>
          <w:rFonts w:ascii="Times New Roman" w:cs="Times New Roman" w:eastAsia="Times New Roman" w:hAnsi="Times New Roman"/>
          <w:sz w:val="18"/>
          <w:szCs w:val="18"/>
          <w:color w:val="auto"/>
        </w:rPr>
        <w:t>a Nevada limited liability</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company, its sole member</w:t>
      </w:r>
    </w:p>
    <w:p>
      <w:pPr>
        <w:spacing w:after="0" w:line="213" w:lineRule="exact"/>
        <w:rPr>
          <w:sz w:val="20"/>
          <w:szCs w:val="20"/>
          <w:color w:val="auto"/>
        </w:rPr>
      </w:pPr>
    </w:p>
    <w:tbl>
      <w:tblPr>
        <w:tblLayout w:type="fixed"/>
        <w:tblInd w:w="454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 a</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Nevada corporation, its sole</w:t>
            </w:r>
          </w:p>
        </w:tc>
      </w:tr>
      <w:tr>
        <w:trPr>
          <w:trHeight w:val="228"/>
        </w:trPr>
        <w:tc>
          <w:tcPr>
            <w:tcW w:w="6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MARC H. RUBINSTEIN</w:t>
            </w:r>
          </w:p>
        </w:tc>
      </w:tr>
      <w:tr>
        <w:trPr>
          <w:trHeight w:val="120"/>
        </w:trPr>
        <w:tc>
          <w:tcPr>
            <w:tcW w:w="60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07"/>
        </w:trPr>
        <w:tc>
          <w:tcPr>
            <w:tcW w:w="60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&amp;</w:t>
            </w:r>
          </w:p>
        </w:tc>
      </w:tr>
      <w:tr>
        <w:trPr>
          <w:trHeight w:val="228"/>
        </w:trPr>
        <w:tc>
          <w:tcPr>
            <w:tcW w:w="6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-491490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2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ind w:left="2800"/>
        <w:spacing w:after="0"/>
        <w:tabs>
          <w:tab w:leader="none" w:pos="3300" w:val="left"/>
        </w:tabs>
        <w:rPr>
          <w:sz w:val="20"/>
          <w:szCs w:val="20"/>
          <w:color w:val="auto"/>
        </w:rPr>
      </w:pPr>
      <w:r>
        <w:rPr>
          <w:rFonts w:ascii="Times New Roman" w:cs="Times New Roman" w:eastAsia="Times New Roman" w:hAnsi="Times New Roman"/>
          <w:sz w:val="18"/>
          <w:szCs w:val="18"/>
          <w:color w:val="auto"/>
        </w:rPr>
        <w:t>By:</w:t>
        <w:tab/>
        <w:t>WYNN LAS VEGAS, LLC,</w:t>
      </w:r>
    </w:p>
    <w:p>
      <w:pPr>
        <w:spacing w:after="0" w:line="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 Nevada limited liability company,</w:t>
      </w:r>
    </w:p>
    <w:p>
      <w:pPr>
        <w:sectPr>
          <w:pgSz w:w="11900" w:h="16838" w:orient="portrait"/>
          <w:cols w:equalWidth="0" w:num="1">
            <w:col w:w="11420"/>
          </w:cols>
          <w:pgMar w:left="240" w:top="125" w:right="239" w:bottom="1440" w:gutter="0" w:footer="0" w:header="0"/>
        </w:sectPr>
      </w:pPr>
    </w:p>
    <w:p>
      <w:pPr>
        <w:spacing w:after="0" w:line="21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3580" w:space="340"/>
            <w:col w:w="7500"/>
          </w:cols>
          <w:pgMar w:left="240" w:top="125" w:right="239" w:bottom="1440" w:gutter="0" w:footer="0" w:header="0"/>
          <w:type w:val="continuous"/>
        </w:sectPr>
      </w:pP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Valvino Lamore, LLC,</w:t>
      </w:r>
    </w:p>
    <w:p>
      <w:pPr>
        <w:spacing w:after="0" w:line="44" w:lineRule="exact"/>
        <w:rPr>
          <w:sz w:val="20"/>
          <w:szCs w:val="20"/>
          <w:color w:val="auto"/>
        </w:rPr>
      </w:pPr>
    </w:p>
    <w:p>
      <w:pPr>
        <w:sectPr>
          <w:pgSz w:w="11900" w:h="16838" w:orient="portrait"/>
          <w:cols w:equalWidth="0" w:num="2">
            <w:col w:w="4180" w:space="360"/>
            <w:col w:w="6880"/>
          </w:cols>
          <w:pgMar w:left="240" w:top="125" w:right="2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company, its sole member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 a</w:t>
            </w:r>
          </w:p>
        </w:tc>
        <w:tc>
          <w:tcPr>
            <w:tcW w:w="2640" w:type="dxa"/>
            <w:vAlign w:val="bottom"/>
          </w:tcPr>
          <w:p>
            <w:pPr>
              <w:spacing w:after="0"/>
              <w:rPr>
                <w:sz w:val="18"/>
                <w:szCs w:val="18"/>
                <w:color w:val="auto"/>
              </w:rPr>
            </w:pPr>
          </w:p>
        </w:tc>
      </w:tr>
      <w:tr>
        <w:trPr>
          <w:trHeight w:val="228"/>
        </w:trPr>
        <w:tc>
          <w:tcPr>
            <w:tcW w:w="5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Nevada corporation, its sole member</w:t>
            </w:r>
          </w:p>
        </w:tc>
        <w:tc>
          <w:tcPr>
            <w:tcW w:w="2640" w:type="dxa"/>
            <w:vAlign w:val="bottom"/>
          </w:tcPr>
          <w:p>
            <w:pPr>
              <w:spacing w:after="0"/>
              <w:rPr>
                <w:sz w:val="19"/>
                <w:szCs w:val="19"/>
                <w:color w:val="auto"/>
              </w:rPr>
            </w:pPr>
          </w:p>
        </w:tc>
      </w:tr>
      <w:tr>
        <w:trPr>
          <w:trHeight w:val="432"/>
        </w:trPr>
        <w:tc>
          <w:tcPr>
            <w:tcW w:w="51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MARC H. RUBINSTEIN</w:t>
            </w:r>
          </w:p>
        </w:tc>
        <w:tc>
          <w:tcPr>
            <w:tcW w:w="2640" w:type="dxa"/>
            <w:vAlign w:val="bottom"/>
          </w:tcPr>
          <w:p>
            <w:pPr>
              <w:spacing w:after="0"/>
              <w:rPr>
                <w:sz w:val="24"/>
                <w:szCs w:val="24"/>
                <w:color w:val="auto"/>
              </w:rPr>
            </w:pPr>
          </w:p>
        </w:tc>
      </w:tr>
      <w:tr>
        <w:trPr>
          <w:trHeight w:val="120"/>
        </w:trPr>
        <w:tc>
          <w:tcPr>
            <w:tcW w:w="514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07"/>
        </w:trPr>
        <w:tc>
          <w:tcPr>
            <w:tcW w:w="514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Name: Marc H. Rubinstein</w:t>
            </w:r>
          </w:p>
        </w:tc>
        <w:tc>
          <w:tcPr>
            <w:tcW w:w="264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&amp;</w:t>
            </w:r>
          </w:p>
        </w:tc>
        <w:tc>
          <w:tcPr>
            <w:tcW w:w="2640" w:type="dxa"/>
            <w:vAlign w:val="bottom"/>
          </w:tcPr>
          <w:p>
            <w:pPr>
              <w:spacing w:after="0"/>
              <w:rPr>
                <w:sz w:val="18"/>
                <w:szCs w:val="18"/>
                <w:color w:val="auto"/>
              </w:rPr>
            </w:pPr>
          </w:p>
        </w:tc>
      </w:tr>
      <w:tr>
        <w:trPr>
          <w:trHeight w:val="228"/>
        </w:trPr>
        <w:tc>
          <w:tcPr>
            <w:tcW w:w="5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2640" w:type="dxa"/>
            <w:vAlign w:val="bottom"/>
          </w:tcPr>
          <w:p>
            <w:pPr>
              <w:spacing w:after="0"/>
              <w:rPr>
                <w:sz w:val="19"/>
                <w:szCs w:val="19"/>
                <w:color w:val="auto"/>
              </w:rPr>
            </w:pPr>
          </w:p>
        </w:tc>
      </w:tr>
      <w:tr>
        <w:trPr>
          <w:trHeight w:val="120"/>
        </w:trPr>
        <w:tc>
          <w:tcPr>
            <w:tcW w:w="51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-580390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-580390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Amendment to Loan Agreement</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AMENDMENT TO LOAN AGREEMENT</w:t>
        </w:r>
      </w:hyperlink>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D9F6E5F"/>
    <w:multiLevelType w:val="hybridMultilevel"/>
    <w:lvl w:ilvl="0">
      <w:lvlJc w:val="left"/>
      <w:lvlText w:val="%1."/>
      <w:numFmt w:val="upperLetter"/>
      <w:start w:val="1"/>
    </w:lvl>
  </w:abstractNum>
  <w:abstractNum w:abstractNumId="1">
    <w:nsid w:val="97E1B4E"/>
    <w:multiLevelType w:val="hybridMultilevel"/>
    <w:lvl w:ilvl="0">
      <w:lvlJc w:val="left"/>
      <w:lvlText w:val="%1."/>
      <w:numFmt w:val="upperLetter"/>
      <w:start w:val="6"/>
    </w:lvl>
  </w:abstractNum>
  <w:abstractNum w:abstractNumId="2">
    <w:nsid w:val="51088277"/>
    <w:multiLevelType w:val="hybridMultilevel"/>
    <w:lvl w:ilvl="0">
      <w:lvlJc w:val="left"/>
      <w:lvlText w:val="(%1)"/>
      <w:numFmt w:val="lowerLetter"/>
      <w:start w:val="2"/>
    </w:lvl>
  </w:abstractNum>
  <w:abstractNum w:abstractNumId="3">
    <w:nsid w:val="1CA0C5FA"/>
    <w:multiLevelType w:val="hybridMultilevel"/>
    <w:lvl w:ilvl="0">
      <w:lvlJc w:val="left"/>
      <w:lvlText w:val="(%1)"/>
      <w:numFmt w:val="lowerRoman"/>
      <w:start w:val="10"/>
    </w:lvl>
  </w:abstractNum>
  <w:abstractNum w:abstractNumId="4">
    <w:nsid w:val="53584BCB"/>
    <w:multiLevelType w:val="hybridMultilevel"/>
    <w:lvl w:ilvl="0">
      <w:lvlJc w:val="left"/>
      <w:lvlText w:val="(%1)"/>
      <w:numFmt w:val="lowerLetter"/>
      <w:start w:val="3"/>
    </w:lvl>
  </w:abstractNum>
  <w:abstractNum w:abstractNumId="5">
    <w:nsid w:val="415E286C"/>
    <w:multiLevelType w:val="hybridMultilevel"/>
    <w:lvl w:ilvl="0">
      <w:lvlJc w:val="left"/>
      <w:lvlText w:val="(%1)"/>
      <w:numFmt w:val="lowerLetter"/>
      <w:start w:val="2"/>
    </w:lvl>
  </w:abstractNum>
  <w:abstractNum w:abstractNumId="6">
    <w:nsid w:val="7C58FD05"/>
    <w:multiLevelType w:val="hybridMultilevel"/>
    <w:lvl w:ilvl="0">
      <w:lvlJc w:val="left"/>
      <w:lvlText w:val="%1"/>
      <w:numFmt w:val="lowerLetter"/>
      <w:start w:val="1"/>
    </w:lvl>
    <w:lvl w:ilvl="1">
      <w:lvlJc w:val="left"/>
      <w:lvlText w:val="(%2)"/>
      <w:numFmt w:val="lowerLetter"/>
      <w:start w:val="3"/>
    </w:lvl>
  </w:abstractNum>
  <w:abstractNum w:abstractNumId="7">
    <w:nsid w:val="23D86AAC"/>
    <w:multiLevelType w:val="hybridMultilevel"/>
    <w:lvl w:ilvl="0">
      <w:lvlJc w:val="left"/>
      <w:lvlText w:val="(%1)"/>
      <w:numFmt w:val="lowerLetter"/>
      <w:start w:val="9"/>
    </w:lvl>
    <w:lvl w:ilvl="1">
      <w:lvlJc w:val="left"/>
      <w:lvlText w:val="%2"/>
      <w:numFmt w:val="lowerLetter"/>
      <w:start w:val="1"/>
    </w:lvl>
  </w:abstractNum>
  <w:abstractNum w:abstractNumId="8">
    <w:nsid w:val="45E6D486"/>
    <w:multiLevelType w:val="hybridMultilevel"/>
    <w:lvl w:ilvl="0">
      <w:lvlJc w:val="left"/>
      <w:lvlText w:val="(%1)"/>
      <w:numFmt w:val="lowerLetter"/>
      <w:start w:val="5"/>
    </w:lvl>
  </w:abstractNum>
  <w:abstractNum w:abstractNumId="9">
    <w:nsid w:val="5C10FE21"/>
    <w:multiLevelType w:val="hybridMultilevel"/>
    <w:lvl w:ilvl="0">
      <w:lvlJc w:val="left"/>
      <w:lvlText w:val="(%1)"/>
      <w:numFmt w:val="lowerLetter"/>
      <w:start w:val="1"/>
    </w:lvl>
  </w:abstractNum>
  <w:abstractNum w:abstractNumId="10">
    <w:nsid w:val="E7FFA2B"/>
    <w:multiLevelType w:val="hybridMultilevel"/>
    <w:lvl w:ilvl="0">
      <w:lvlJc w:val="left"/>
      <w:lvlText w:val="(%1)"/>
      <w:numFmt w:val="lowerLetter"/>
      <w:start w:val="2"/>
    </w:lvl>
  </w:abstractNum>
  <w:abstractNum w:abstractNumId="11">
    <w:nsid w:val="3C5991AA"/>
    <w:multiLevelType w:val="hybridMultilevel"/>
    <w:lvl w:ilvl="0">
      <w:lvlJc w:val="left"/>
      <w:lvlText w:val="(%1)"/>
      <w:numFmt w:val="lowerLetter"/>
      <w:start w:val="1"/>
    </w:lvl>
  </w:abstractNum>
  <w:abstractNum w:abstractNumId="12">
    <w:nsid w:val="4BD8591A"/>
    <w:multiLevelType w:val="hybridMultilevel"/>
    <w:lvl w:ilvl="0">
      <w:lvlJc w:val="left"/>
      <w:lvlText w:val="%1"/>
      <w:numFmt w:val="lowerLetter"/>
      <w:start w:val="1"/>
    </w:lvl>
    <w:lvl w:ilvl="1">
      <w:lvlJc w:val="left"/>
      <w:lvlText w:val="(%2)"/>
      <w:numFmt w:val="lowerLetter"/>
      <w:start w:val="35"/>
    </w:lvl>
  </w:abstractNum>
  <w:abstractNum w:abstractNumId="13">
    <w:nsid w:val="78DF6A55"/>
    <w:multiLevelType w:val="hybridMultilevel"/>
    <w:lvl w:ilvl="0">
      <w:lvlJc w:val="left"/>
      <w:lvlText w:val="(%1)"/>
      <w:numFmt w:val="lowerLetter"/>
      <w:start w:val="2"/>
    </w:lvl>
    <w:lvl w:ilvl="1">
      <w:lvlJc w:val="left"/>
      <w:lvlText w:val="%2"/>
      <w:numFmt w:val="lowerLetter"/>
      <w:start w:val="1"/>
    </w:lvl>
  </w:abstractNum>
  <w:abstractNum w:abstractNumId="14">
    <w:nsid w:val="39B7AAA2"/>
    <w:multiLevelType w:val="hybridMultilevel"/>
    <w:lvl w:ilvl="0">
      <w:lvlJc w:val="left"/>
      <w:lvlText w:val="(%1)"/>
      <w:numFmt w:val="lowerLetter"/>
      <w:start w:val="3"/>
    </w:lvl>
  </w:abstractNum>
  <w:abstractNum w:abstractNumId="15">
    <w:nsid w:val="2B0D8DBE"/>
    <w:multiLevelType w:val="hybridMultilevel"/>
    <w:lvl w:ilvl="0">
      <w:lvlJc w:val="left"/>
      <w:lvlText w:val="%1"/>
      <w:numFmt w:val="upperLetter"/>
      <w:start w:val="1"/>
    </w:lvl>
    <w:lvl w:ilvl="1">
      <w:lvlJc w:val="left"/>
      <w:lvlText w:val="(%2)"/>
      <w:numFmt w:val="lowerLetter"/>
      <w:start w:val="1"/>
    </w:lvl>
  </w:abstractNum>
  <w:abstractNum w:abstractNumId="16">
    <w:nsid w:val="6C80EC70"/>
    <w:multiLevelType w:val="hybridMultilevel"/>
    <w:lvl w:ilvl="0">
      <w:lvlJc w:val="left"/>
      <w:lvlText w:val="(%1)"/>
      <w:numFmt w:val="upperLetter"/>
      <w:start w:val="2"/>
    </w:lvl>
    <w:lvl w:ilvl="1">
      <w:lvlJc w:val="left"/>
      <w:lvlText w:val="%2"/>
      <w:numFmt w:val="lowerLetter"/>
      <w:start w:val="1"/>
    </w:lvl>
  </w:abstractNum>
  <w:abstractNum w:abstractNumId="17">
    <w:nsid w:val="379E21B5"/>
    <w:multiLevelType w:val="hybridMultilevel"/>
    <w:lvl w:ilvl="0">
      <w:lvlJc w:val="left"/>
      <w:lvlText w:val="%1"/>
      <w:numFmt w:val="lowerLetter"/>
      <w:start w:val="1"/>
    </w:lvl>
    <w:lvl w:ilvl="1">
      <w:lvlJc w:val="left"/>
      <w:lvlText w:val="(%2)"/>
      <w:numFmt w:val="lowerLetter"/>
      <w:start w:val="35"/>
    </w:lvl>
  </w:abstractNum>
  <w:abstractNum w:abstractNumId="18">
    <w:nsid w:val="69E373"/>
    <w:multiLevelType w:val="hybridMultilevel"/>
    <w:lvl w:ilvl="0">
      <w:lvlJc w:val="left"/>
      <w:lvlText w:val="(%1)"/>
      <w:numFmt w:val="lowerLetter"/>
      <w:start w:val="2"/>
    </w:lvl>
    <w:lvl w:ilvl="1">
      <w:lvlJc w:val="left"/>
      <w:lvlText w:val="%2"/>
      <w:numFmt w:val="lowerLetter"/>
      <w:start w:val="1"/>
    </w:lvl>
  </w:abstractNum>
  <w:abstractNum w:abstractNumId="19">
    <w:nsid w:val="2C27173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20">
    <w:nsid w:val="4C9B0904"/>
    <w:multiLevelType w:val="hybridMultilevel"/>
    <w:lvl w:ilvl="0">
      <w:lvlJc w:val="left"/>
      <w:lvlText w:val="(%1)"/>
      <w:numFmt w:val="lowerLetter"/>
      <w:start w:val="1"/>
    </w:lvl>
  </w:abstractNum>
  <w:abstractNum w:abstractNumId="21">
    <w:nsid w:val="6AA7B75C"/>
    <w:multiLevelType w:val="hybridMultilevel"/>
    <w:lvl w:ilvl="0">
      <w:lvlJc w:val="left"/>
      <w:lvlText w:val="(%1)"/>
      <w:numFmt w:val="lowerLetter"/>
      <w:start w:val="1"/>
    </w:lvl>
  </w:abstractNum>
  <w:abstractNum w:abstractNumId="22">
    <w:nsid w:val="1DF029D3"/>
    <w:multiLevelType w:val="hybridMultilevel"/>
    <w:lvl w:ilvl="0">
      <w:lvlJc w:val="left"/>
      <w:lvlText w:val="(%1)"/>
      <w:numFmt w:val="lowerLetter"/>
      <w:start w:val="1"/>
    </w:lvl>
  </w:abstractNum>
  <w:abstractNum w:abstractNumId="23">
    <w:nsid w:val="5675FF36"/>
    <w:multiLevelType w:val="hybridMultilevel"/>
    <w:lvl w:ilvl="0">
      <w:lvlJc w:val="left"/>
      <w:lvlText w:val="(%1)"/>
      <w:numFmt w:val="lowerLetter"/>
      <w:start w:val="1"/>
    </w:lvl>
  </w:abstractNum>
  <w:abstractNum w:abstractNumId="24">
    <w:nsid w:val="3DD15094"/>
    <w:multiLevelType w:val="hybridMultilevel"/>
    <w:lvl w:ilvl="0">
      <w:lvlJc w:val="left"/>
      <w:lvlText w:val="%1"/>
      <w:numFmt w:val="lowerRoman"/>
      <w:start w:val="1"/>
    </w:lvl>
    <w:lvl w:ilvl="1">
      <w:lvlJc w:val="left"/>
      <w:lvlText w:val="(%2)"/>
      <w:numFmt w:val="lowerLetter"/>
      <w:start w:val="1"/>
    </w:lvl>
  </w:abstractNum>
  <w:abstractNum w:abstractNumId="25">
    <w:nsid w:val="3DB012B3"/>
    <w:multiLevelType w:val="hybridMultilevel"/>
    <w:lvl w:ilvl="0">
      <w:lvlJc w:val="left"/>
      <w:lvlText w:val="(%1)"/>
      <w:numFmt w:val="lowerRoman"/>
      <w:start w:val="2"/>
    </w:lvl>
    <w:lvl w:ilvl="1">
      <w:lvlJc w:val="left"/>
      <w:lvlText w:val="(%2)"/>
      <w:numFmt w:val="lowerLetter"/>
      <w:start w:val="4"/>
    </w:lvl>
  </w:abstractNum>
  <w:abstractNum w:abstractNumId="26">
    <w:nsid w:val="2708C9AF"/>
    <w:multiLevelType w:val="hybridMultilevel"/>
    <w:lvl w:ilvl="0">
      <w:lvlJc w:val="left"/>
      <w:lvlText w:val="(%1)"/>
      <w:numFmt w:val="lowerLetter"/>
      <w:start w:val="1"/>
    </w:lvl>
  </w:abstractNum>
  <w:abstractNum w:abstractNumId="27">
    <w:nsid w:val="5B25ACE2"/>
    <w:multiLevelType w:val="hybridMultilevel"/>
    <w:lvl w:ilvl="0">
      <w:lvlJc w:val="left"/>
      <w:lvlText w:val="(%1)"/>
      <w:numFmt w:val="lowerLetter"/>
      <w:start w:val="1"/>
    </w:lvl>
  </w:abstractNum>
  <w:abstractNum w:abstractNumId="28">
    <w:nsid w:val="175DFCF0"/>
    <w:multiLevelType w:val="hybridMultilevel"/>
    <w:lvl w:ilvl="0">
      <w:lvlJc w:val="left"/>
      <w:lvlText w:val="(%1)"/>
      <w:numFmt w:val="lowerLetter"/>
      <w:start w:val="2"/>
    </w:lvl>
  </w:abstractNum>
  <w:abstractNum w:abstractNumId="29">
    <w:nsid w:val="4F97E3E4"/>
    <w:multiLevelType w:val="hybridMultilevel"/>
    <w:lvl w:ilvl="0">
      <w:lvlJc w:val="left"/>
      <w:lvlText w:val="(%1)"/>
      <w:numFmt w:val="lowerLetter"/>
      <w:start w:val="1"/>
    </w:lvl>
  </w:abstractNum>
  <w:abstractNum w:abstractNumId="30">
    <w:nsid w:val="53B0A9E"/>
    <w:multiLevelType w:val="hybridMultilevel"/>
    <w:lvl w:ilvl="0">
      <w:lvlJc w:val="left"/>
      <w:lvlText w:val="%1"/>
      <w:numFmt w:val="decimal"/>
      <w:start w:val="1"/>
    </w:lvl>
    <w:lvl w:ilvl="1">
      <w:lvlJc w:val="left"/>
      <w:lvlText w:val="(%2)"/>
      <w:numFmt w:val="lowerLetter"/>
      <w:start w:val="1"/>
    </w:lvl>
  </w:abstractNum>
  <w:abstractNum w:abstractNumId="31">
    <w:nsid w:val="34FD6B4F"/>
    <w:multiLevelType w:val="hybridMultilevel"/>
    <w:lvl w:ilvl="0">
      <w:lvlJc w:val="left"/>
      <w:lvlText w:val="(%1)"/>
      <w:numFmt w:val="decimal"/>
      <w:start w:val="45"/>
    </w:lvl>
    <w:lvl w:ilvl="1">
      <w:lvlJc w:val="left"/>
      <w:lvlText w:val="%2"/>
      <w:numFmt w:val="lowerLetter"/>
      <w:start w:val="1"/>
    </w:lvl>
  </w:abstractNum>
  <w:abstractNum w:abstractNumId="32">
    <w:nsid w:val="5915FF32"/>
    <w:multiLevelType w:val="hybridMultilevel"/>
    <w:lvl w:ilvl="0">
      <w:lvlJc w:val="left"/>
      <w:lvlText w:val="(%1)"/>
      <w:numFmt w:val="lowerLetter"/>
      <w:start w:val="3"/>
    </w:lvl>
  </w:abstractNum>
  <w:abstractNum w:abstractNumId="33">
    <w:nsid w:val="56438D15"/>
    <w:multiLevelType w:val="hybridMultilevel"/>
    <w:lvl w:ilvl="0">
      <w:lvlJc w:val="left"/>
      <w:lvlText w:val="(%1)"/>
      <w:numFmt w:val="lowerLetter"/>
      <w:start w:val="1"/>
    </w:lvl>
  </w:abstractNum>
  <w:abstractNum w:abstractNumId="34">
    <w:nsid w:val="519E3149"/>
    <w:multiLevelType w:val="hybridMultilevel"/>
    <w:lvl w:ilvl="0">
      <w:lvlJc w:val="left"/>
      <w:lvlText w:val="(%1)"/>
      <w:numFmt w:val="lowerLetter"/>
      <w:start w:val="2"/>
    </w:lvl>
  </w:abstractNum>
  <w:abstractNum w:abstractNumId="35">
    <w:nsid w:val="2C6E4AFD"/>
    <w:multiLevelType w:val="hybridMultilevel"/>
    <w:lvl w:ilvl="0">
      <w:lvlJc w:val="left"/>
      <w:lvlText w:val="(%1)"/>
      <w:numFmt w:val="lowerLetter"/>
      <w:start w:val="1"/>
    </w:lvl>
  </w:abstractNum>
  <w:abstractNum w:abstractNumId="36">
    <w:nsid w:val="17A1B582"/>
    <w:multiLevelType w:val="hybridMultilevel"/>
    <w:lvl w:ilvl="0">
      <w:lvlJc w:val="left"/>
      <w:lvlText w:val="(%1)"/>
      <w:numFmt w:val="lowerLetter"/>
      <w:start w:val="1"/>
    </w:lvl>
  </w:abstractNum>
  <w:abstractNum w:abstractNumId="37">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8">
    <w:nsid w:val="5046B5A9"/>
    <w:multiLevelType w:val="hybridMultilevel"/>
    <w:lvl w:ilvl="0">
      <w:lvlJc w:val="left"/>
      <w:lvlText w:val="(%1)"/>
      <w:numFmt w:val="lowerRoman"/>
      <w:start w:val="1"/>
    </w:lvl>
  </w:abstractNum>
  <w:abstractNum w:abstractNumId="39">
    <w:nsid w:val="5D888A08"/>
    <w:multiLevelType w:val="hybridMultilevel"/>
    <w:lvl w:ilvl="0">
      <w:lvlJc w:val="left"/>
      <w:lvlText w:val="(%1)"/>
      <w:numFmt w:val="lowerRoman"/>
      <w:start w:val="2"/>
    </w:lvl>
  </w:abstractNum>
  <w:abstractNum w:abstractNumId="40">
    <w:nsid w:val="2A082C70"/>
    <w:multiLevelType w:val="hybridMultilevel"/>
    <w:lvl w:ilvl="0">
      <w:lvlJc w:val="left"/>
      <w:lvlText w:val="(%1)"/>
      <w:numFmt w:val="lowerLetter"/>
      <w:start w:val="1"/>
    </w:lvl>
  </w:abstractNum>
  <w:abstractNum w:abstractNumId="41">
    <w:nsid w:val="5EC6AFD4"/>
    <w:multiLevelType w:val="hybridMultilevel"/>
    <w:lvl w:ilvl="0">
      <w:lvlJc w:val="left"/>
      <w:lvlText w:val="(%1)"/>
      <w:numFmt w:val="lowerLetter"/>
      <w:start w:val="1"/>
    </w:lvl>
    <w:lvl w:ilvl="1">
      <w:lvlJc w:val="left"/>
      <w:lvlText w:val="(%2)"/>
      <w:numFmt w:val="lowerLetter"/>
      <w:start w:val="9"/>
    </w:lvl>
  </w:abstractNum>
  <w:abstractNum w:abstractNumId="42">
    <w:nsid w:val="19E21BB2"/>
    <w:multiLevelType w:val="hybridMultilevel"/>
    <w:lvl w:ilvl="0">
      <w:lvlJc w:val="left"/>
      <w:lvlText w:val="(%1)"/>
      <w:numFmt w:val="lowerRoman"/>
      <w:start w:val="2"/>
    </w:lvl>
  </w:abstractNum>
  <w:abstractNum w:abstractNumId="43">
    <w:nsid w:val="75E0858A"/>
    <w:multiLevelType w:val="hybridMultilevel"/>
    <w:lvl w:ilvl="0">
      <w:lvlJc w:val="left"/>
      <w:lvlText w:val="(%1)"/>
      <w:numFmt w:val="lowerRoman"/>
      <w:start w:val="3"/>
    </w:lvl>
  </w:abstractNum>
  <w:abstractNum w:abstractNumId="44">
    <w:nsid w:val="57A61A29"/>
    <w:multiLevelType w:val="hybridMultilevel"/>
    <w:lvl w:ilvl="0">
      <w:lvlJc w:val="left"/>
      <w:lvlText w:val="%1"/>
      <w:numFmt w:val="lowerLetter"/>
      <w:start w:val="1"/>
    </w:lvl>
    <w:lvl w:ilvl="1">
      <w:lvlJc w:val="left"/>
      <w:lvlText w:val="(%2)"/>
      <w:numFmt w:val="lowerLetter"/>
      <w:start w:val="1"/>
    </w:lvl>
  </w:abstractNum>
  <w:abstractNum w:abstractNumId="45">
    <w:nsid w:val="5399C654"/>
    <w:multiLevelType w:val="hybridMultilevel"/>
    <w:lvl w:ilvl="0">
      <w:lvlJc w:val="left"/>
      <w:lvlText w:val="(%1)"/>
      <w:numFmt w:val="lowerLetter"/>
      <w:start w:val="35"/>
    </w:lvl>
    <w:lvl w:ilvl="1">
      <w:lvlJc w:val="left"/>
      <w:lvlText w:val="%2"/>
      <w:numFmt w:val="lowerLetter"/>
      <w:start w:val="1"/>
    </w:lvl>
  </w:abstractNum>
  <w:abstractNum w:abstractNumId="46">
    <w:nsid w:val="20EE1348"/>
    <w:multiLevelType w:val="hybridMultilevel"/>
    <w:lvl w:ilvl="0">
      <w:lvlJc w:val="left"/>
      <w:lvlText w:val="(%1)"/>
      <w:numFmt w:val="lowerLetter"/>
      <w:start w:val="2"/>
    </w:lvl>
  </w:abstractNum>
  <w:abstractNum w:abstractNumId="47">
    <w:nsid w:val="4427069A"/>
    <w:multiLevelType w:val="hybridMultilevel"/>
    <w:lvl w:ilvl="0">
      <w:lvlJc w:val="left"/>
      <w:lvlText w:val="(%1)"/>
      <w:numFmt w:val="lowerLetter"/>
      <w:start w:val="1"/>
    </w:lvl>
  </w:abstractNum>
  <w:abstractNum w:abstractNumId="48">
    <w:nsid w:val="B37E80A"/>
    <w:multiLevelType w:val="hybridMultilevel"/>
    <w:lvl w:ilvl="0">
      <w:lvlJc w:val="left"/>
      <w:lvlText w:val="(%1)"/>
      <w:numFmt w:val="lowerLetter"/>
      <w:start w:val="9"/>
    </w:lvl>
  </w:abstractNum>
  <w:abstractNum w:abstractNumId="49">
    <w:nsid w:val="2157F6BC"/>
    <w:multiLevelType w:val="hybridMultilevel"/>
    <w:lvl w:ilvl="0">
      <w:lvlJc w:val="left"/>
      <w:lvlText w:val="(%1)"/>
      <w:numFmt w:val="lowerLetter"/>
      <w:start w:val="1"/>
    </w:lvl>
  </w:abstractNum>
  <w:abstractNum w:abstractNumId="50">
    <w:nsid w:val="704E1DD5"/>
    <w:multiLevelType w:val="hybridMultilevel"/>
    <w:lvl w:ilvl="0">
      <w:lvlJc w:val="left"/>
      <w:lvlText w:val="(%1)"/>
      <w:numFmt w:val="decimal"/>
      <w:start w:val="15"/>
    </w:lvl>
    <w:lvl w:ilvl="1">
      <w:lvlJc w:val="left"/>
      <w:lvlText w:val="(%2)"/>
      <w:numFmt w:val="lowerLetter"/>
      <w:start w:val="2"/>
    </w:lvl>
  </w:abstractNum>
  <w:abstractNum w:abstractNumId="51">
    <w:nsid w:val="57D2F10E"/>
    <w:multiLevelType w:val="hybridMultilevel"/>
    <w:lvl w:ilvl="0">
      <w:lvlJc w:val="left"/>
      <w:lvlText w:val="(%1)"/>
      <w:numFmt w:val="lowerLetter"/>
      <w:start w:val="1"/>
    </w:lvl>
  </w:abstractNum>
  <w:abstractNum w:abstractNumId="52">
    <w:nsid w:val="BFFAE18"/>
    <w:multiLevelType w:val="hybridMultilevel"/>
    <w:lvl w:ilvl="0">
      <w:lvlJc w:val="left"/>
      <w:lvlText w:val="(%1)"/>
      <w:numFmt w:val="lowerLetter"/>
      <w:start w:val="4"/>
    </w:lvl>
  </w:abstractNum>
  <w:abstractNum w:abstractNumId="53">
    <w:nsid w:val="E3E47A8"/>
    <w:multiLevelType w:val="hybridMultilevel"/>
    <w:lvl w:ilvl="0">
      <w:lvlJc w:val="left"/>
      <w:lvlText w:val="(%1)"/>
      <w:numFmt w:val="lowerLetter"/>
      <w:start w:val="5"/>
    </w:lvl>
  </w:abstractNum>
  <w:abstractNum w:abstractNumId="54">
    <w:nsid w:val="2E48F044"/>
    <w:multiLevelType w:val="hybridMultilevel"/>
    <w:lvl w:ilvl="0">
      <w:lvlJc w:val="left"/>
      <w:lvlText w:val="(%1)"/>
      <w:numFmt w:val="lowerLetter"/>
      <w:start w:val="5"/>
    </w:lvl>
  </w:abstractNum>
  <w:abstractNum w:abstractNumId="55">
    <w:nsid w:val="49D0FEAC"/>
    <w:multiLevelType w:val="hybridMultilevel"/>
    <w:lvl w:ilvl="0">
      <w:lvlJc w:val="left"/>
      <w:lvlText w:val="(%1)"/>
      <w:numFmt w:val="lowerLetter"/>
      <w:start w:val="1"/>
    </w:lvl>
  </w:abstractNum>
  <w:abstractNum w:abstractNumId="56">
    <w:nsid w:val="4BEE5A5B"/>
    <w:multiLevelType w:val="hybridMultilevel"/>
    <w:lvl w:ilvl="0">
      <w:lvlJc w:val="left"/>
      <w:lvlText w:val="(%1)"/>
      <w:numFmt w:val="lowerLetter"/>
      <w:start w:val="1"/>
    </w:lvl>
  </w:abstractNum>
  <w:abstractNum w:abstractNumId="57">
    <w:nsid w:val="5551B9F3"/>
    <w:multiLevelType w:val="hybridMultilevel"/>
    <w:lvl w:ilvl="0">
      <w:lvlJc w:val="left"/>
      <w:lvlText w:val="(%1)"/>
      <w:numFmt w:val="lowerLetter"/>
      <w:start w:val="1"/>
    </w:lvl>
  </w:abstractNum>
  <w:abstractNum w:abstractNumId="58">
    <w:nsid w:val="24F6AB8E"/>
    <w:multiLevelType w:val="hybridMultilevel"/>
    <w:lvl w:ilvl="0">
      <w:lvlJc w:val="left"/>
      <w:lvlText w:val="(%1)"/>
      <w:numFmt w:val="lowerLetter"/>
      <w:start w:val="1"/>
    </w:lvl>
  </w:abstractNum>
  <w:abstractNum w:abstractNumId="59">
    <w:nsid w:val="634C574C"/>
    <w:multiLevelType w:val="hybridMultilevel"/>
    <w:lvl w:ilvl="0">
      <w:lvlJc w:val="left"/>
      <w:lvlText w:val="(%1)"/>
      <w:numFmt w:val="lowerLetter"/>
      <w:start w:val="5"/>
    </w:lvl>
  </w:abstractNum>
  <w:abstractNum w:abstractNumId="60">
    <w:nsid w:val="24E99DD7"/>
    <w:multiLevelType w:val="hybridMultilevel"/>
    <w:lvl w:ilvl="0">
      <w:lvlJc w:val="left"/>
      <w:lvlText w:val="(%1)"/>
      <w:numFmt w:val="lowerLetter"/>
      <w:start w:val="1"/>
    </w:lvl>
    <w:lvl w:ilvl="1">
      <w:lvlJc w:val="left"/>
      <w:lvlText w:val="(%2)"/>
      <w:numFmt w:val="lowerLetter"/>
      <w:start w:val="9"/>
    </w:lvl>
  </w:abstractNum>
  <w:abstractNum w:abstractNumId="61">
    <w:nsid w:val="2A31B62D"/>
    <w:multiLevelType w:val="hybridMultilevel"/>
    <w:lvl w:ilvl="0">
      <w:lvlJc w:val="left"/>
      <w:lvlText w:val="(%1)"/>
      <w:numFmt w:val="lowerLetter"/>
      <w:start w:val="25"/>
    </w:lvl>
  </w:abstractNum>
  <w:abstractNum w:abstractNumId="62">
    <w:nsid w:val="1849C29B"/>
    <w:multiLevelType w:val="hybridMultilevel"/>
    <w:lvl w:ilvl="0">
      <w:lvlJc w:val="left"/>
      <w:lvlText w:val="%1"/>
      <w:numFmt w:val="lowerLetter"/>
      <w:start w:val="1"/>
    </w:lvl>
    <w:lvl w:ilvl="1">
      <w:lvlJc w:val="left"/>
      <w:lvlText w:val="(%2)"/>
      <w:numFmt w:val="lowerLetter"/>
      <w:start w:val="35"/>
    </w:lvl>
  </w:abstractNum>
  <w:abstractNum w:abstractNumId="63">
    <w:nsid w:val="7DFF9D09"/>
    <w:multiLevelType w:val="hybridMultilevel"/>
    <w:lvl w:ilvl="0">
      <w:lvlJc w:val="left"/>
      <w:lvlText w:val="(%1)"/>
      <w:numFmt w:val="lowerLetter"/>
      <w:start w:val="3"/>
    </w:lvl>
    <w:lvl w:ilvl="1">
      <w:lvlJc w:val="left"/>
      <w:lvlText w:val="%2"/>
      <w:numFmt w:val="lowerLetter"/>
      <w:start w:val="1"/>
    </w:lvl>
  </w:abstractNum>
  <w:abstractNum w:abstractNumId="64">
    <w:nsid w:val="754342"/>
    <w:multiLevelType w:val="hybridMultilevel"/>
    <w:lvl w:ilvl="0">
      <w:lvlJc w:val="left"/>
      <w:lvlText w:val="%1"/>
      <w:numFmt w:val="lowerLetter"/>
      <w:start w:val="1"/>
    </w:lvl>
    <w:lvl w:ilvl="1">
      <w:lvlJc w:val="left"/>
      <w:lvlText w:val="(%2)"/>
      <w:numFmt w:val="lowerLetter"/>
      <w:start w:val="1"/>
    </w:lvl>
  </w:abstractNum>
  <w:abstractNum w:abstractNumId="65">
    <w:nsid w:val="69E7F3E5"/>
    <w:multiLevelType w:val="hybridMultilevel"/>
    <w:lvl w:ilvl="0">
      <w:lvlJc w:val="left"/>
      <w:lvlText w:val="(%1)"/>
      <w:numFmt w:val="lowerLetter"/>
      <w:start w:val="22"/>
    </w:lvl>
    <w:lvl w:ilvl="1">
      <w:lvlJc w:val="left"/>
      <w:lvlText w:val="(%2)"/>
      <w:numFmt w:val="lowerLetter"/>
      <w:start w:val="2"/>
    </w:lvl>
  </w:abstractNum>
  <w:abstractNum w:abstractNumId="66">
    <w:nsid w:val="2A6DE806"/>
    <w:multiLevelType w:val="hybridMultilevel"/>
    <w:lvl w:ilvl="0">
      <w:lvlJc w:val="left"/>
      <w:lvlText w:val="(%1)"/>
      <w:numFmt w:val="lowerRoman"/>
      <w:start w:val="1"/>
    </w:lvl>
  </w:abstractNum>
  <w:abstractNum w:abstractNumId="67">
    <w:nsid w:val="1816F8C4"/>
    <w:multiLevelType w:val="hybridMultilevel"/>
    <w:lvl w:ilvl="0">
      <w:lvlJc w:val="left"/>
      <w:lvlText w:val="(%1)"/>
      <w:numFmt w:val="lowerLetter"/>
      <w:start w:val="1"/>
    </w:lvl>
    <w:lvl w:ilvl="1">
      <w:lvlJc w:val="left"/>
      <w:lvlText w:val="(%2)"/>
      <w:numFmt w:val="lowerLetter"/>
      <w:start w:val="9"/>
    </w:lvl>
  </w:abstractNum>
  <w:abstractNum w:abstractNumId="68">
    <w:nsid w:val="37DF223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4"/>
    </w:lvl>
  </w:abstractNum>
  <w:abstractNum w:abstractNumId="69">
    <w:nsid w:val="7AB49DAF"/>
    <w:multiLevelType w:val="hybridMultilevel"/>
    <w:lvl w:ilvl="0">
      <w:lvlJc w:val="left"/>
      <w:lvlText w:val="%1"/>
      <w:numFmt w:val="lowerLetter"/>
      <w:start w:val="1"/>
    </w:lvl>
    <w:lvl w:ilvl="1">
      <w:lvlJc w:val="left"/>
      <w:lvlText w:val="(%2)"/>
      <w:numFmt w:val="lowerLetter"/>
      <w:start w:val="35"/>
    </w:lvl>
  </w:abstractNum>
  <w:abstractNum w:abstractNumId="70">
    <w:nsid w:val="759F82CD"/>
    <w:multiLevelType w:val="hybridMultilevel"/>
    <w:lvl w:ilvl="0">
      <w:lvlJc w:val="left"/>
      <w:lvlText w:val="(%1)"/>
      <w:numFmt w:val="lowerLetter"/>
      <w:start w:val="2"/>
    </w:lvl>
    <w:lvl w:ilvl="1">
      <w:lvlJc w:val="left"/>
      <w:lvlText w:val="%2"/>
      <w:numFmt w:val="lowerLetter"/>
      <w:start w:val="1"/>
    </w:lvl>
  </w:abstractNum>
  <w:abstractNum w:abstractNumId="71">
    <w:nsid w:val="61E74EA3"/>
    <w:multiLevelType w:val="hybridMultilevel"/>
    <w:lvl w:ilvl="0">
      <w:lvlJc w:val="left"/>
      <w:lvlText w:val="(%1)"/>
      <w:numFmt w:val="lowerLetter"/>
      <w:start w:val="7"/>
    </w:lvl>
  </w:abstractNum>
  <w:abstractNum w:abstractNumId="72">
    <w:nsid w:val="597B4D84"/>
    <w:multiLevelType w:val="hybridMultilevel"/>
    <w:lvl w:ilvl="0">
      <w:lvlJc w:val="left"/>
      <w:lvlText w:val="(%1)"/>
      <w:numFmt w:val="lowerLetter"/>
      <w:start w:val="1"/>
    </w:lvl>
    <w:lvl w:ilvl="1">
      <w:lvlJc w:val="left"/>
      <w:lvlText w:val="(%2)"/>
      <w:numFmt w:val="lowerRoman"/>
      <w:start w:val="2"/>
    </w:lvl>
  </w:abstractNum>
  <w:abstractNum w:abstractNumId="73">
    <w:nsid w:val="F819E7F"/>
    <w:multiLevelType w:val="hybridMultilevel"/>
    <w:lvl w:ilvl="0">
      <w:lvlJc w:val="left"/>
      <w:lvlText w:val="(%1)"/>
      <w:numFmt w:val="lowerLetter"/>
      <w:start w:val="3"/>
    </w:lvl>
  </w:abstractNum>
  <w:abstractNum w:abstractNumId="74">
    <w:nsid w:val="57C7D42D"/>
    <w:multiLevelType w:val="hybridMultilevel"/>
    <w:lvl w:ilvl="0">
      <w:lvlJc w:val="left"/>
      <w:lvlText w:val="(%1)"/>
      <w:numFmt w:val="lowerLetter"/>
      <w:start w:val="1"/>
    </w:lvl>
  </w:abstractNum>
  <w:abstractNum w:abstractNumId="75">
    <w:nsid w:val="312167AD"/>
    <w:multiLevelType w:val="hybridMultilevel"/>
    <w:lvl w:ilvl="0">
      <w:lvlJc w:val="left"/>
      <w:lvlText w:val="(%1)"/>
      <w:numFmt w:val="lowerLetter"/>
      <w:start w:val="1"/>
    </w:lvl>
  </w:abstractNum>
  <w:abstractNum w:abstractNumId="76">
    <w:nsid w:val="631B64D4"/>
    <w:multiLevelType w:val="hybridMultilevel"/>
    <w:lvl w:ilvl="0">
      <w:lvlJc w:val="left"/>
      <w:lvlText w:val="(%1)"/>
      <w:numFmt w:val="lowerLetter"/>
      <w:start w:val="3"/>
    </w:lvl>
  </w:abstractNum>
  <w:abstractNum w:abstractNumId="77">
    <w:nsid w:val="78B5E776"/>
    <w:multiLevelType w:val="hybridMultilevel"/>
    <w:lvl w:ilvl="0">
      <w:lvlJc w:val="left"/>
      <w:lvlText w:val="(%1)"/>
      <w:numFmt w:val="lowerLetter"/>
      <w:start w:val="1"/>
    </w:lvl>
  </w:abstractNum>
  <w:abstractNum w:abstractNumId="78">
    <w:nsid w:val="75486E47"/>
    <w:multiLevelType w:val="hybridMultilevel"/>
    <w:lvl w:ilvl="0">
      <w:lvlJc w:val="left"/>
      <w:lvlText w:val="(%1)"/>
      <w:numFmt w:val="lowerLetter"/>
      <w:start w:val="1"/>
    </w:lvl>
  </w:abstractNum>
  <w:abstractNum w:abstractNumId="79">
    <w:nsid w:val="6E534CDE"/>
    <w:multiLevelType w:val="hybridMultilevel"/>
    <w:lvl w:ilvl="0">
      <w:lvlJc w:val="left"/>
      <w:lvlText w:val="(%1)"/>
      <w:numFmt w:val="lowerLetter"/>
      <w:start w:val="1"/>
    </w:lvl>
  </w:abstractNum>
  <w:abstractNum w:abstractNumId="80">
    <w:nsid w:val="1A0DDE32"/>
    <w:multiLevelType w:val="hybridMultilevel"/>
    <w:lvl w:ilvl="0">
      <w:lvlJc w:val="left"/>
      <w:lvlText w:val="(%1)"/>
      <w:numFmt w:val="upperLetter"/>
      <w:start w:val="2"/>
    </w:lvl>
  </w:abstractNum>
  <w:abstractNum w:abstractNumId="81">
    <w:nsid w:val="65968C1C"/>
    <w:multiLevelType w:val="hybridMultilevel"/>
    <w:lvl w:ilvl="0">
      <w:lvlJc w:val="left"/>
      <w:lvlText w:val="(%1)"/>
      <w:numFmt w:val="lowerLetter"/>
      <w:start w:val="1"/>
    </w:lvl>
  </w:abstractNum>
  <w:abstractNum w:abstractNumId="82">
    <w:nsid w:val="46263DEC"/>
    <w:multiLevelType w:val="hybridMultilevel"/>
    <w:lvl w:ilvl="0">
      <w:lvlJc w:val="left"/>
      <w:lvlText w:val="(%1)"/>
      <w:numFmt w:val="lowerLetter"/>
      <w:start w:val="1"/>
    </w:lvl>
    <w:lvl w:ilvl="1">
      <w:lvlJc w:val="left"/>
      <w:lvlText w:val="(%2)"/>
      <w:numFmt w:val="lowerLetter"/>
      <w:start w:val="9"/>
    </w:lvl>
  </w:abstractNum>
  <w:abstractNum w:abstractNumId="83">
    <w:nsid w:val="260D8C4A"/>
    <w:multiLevelType w:val="hybridMultilevel"/>
    <w:lvl w:ilvl="0">
      <w:lvlJc w:val="left"/>
      <w:lvlText w:val="%1"/>
      <w:numFmt w:val="lowerLetter"/>
      <w:start w:val="1"/>
    </w:lvl>
    <w:lvl w:ilvl="1">
      <w:lvlJc w:val="left"/>
      <w:lvlText w:val="(%2)"/>
      <w:numFmt w:val="lowerLetter"/>
      <w:start w:val="35"/>
    </w:lvl>
  </w:abstractNum>
  <w:abstractNum w:abstractNumId="84">
    <w:nsid w:val="73D4D3C4"/>
    <w:multiLevelType w:val="hybridMultilevel"/>
    <w:lvl w:ilvl="0">
      <w:lvlJc w:val="left"/>
      <w:lvlText w:val="(%1)"/>
      <w:numFmt w:val="lowerLetter"/>
      <w:start w:val="2"/>
    </w:lvl>
    <w:lvl w:ilvl="1">
      <w:lvlJc w:val="left"/>
      <w:lvlText w:val="%2"/>
      <w:numFmt w:val="lowerLetter"/>
      <w:start w:val="1"/>
    </w:lvl>
  </w:abstractNum>
  <w:abstractNum w:abstractNumId="85">
    <w:nsid w:val="746F2E30"/>
    <w:multiLevelType w:val="hybridMultilevel"/>
    <w:lvl w:ilvl="0">
      <w:lvlJc w:val="left"/>
      <w:lvlText w:val="(%1)"/>
      <w:numFmt w:val="lowerLetter"/>
      <w:start w:val="1"/>
    </w:lvl>
  </w:abstractNum>
  <w:abstractNum w:abstractNumId="86">
    <w:nsid w:val="6FDE8AF6"/>
    <w:multiLevelType w:val="hybridMultilevel"/>
    <w:lvl w:ilvl="0">
      <w:lvlJc w:val="left"/>
      <w:lvlText w:val="(%1)"/>
      <w:numFmt w:val="lowerRoman"/>
      <w:start w:val="2"/>
    </w:lvl>
  </w:abstractNum>
  <w:abstractNum w:abstractNumId="87">
    <w:nsid w:val="3FC32E20"/>
    <w:multiLevelType w:val="hybridMultilevel"/>
    <w:lvl w:ilvl="0">
      <w:lvlJc w:val="left"/>
      <w:lvlText w:val="(%1)"/>
      <w:numFmt w:val="lowerRoman"/>
      <w:start w:val="3"/>
    </w:lvl>
  </w:abstractNum>
  <w:abstractNum w:abstractNumId="88">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89">
    <w:nsid w:val="14D53685"/>
    <w:multiLevelType w:val="hybridMultilevel"/>
    <w:lvl w:ilvl="0">
      <w:lvlJc w:val="left"/>
      <w:lvlText w:val="%1"/>
      <w:numFmt w:val="lowerLetter"/>
      <w:start w:val="1"/>
    </w:lvl>
    <w:lvl w:ilvl="1">
      <w:lvlJc w:val="left"/>
      <w:lvlText w:val="(%2)"/>
      <w:numFmt w:val="lowerLetter"/>
      <w:start w:val="35"/>
    </w:lvl>
  </w:abstractNum>
  <w:abstractNum w:abstractNumId="90">
    <w:nsid w:val="230F856C"/>
    <w:multiLevelType w:val="hybridMultilevel"/>
    <w:lvl w:ilvl="0">
      <w:lvlJc w:val="left"/>
      <w:lvlText w:val="(%1)"/>
      <w:numFmt w:val="lowerLetter"/>
      <w:start w:val="5"/>
    </w:lvl>
    <w:lvl w:ilvl="1">
      <w:lvlJc w:val="left"/>
      <w:lvlText w:val="%2"/>
      <w:numFmt w:val="lowerLetter"/>
      <w:start w:val="1"/>
    </w:lvl>
  </w:abstractNum>
  <w:abstractNum w:abstractNumId="91">
    <w:nsid w:val="6EAA85FB"/>
    <w:multiLevelType w:val="hybridMultilevel"/>
    <w:lvl w:ilvl="0">
      <w:lvlJc w:val="left"/>
      <w:lvlText w:val="(%1)"/>
      <w:numFmt w:val="lowerLetter"/>
      <w:start w:val="1"/>
    </w:lvl>
  </w:abstractNum>
  <w:abstractNum w:abstractNumId="92">
    <w:nsid w:val="3F06ECB2"/>
    <w:multiLevelType w:val="hybridMultilevel"/>
    <w:lvl w:ilvl="0">
      <w:lvlJc w:val="left"/>
      <w:lvlText w:val="(%1)"/>
      <w:numFmt w:val="lowerLetter"/>
      <w:start w:val="4"/>
    </w:lvl>
  </w:abstractNum>
  <w:abstractNum w:abstractNumId="93">
    <w:nsid w:val="3B594807"/>
    <w:multiLevelType w:val="hybridMultilevel"/>
    <w:lvl w:ilvl="0">
      <w:lvlJc w:val="left"/>
      <w:lvlText w:val="(%1)"/>
      <w:numFmt w:val="lowerLetter"/>
      <w:start w:val="24"/>
    </w:lvl>
  </w:abstractNum>
  <w:abstractNum w:abstractNumId="94">
    <w:nsid w:val="6CAA2304"/>
    <w:multiLevelType w:val="hybridMultilevel"/>
    <w:lvl w:ilvl="0">
      <w:lvlJc w:val="left"/>
      <w:lvlText w:val="(%1)"/>
      <w:numFmt w:val="lowerLetter"/>
      <w:start w:val="27"/>
    </w:lvl>
  </w:abstractNum>
  <w:abstractNum w:abstractNumId="95">
    <w:nsid w:val="3F7C2FF4"/>
    <w:multiLevelType w:val="hybridMultilevel"/>
    <w:lvl w:ilvl="0">
      <w:lvlJc w:val="left"/>
      <w:lvlText w:val="(%1)"/>
      <w:numFmt w:val="lowerLetter"/>
      <w:start w:val="1"/>
    </w:lvl>
  </w:abstractNum>
  <w:abstractNum w:abstractNumId="96">
    <w:nsid w:val="25413BEC"/>
    <w:multiLevelType w:val="hybridMultilevel"/>
    <w:lvl w:ilvl="0">
      <w:lvlJc w:val="left"/>
      <w:lvlText w:val="(%1)"/>
      <w:numFmt w:val="lowerLetter"/>
      <w:start w:val="2"/>
    </w:lvl>
  </w:abstractNum>
  <w:abstractNum w:abstractNumId="97">
    <w:nsid w:val="17180B0B"/>
    <w:multiLevelType w:val="hybridMultilevel"/>
    <w:lvl w:ilvl="0">
      <w:lvlJc w:val="left"/>
      <w:lvlText w:val="(%1)"/>
      <w:numFmt w:val="lowerLetter"/>
      <w:start w:val="8"/>
    </w:lvl>
  </w:abstractNum>
  <w:abstractNum w:abstractNumId="98">
    <w:nsid w:val="579328B9"/>
    <w:multiLevelType w:val="hybridMultilevel"/>
    <w:lvl w:ilvl="0">
      <w:lvlJc w:val="left"/>
      <w:lvlText w:val="%1"/>
      <w:numFmt w:val="lowerRoman"/>
      <w:start w:val="1"/>
    </w:lvl>
    <w:lvl w:ilvl="1">
      <w:lvlJc w:val="left"/>
      <w:lvlText w:val="(%2)"/>
      <w:numFmt w:val="lowerRoman"/>
      <w:start w:val="1"/>
    </w:lvl>
  </w:abstractNum>
  <w:abstractNum w:abstractNumId="99">
    <w:nsid w:val="5D205E20"/>
    <w:multiLevelType w:val="hybridMultilevel"/>
    <w:lvl w:ilvl="0">
      <w:lvlJc w:val="left"/>
      <w:lvlText w:val="(%1)"/>
      <w:numFmt w:val="lowerRoman"/>
      <w:start w:val="2"/>
    </w:lvl>
    <w:lvl w:ilvl="1">
      <w:lvlJc w:val="left"/>
      <w:lvlText w:val="%2"/>
      <w:numFmt w:val="lowerRoman"/>
      <w:start w:val="1"/>
    </w:lvl>
  </w:abstractNum>
  <w:abstractNum w:abstractNumId="100">
    <w:nsid w:val="11CCA8BA"/>
    <w:multiLevelType w:val="hybridMultilevel"/>
    <w:lvl w:ilvl="0">
      <w:lvlJc w:val="left"/>
      <w:lvlText w:val="(%1)"/>
      <w:numFmt w:val="lowerRoman"/>
      <w:start w:val="2"/>
    </w:lvl>
    <w:lvl w:ilvl="1">
      <w:lvlJc w:val="left"/>
      <w:lvlText w:val="%2"/>
      <w:numFmt w:val="lowerRoman"/>
      <w:start w:val="1"/>
    </w:lvl>
  </w:abstractNum>
  <w:abstractNum w:abstractNumId="101">
    <w:nsid w:val="4D32AB86"/>
    <w:multiLevelType w:val="hybridMultilevel"/>
    <w:lvl w:ilvl="0">
      <w:lvlJc w:val="left"/>
      <w:lvlText w:val="(%1)"/>
      <w:numFmt w:val="lowerLetter"/>
      <w:start w:val="1"/>
    </w:lvl>
  </w:abstractNum>
  <w:abstractNum w:abstractNumId="102">
    <w:nsid w:val="3F07ACC3"/>
    <w:multiLevelType w:val="hybridMultilevel"/>
    <w:lvl w:ilvl="0">
      <w:lvlJc w:val="left"/>
      <w:lvlText w:val="(%1)"/>
      <w:numFmt w:val="lowerLetter"/>
      <w:start w:val="16"/>
    </w:lvl>
  </w:abstractNum>
  <w:abstractNum w:abstractNumId="103">
    <w:nsid w:val="6B47F63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04">
    <w:nsid w:val="5CB44A05"/>
    <w:multiLevelType w:val="hybridMultilevel"/>
    <w:lvl w:ilvl="0">
      <w:lvlJc w:val="left"/>
      <w:lvlText w:val="(%1)"/>
      <w:numFmt w:val="lowerRoman"/>
      <w:start w:val="4"/>
    </w:lvl>
  </w:abstractNum>
  <w:abstractNum w:abstractNumId="105">
    <w:nsid w:val="16CF80F1"/>
    <w:multiLevelType w:val="hybridMultilevel"/>
    <w:lvl w:ilvl="0">
      <w:lvlJc w:val="left"/>
      <w:lvlText w:val="%1"/>
      <w:numFmt w:val="lowerLetter"/>
      <w:start w:val="1"/>
    </w:lvl>
    <w:lvl w:ilvl="1">
      <w:lvlJc w:val="left"/>
      <w:lvlText w:val="(%2)"/>
      <w:numFmt w:val="lowerRoman"/>
      <w:start w:val="6"/>
    </w:lvl>
  </w:abstractNum>
  <w:abstractNum w:abstractNumId="106">
    <w:nsid w:val="1C695DEC"/>
    <w:multiLevelType w:val="hybridMultilevel"/>
    <w:lvl w:ilvl="0">
      <w:lvlJc w:val="left"/>
      <w:lvlText w:val="(%1)"/>
      <w:numFmt w:val="lowerLetter"/>
      <w:start w:val="2"/>
    </w:lvl>
    <w:lvl w:ilvl="1">
      <w:lvlJc w:val="left"/>
      <w:lvlText w:val="%2"/>
      <w:numFmt w:val="lowerRoman"/>
      <w:start w:val="1"/>
    </w:lvl>
  </w:abstractNum>
  <w:abstractNum w:abstractNumId="107">
    <w:nsid w:val="3FCFAED9"/>
    <w:multiLevelType w:val="hybridMultilevel"/>
    <w:lvl w:ilvl="0">
      <w:lvlJc w:val="left"/>
      <w:lvlText w:val="(%1)"/>
      <w:numFmt w:val="lowerLetter"/>
      <w:start w:val="1"/>
    </w:lvl>
  </w:abstractNum>
  <w:abstractNum w:abstractNumId="108">
    <w:nsid w:val="F856867"/>
    <w:multiLevelType w:val="hybridMultilevel"/>
    <w:lvl w:ilvl="0">
      <w:lvlJc w:val="left"/>
      <w:lvlText w:val="(%1)"/>
      <w:numFmt w:val="lowerLetter"/>
      <w:start w:val="1"/>
    </w:lvl>
  </w:abstractNum>
  <w:abstractNum w:abstractNumId="109">
    <w:nsid w:val="11B1CC33"/>
    <w:multiLevelType w:val="hybridMultilevel"/>
    <w:lvl w:ilvl="0">
      <w:lvlJc w:val="left"/>
      <w:lvlText w:val="(%1)"/>
      <w:numFmt w:val="lowerLetter"/>
      <w:start w:val="2"/>
    </w:lvl>
  </w:abstractNum>
  <w:abstractNum w:abstractNumId="110">
    <w:nsid w:val="2E22FBB7"/>
    <w:multiLevelType w:val="hybridMultilevel"/>
    <w:lvl w:ilvl="0">
      <w:lvlJc w:val="left"/>
      <w:lvlText w:val="(%1)"/>
      <w:numFmt w:val="decimal"/>
      <w:start w:val="2"/>
    </w:lvl>
  </w:abstractNum>
  <w:abstractNum w:abstractNumId="111">
    <w:nsid w:val="29934699"/>
    <w:multiLevelType w:val="hybridMultilevel"/>
    <w:lvl w:ilvl="0">
      <w:lvlJc w:val="left"/>
      <w:lvlText w:val="(%1)"/>
      <w:numFmt w:val="decimal"/>
      <w:start w:val="4"/>
    </w:lvl>
  </w:abstractNum>
  <w:abstractNum w:abstractNumId="112">
    <w:nsid w:val="77485850"/>
    <w:multiLevelType w:val="hybridMultilevel"/>
    <w:lvl w:ilvl="0">
      <w:lvlJc w:val="left"/>
      <w:lvlText w:val="(%1)"/>
      <w:numFmt w:val="lowerLetter"/>
      <w:start w:val="1"/>
    </w:lvl>
  </w:abstractNum>
  <w:abstractNum w:abstractNumId="113">
    <w:nsid w:val="744939A3"/>
    <w:multiLevelType w:val="hybridMultilevel"/>
    <w:lvl w:ilvl="0">
      <w:lvlJc w:val="left"/>
      <w:lvlText w:val="(%1)"/>
      <w:numFmt w:val="lowerLetter"/>
      <w:start w:val="7"/>
    </w:lvl>
  </w:abstractNum>
  <w:abstractNum w:abstractNumId="114">
    <w:nsid w:val="4FA0D2E3"/>
    <w:multiLevelType w:val="hybridMultilevel"/>
    <w:lvl w:ilvl="0">
      <w:lvlJc w:val="left"/>
      <w:lvlText w:val="(%1)"/>
      <w:numFmt w:val="lowerLetter"/>
      <w:start w:val="9"/>
    </w:lvl>
  </w:abstractNum>
  <w:abstractNum w:abstractNumId="115">
    <w:nsid w:val="6B1D2C14"/>
    <w:multiLevelType w:val="hybridMultilevel"/>
    <w:lvl w:ilvl="0">
      <w:lvlJc w:val="left"/>
      <w:lvlText w:val="(%1)"/>
      <w:numFmt w:val="lowerLetter"/>
      <w:start w:val="20"/>
    </w:lvl>
  </w:abstractNum>
  <w:abstractNum w:abstractNumId="116">
    <w:nsid w:val="68B867D3"/>
    <w:multiLevelType w:val="hybridMultilevel"/>
    <w:lvl w:ilvl="0">
      <w:lvlJc w:val="left"/>
      <w:lvlText w:val="(%1)"/>
      <w:numFmt w:val="upperLetter"/>
      <w:start w:val="1"/>
    </w:lvl>
  </w:abstractNum>
  <w:abstractNum w:abstractNumId="117">
    <w:nsid w:val="3F7F5DD9"/>
    <w:multiLevelType w:val="hybridMultilevel"/>
    <w:lvl w:ilvl="0">
      <w:lvlJc w:val="left"/>
      <w:lvlText w:val="(%1)"/>
      <w:numFmt w:val="lowerLetter"/>
      <w:start w:val="1"/>
    </w:lvl>
  </w:abstractNum>
  <w:abstractNum w:abstractNumId="118">
    <w:nsid w:val="2AE05A34"/>
    <w:multiLevelType w:val="hybridMultilevel"/>
    <w:lvl w:ilvl="0">
      <w:lvlJc w:val="left"/>
      <w:lvlText w:val="(%1)"/>
      <w:numFmt w:val="lowerLetter"/>
      <w:start w:val="4"/>
    </w:lvl>
  </w:abstractNum>
  <w:abstractNum w:abstractNumId="119">
    <w:nsid w:val="32794FF7"/>
    <w:multiLevelType w:val="hybridMultilevel"/>
    <w:lvl w:ilvl="0">
      <w:lvlJc w:val="left"/>
      <w:lvlText w:val="(%1)"/>
      <w:numFmt w:val="lowerLetter"/>
      <w:start w:val="7"/>
    </w:lvl>
  </w:abstractNum>
  <w:abstractNum w:abstractNumId="120">
    <w:nsid w:val="5454945E"/>
    <w:multiLevelType w:val="hybridMultilevel"/>
    <w:lvl w:ilvl="0">
      <w:lvlJc w:val="left"/>
      <w:lvlText w:val="(%1)"/>
      <w:numFmt w:val="lowerLetter"/>
      <w:start w:val="1"/>
    </w:lvl>
  </w:abstractNum>
  <w:abstractNum w:abstractNumId="121">
    <w:nsid w:val="4DEFDFA0"/>
    <w:multiLevelType w:val="hybridMultilevel"/>
    <w:lvl w:ilvl="0">
      <w:lvlJc w:val="left"/>
      <w:lvlText w:val="(%1)"/>
      <w:numFmt w:val="lowerLetter"/>
      <w:start w:val="3"/>
    </w:lvl>
  </w:abstractNum>
  <w:abstractNum w:abstractNumId="122">
    <w:nsid w:val="2123D5F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23">
    <w:nsid w:val="135B8110"/>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124">
    <w:nsid w:val="94927A8"/>
    <w:multiLevelType w:val="hybridMultilevel"/>
    <w:lvl w:ilvl="0">
      <w:lvlJc w:val="left"/>
      <w:lvlText w:val="(%1)"/>
      <w:numFmt w:val="lowerRoman"/>
      <w:start w:val="7"/>
    </w:lvl>
    <w:lvl w:ilvl="1">
      <w:lvlJc w:val="left"/>
      <w:lvlText w:val="%2"/>
      <w:numFmt w:val="lowerRoman"/>
      <w:start w:val="1"/>
    </w:lvl>
    <w:lvl w:ilvl="2">
      <w:lvlJc w:val="left"/>
      <w:lvlText w:val="%3"/>
      <w:numFmt w:val="lowerRoman"/>
      <w:start w:val="1"/>
    </w:lvl>
  </w:abstractNum>
  <w:abstractNum w:abstractNumId="125">
    <w:nsid w:val="DCDF8F6"/>
    <w:multiLevelType w:val="hybridMultilevel"/>
    <w:lvl w:ilvl="0">
      <w:lvlJc w:val="left"/>
      <w:lvlText w:val="%1"/>
      <w:numFmt w:val="lowerRoman"/>
      <w:start w:val="1"/>
    </w:lvl>
    <w:lvl w:ilvl="1">
      <w:lvlJc w:val="left"/>
      <w:lvlText w:val="(%2)"/>
      <w:numFmt w:val="lowerRoman"/>
      <w:start w:val="8"/>
    </w:lvl>
  </w:abstractNum>
  <w:abstractNum w:abstractNumId="126">
    <w:nsid w:val="52D7B105"/>
    <w:multiLevelType w:val="hybridMultilevel"/>
    <w:lvl w:ilvl="0">
      <w:lvlJc w:val="left"/>
      <w:lvlText w:val="(%1)"/>
      <w:numFmt w:val="lowerRoman"/>
      <w:start w:val="10"/>
    </w:lvl>
    <w:lvl w:ilvl="1">
      <w:lvlJc w:val="left"/>
      <w:lvlText w:val="%2"/>
      <w:numFmt w:val="lowerRoman"/>
      <w:start w:val="1"/>
    </w:lvl>
  </w:abstractNum>
  <w:abstractNum w:abstractNumId="127">
    <w:nsid w:val="2E8A6394"/>
    <w:multiLevelType w:val="hybridMultilevel"/>
    <w:lvl w:ilvl="0">
      <w:lvlJc w:val="left"/>
      <w:lvlText w:val="(%1)"/>
      <w:numFmt w:val="lowerRoman"/>
      <w:start w:val="3"/>
    </w:lvl>
  </w:abstractNum>
  <w:abstractNum w:abstractNumId="128">
    <w:nsid w:val="24E60401"/>
    <w:multiLevelType w:val="hybridMultilevel"/>
    <w:lvl w:ilvl="0">
      <w:lvlJc w:val="left"/>
      <w:lvlText w:val="(%1)"/>
      <w:numFmt w:val="lowerLetter"/>
      <w:start w:val="1"/>
    </w:lvl>
  </w:abstractNum>
  <w:abstractNum w:abstractNumId="129">
    <w:nsid w:val="2A6AD9BE"/>
    <w:multiLevelType w:val="hybridMultilevel"/>
    <w:lvl w:ilvl="0">
      <w:lvlJc w:val="left"/>
      <w:lvlText w:val="%1."/>
      <w:numFmt w:val="decimal"/>
      <w:start w:val="1"/>
    </w:lvl>
  </w:abstractNum>
  <w:abstractNum w:abstractNumId="130">
    <w:nsid w:val="BAAC1B4"/>
    <w:multiLevelType w:val="hybridMultilevel"/>
    <w:lvl w:ilvl="0">
      <w:lvlJc w:val="left"/>
      <w:lvlText w:val="%1."/>
      <w:numFmt w:val="upperLetter"/>
      <w:start w:val="1"/>
    </w:lvl>
  </w:abstractNum>
  <w:abstractNum w:abstractNumId="131">
    <w:nsid w:val="36B2ACBC"/>
    <w:multiLevelType w:val="hybridMultilevel"/>
    <w:lvl w:ilvl="0">
      <w:lvlJc w:val="left"/>
      <w:lvlText w:val="%1."/>
      <w:numFmt w:val="upperLetter"/>
      <w:start w:val="6"/>
    </w:lvl>
  </w:abstractNum>
  <w:abstractNum w:abstractNumId="132">
    <w:nsid w:val="779D8544"/>
    <w:multiLevelType w:val="hybridMultilevel"/>
    <w:lvl w:ilvl="0">
      <w:lvlJc w:val="left"/>
      <w:lvlText w:val="(%1)"/>
      <w:numFmt w:val="lowerLetter"/>
      <w:start w:val="1"/>
    </w:lvl>
  </w:abstractNum>
  <w:abstractNum w:abstractNumId="133">
    <w:nsid w:val="4AB26E78"/>
    <w:multiLevelType w:val="hybridMultilevel"/>
    <w:lvl w:ilvl="0">
      <w:lvlJc w:val="left"/>
      <w:lvlText w:val="(%1)"/>
      <w:numFmt w:val="lowerLetter"/>
      <w:start w:val="1"/>
    </w:lvl>
  </w:abstractNum>
  <w:abstractNum w:abstractNumId="134">
    <w:nsid w:val="21FAA2FA"/>
    <w:multiLevelType w:val="hybridMultilevel"/>
    <w:lvl w:ilvl="0">
      <w:lvlJc w:val="left"/>
      <w:lvlText w:val="%1"/>
      <w:numFmt w:val="decimal"/>
      <w:start w:val="1"/>
    </w:lvl>
    <w:lvl w:ilvl="1">
      <w:lvlJc w:val="left"/>
      <w:lvlText w:val="(%2)"/>
      <w:numFmt w:val="decimal"/>
      <w:start w:val="1"/>
    </w:lvl>
  </w:abstractNum>
  <w:abstractNum w:abstractNumId="135">
    <w:nsid w:val="5451CF49"/>
    <w:multiLevelType w:val="hybridMultilevel"/>
    <w:lvl w:ilvl="0">
      <w:lvlJc w:val="left"/>
      <w:lvlText w:val="(%1)"/>
      <w:numFmt w:val="decimal"/>
      <w:start w:val="3"/>
    </w:lvl>
    <w:lvl w:ilvl="1">
      <w:lvlJc w:val="left"/>
      <w:lvlText w:val="(%2)"/>
      <w:numFmt w:val="decimal"/>
      <w:start w:val="5"/>
    </w:lvl>
  </w:abstractNum>
  <w:abstractNum w:abstractNumId="136">
    <w:nsid w:val="6181EF69"/>
    <w:multiLevelType w:val="hybridMultilevel"/>
    <w:lvl w:ilvl="0">
      <w:lvlJc w:val="left"/>
      <w:lvlText w:val="(%1)"/>
      <w:numFmt w:val="lowerLetter"/>
      <w:start w:val="2"/>
    </w:lvl>
  </w:abstractNum>
  <w:abstractNum w:abstractNumId="137">
    <w:nsid w:val="3E6400E6"/>
    <w:multiLevelType w:val="hybridMultilevel"/>
    <w:lvl w:ilvl="0">
      <w:lvlJc w:val="left"/>
      <w:lvlText w:val="(%1)"/>
      <w:numFmt w:val="lowerLetter"/>
      <w:start w:val="1"/>
    </w:lvl>
  </w:abstractNum>
  <w:abstractNum w:abstractNumId="138">
    <w:nsid w:val="14217E23"/>
    <w:multiLevelType w:val="hybridMultilevel"/>
    <w:lvl w:ilvl="0">
      <w:lvlJc w:val="left"/>
      <w:lvlText w:val="(%1)"/>
      <w:numFmt w:val="lowerLetter"/>
      <w:start w:val="2"/>
    </w:lvl>
  </w:abstractNum>
  <w:abstractNum w:abstractNumId="139">
    <w:nsid w:val="710757D0"/>
    <w:multiLevelType w:val="hybridMultilevel"/>
    <w:lvl w:ilvl="0">
      <w:lvlJc w:val="left"/>
      <w:lvlText w:val="(%1)"/>
      <w:numFmt w:val="lowerLetter"/>
      <w:start w:val="5"/>
    </w:lvl>
  </w:abstractNum>
  <w:abstractNum w:abstractNumId="140">
    <w:nsid w:val="5015CD1A"/>
    <w:multiLevelType w:val="hybridMultilevel"/>
    <w:lvl w:ilvl="0">
      <w:lvlJc w:val="left"/>
      <w:lvlText w:val="(%1)"/>
      <w:numFmt w:val="lowerLetter"/>
      <w:start w:val="1"/>
    </w:lvl>
  </w:abstractNum>
  <w:abstractNum w:abstractNumId="141">
    <w:nsid w:val="424479DA"/>
    <w:multiLevelType w:val="hybridMultilevel"/>
    <w:lvl w:ilvl="0">
      <w:lvlJc w:val="left"/>
      <w:lvlText w:val="(%1)"/>
      <w:numFmt w:val="lowerLetter"/>
      <w:start w:val="2"/>
    </w:lvl>
  </w:abstractNum>
  <w:abstractNum w:abstractNumId="142">
    <w:nsid w:val="1A9A9E69"/>
    <w:multiLevelType w:val="hybridMultilevel"/>
    <w:lvl w:ilvl="0">
      <w:lvlJc w:val="left"/>
      <w:lvlText w:val="(%1)"/>
      <w:numFmt w:val="lowerLetter"/>
      <w:start w:val="3"/>
    </w:lvl>
  </w:abstractNum>
  <w:abstractNum w:abstractNumId="143">
    <w:nsid w:val="475E256A"/>
    <w:multiLevelType w:val="hybridMultilevel"/>
    <w:lvl w:ilvl="0">
      <w:lvlJc w:val="left"/>
      <w:lvlText w:val="(%1)"/>
      <w:numFmt w:val="lowerLetter"/>
      <w:start w:val="4"/>
    </w:lvl>
  </w:abstractNum>
  <w:abstractNum w:abstractNumId="144">
    <w:nsid w:val="368DB37E"/>
    <w:multiLevelType w:val="hybridMultilevel"/>
    <w:lvl w:ilvl="0">
      <w:lvlJc w:val="left"/>
      <w:lvlText w:val="(%1)"/>
      <w:numFmt w:val="lowerLetter"/>
      <w:start w:val="5"/>
    </w:lvl>
  </w:abstractNum>
  <w:abstractNum w:abstractNumId="145">
    <w:nsid w:val="6A3B714C"/>
    <w:multiLevelType w:val="hybridMultilevel"/>
    <w:lvl w:ilvl="0">
      <w:lvlJc w:val="left"/>
      <w:lvlText w:val="(%1)"/>
      <w:numFmt w:val="lowerLetter"/>
      <w:start w:val="1"/>
    </w:lvl>
  </w:abstractNum>
  <w:abstractNum w:abstractNumId="146">
    <w:nsid w:val="327B517E"/>
    <w:multiLevelType w:val="hybridMultilevel"/>
    <w:lvl w:ilvl="0">
      <w:lvlJc w:val="left"/>
      <w:lvlText w:val="%1"/>
      <w:numFmt w:val="lowerLetter"/>
      <w:start w:val="1"/>
    </w:lvl>
    <w:lvl w:ilvl="1">
      <w:lvlJc w:val="left"/>
      <w:lvlText w:val="(%2)"/>
      <w:numFmt w:val="lowerLetter"/>
      <w:start w:val="2"/>
    </w:lvl>
  </w:abstractNum>
  <w:abstractNum w:abstractNumId="147">
    <w:nsid w:val="1F461B51"/>
    <w:multiLevelType w:val="hybridMultilevel"/>
    <w:lvl w:ilvl="0">
      <w:lvlJc w:val="left"/>
      <w:lvlText w:val="(%1)"/>
      <w:numFmt w:val="lowerLetter"/>
      <w:start w:val="61"/>
    </w:lvl>
    <w:lvl w:ilvl="1">
      <w:lvlJc w:val="left"/>
      <w:lvlText w:val="%2"/>
      <w:numFmt w:val="lowerLetter"/>
      <w:start w:val="1"/>
    </w:lvl>
  </w:abstractNum>
  <w:abstractNum w:abstractNumId="148">
    <w:nsid w:val="29BACF25"/>
    <w:multiLevelType w:val="hybridMultilevel"/>
    <w:lvl w:ilvl="0">
      <w:lvlJc w:val="left"/>
      <w:lvlText w:val="(%1)"/>
      <w:numFmt w:val="lowerLetter"/>
      <w:start w:val="7"/>
    </w:lvl>
  </w:abstractNum>
  <w:abstractNum w:abstractNumId="149">
    <w:nsid w:val="5D5BABB3"/>
    <w:multiLevelType w:val="hybridMultilevel"/>
    <w:lvl w:ilvl="0">
      <w:lvlJc w:val="left"/>
      <w:lvlText w:val="(%1)"/>
      <w:numFmt w:val="lowerLetter"/>
      <w:start w:val="1"/>
    </w:lvl>
  </w:abstractNum>
  <w:abstractNum w:abstractNumId="150">
    <w:nsid w:val="51BF6B48"/>
    <w:multiLevelType w:val="hybridMultilevel"/>
    <w:lvl w:ilvl="0">
      <w:lvlJc w:val="left"/>
      <w:lvlText w:val="(%1)"/>
      <w:numFmt w:val="lowerLetter"/>
      <w:start w:val="4"/>
    </w:lvl>
  </w:abstractNum>
  <w:abstractNum w:abstractNumId="151">
    <w:nsid w:val="7E0F6384"/>
    <w:multiLevelType w:val="hybridMultilevel"/>
    <w:lvl w:ilvl="0">
      <w:lvlJc w:val="left"/>
      <w:lvlText w:val="%1"/>
      <w:numFmt w:val="upperLetter"/>
      <w:start w:val="1"/>
    </w:lvl>
    <w:lvl w:ilvl="1">
      <w:lvlJc w:val="left"/>
      <w:lvlText w:val="(%2)"/>
      <w:numFmt w:val="lowerLetter"/>
      <w:start w:val="1"/>
    </w:lvl>
  </w:abstractNum>
  <w:abstractNum w:abstractNumId="152">
    <w:nsid w:val="2B4B8B53"/>
    <w:multiLevelType w:val="hybridMultilevel"/>
    <w:lvl w:ilvl="0">
      <w:lvlJc w:val="left"/>
      <w:lvlText w:val="(%1)"/>
      <w:numFmt w:val="upperLetter"/>
      <w:start w:val="2"/>
    </w:lvl>
    <w:lvl w:ilvl="1">
      <w:lvlJc w:val="left"/>
      <w:lvlText w:val="(%2)"/>
      <w:numFmt w:val="lowerLetter"/>
      <w:start w:val="5"/>
    </w:lvl>
  </w:abstractNum>
  <w:abstractNum w:abstractNumId="153">
    <w:nsid w:val="72E3413A"/>
    <w:multiLevelType w:val="hybridMultilevel"/>
    <w:lvl w:ilvl="0">
      <w:lvlJc w:val="left"/>
      <w:lvlText w:val="(%1)"/>
      <w:numFmt w:val="lowerLetter"/>
      <w:start w:val="6"/>
    </w:lvl>
  </w:abstractNum>
  <w:abstractNum w:abstractNumId="154">
    <w:nsid w:val="116AE494"/>
    <w:multiLevelType w:val="hybridMultilevel"/>
    <w:lvl w:ilvl="0">
      <w:lvlJc w:val="left"/>
      <w:lvlText w:val="(%1)"/>
      <w:numFmt w:val="lowerLetter"/>
      <w:start w:val="8"/>
    </w:lvl>
  </w:abstractNum>
  <w:abstractNum w:abstractNumId="155">
    <w:nsid w:val="3494B2FB"/>
    <w:multiLevelType w:val="hybridMultilevel"/>
    <w:lvl w:ilvl="0">
      <w:lvlJc w:val="left"/>
      <w:lvlText w:val="(%1)"/>
      <w:numFmt w:val="lowerLetter"/>
      <w:start w:val="11"/>
    </w:lvl>
  </w:abstractNum>
  <w:abstractNum w:abstractNumId="156">
    <w:nsid w:val="B13A31"/>
    <w:multiLevelType w:val="hybridMultilevel"/>
    <w:lvl w:ilvl="0">
      <w:lvlJc w:val="left"/>
      <w:lvlText w:val="(%1)"/>
      <w:numFmt w:val="lowerLetter"/>
      <w:start w:val="1"/>
    </w:lvl>
  </w:abstractNum>
  <w:abstractNum w:abstractNumId="157">
    <w:nsid w:val="64429599"/>
    <w:multiLevelType w:val="hybridMultilevel"/>
    <w:lvl w:ilvl="0">
      <w:lvlJc w:val="left"/>
      <w:lvlText w:val="%1"/>
      <w:numFmt w:val="decimal"/>
      <w:start w:val="1"/>
    </w:lvl>
    <w:lvl w:ilvl="1">
      <w:lvlJc w:val="left"/>
      <w:lvlText w:val="(%2)"/>
      <w:numFmt w:val="lowerLetter"/>
      <w:start w:val="1"/>
    </w:lvl>
  </w:abstractNum>
  <w:abstractNum w:abstractNumId="158">
    <w:nsid w:val="631F1690"/>
    <w:multiLevelType w:val="hybridMultilevel"/>
    <w:lvl w:ilvl="0">
      <w:lvlJc w:val="left"/>
      <w:lvlText w:val="(%1)"/>
      <w:numFmt w:val="decimal"/>
      <w:start w:val="5"/>
    </w:lvl>
    <w:lvl w:ilvl="1">
      <w:lvlJc w:val="left"/>
      <w:lvlText w:val="%2"/>
      <w:numFmt w:val="lowerLetter"/>
      <w:start w:val="1"/>
    </w:lvl>
  </w:abstractNum>
  <w:abstractNum w:abstractNumId="159">
    <w:nsid w:val="25973E32"/>
    <w:multiLevelType w:val="hybridMultilevel"/>
    <w:lvl w:ilvl="0">
      <w:lvlJc w:val="left"/>
      <w:lvlText w:val="(%1)"/>
      <w:numFmt w:val="lowerLetter"/>
      <w:start w:val="1"/>
    </w:lvl>
  </w:abstractNum>
  <w:abstractNum w:abstractNumId="160">
    <w:nsid w:val="EAD6F57"/>
    <w:multiLevelType w:val="hybridMultilevel"/>
    <w:lvl w:ilvl="0">
      <w:lvlJc w:val="left"/>
      <w:lvlText w:val="(%1)"/>
      <w:numFmt w:val="lowerLetter"/>
      <w:start w:val="2"/>
    </w:lvl>
  </w:abstractNum>
  <w:abstractNum w:abstractNumId="161">
    <w:nsid w:val="6EC9D844"/>
    <w:multiLevelType w:val="hybridMultilevel"/>
    <w:lvl w:ilvl="0">
      <w:lvlJc w:val="left"/>
      <w:lvlText w:val="(%1)"/>
      <w:numFmt w:val="lowerLetter"/>
      <w:start w:val="1"/>
    </w:lvl>
  </w:abstractNum>
  <w:abstractNum w:abstractNumId="162">
    <w:nsid w:val="5C49EAEE"/>
    <w:multiLevelType w:val="hybridMultilevel"/>
    <w:lvl w:ilvl="0">
      <w:lvlJc w:val="left"/>
      <w:lvlText w:val="(%1)"/>
      <w:numFmt w:val="lowerLetter"/>
      <w:start w:val="1"/>
    </w:lvl>
  </w:abstractNum>
  <w:abstractNum w:abstractNumId="163">
    <w:nsid w:val="64AF49B"/>
    <w:multiLevelType w:val="hybridMultilevel"/>
    <w:lvl w:ilvl="0">
      <w:lvlJc w:val="left"/>
      <w:lvlText w:val="(%1)"/>
      <w:numFmt w:val="lowerLetter"/>
      <w:start w:val="2"/>
    </w:lvl>
  </w:abstractNum>
  <w:abstractNum w:abstractNumId="164">
    <w:nsid w:val="397C46BC"/>
    <w:multiLevelType w:val="hybridMultilevel"/>
    <w:lvl w:ilvl="0">
      <w:lvlJc w:val="left"/>
      <w:lvlText w:val="(%1)"/>
      <w:numFmt w:val="lowerLetter"/>
      <w:start w:val="1"/>
    </w:lvl>
  </w:abstractNum>
  <w:abstractNum w:abstractNumId="165">
    <w:nsid w:val="7E448DE9"/>
    <w:multiLevelType w:val="hybridMultilevel"/>
    <w:lvl w:ilvl="0">
      <w:lvlJc w:val="left"/>
      <w:lvlText w:val="(%1)"/>
      <w:numFmt w:val="lowerLetter"/>
      <w:start w:val="1"/>
    </w:lvl>
    <w:lvl w:ilvl="1">
      <w:lvlJc w:val="left"/>
      <w:lvlText w:val="(%2)"/>
      <w:numFmt w:val="lowerRoman"/>
      <w:start w:val="1"/>
    </w:lvl>
  </w:abstractNum>
  <w:abstractNum w:abstractNumId="166">
    <w:nsid w:val="5A9CC3E5"/>
    <w:multiLevelType w:val="hybridMultilevel"/>
    <w:lvl w:ilvl="0">
      <w:lvlJc w:val="left"/>
      <w:lvlText w:val="(%1)"/>
      <w:numFmt w:val="lowerRoman"/>
      <w:start w:val="2"/>
    </w:lvl>
  </w:abstractNum>
  <w:abstractNum w:abstractNumId="167">
    <w:nsid w:val="1AFE3625"/>
    <w:multiLevelType w:val="hybridMultilevel"/>
    <w:lvl w:ilvl="0">
      <w:lvlJc w:val="left"/>
      <w:lvlText w:val="(%1)"/>
      <w:numFmt w:val="lowerLetter"/>
      <w:start w:val="1"/>
    </w:lvl>
  </w:abstractNum>
  <w:abstractNum w:abstractNumId="168">
    <w:nsid w:val="3CA88ECF"/>
    <w:multiLevelType w:val="hybridMultilevel"/>
    <w:lvl w:ilvl="0">
      <w:lvlJc w:val="left"/>
      <w:lvlText w:val="(%1)"/>
      <w:numFmt w:val="lowerLetter"/>
      <w:start w:val="4"/>
    </w:lvl>
  </w:abstractNum>
  <w:abstractNum w:abstractNumId="169">
    <w:nsid w:val="6EBE4208"/>
    <w:multiLevelType w:val="hybridMultilevel"/>
    <w:lvl w:ilvl="0">
      <w:lvlJc w:val="left"/>
      <w:lvlText w:val="(%1)"/>
      <w:numFmt w:val="lowerLetter"/>
      <w:start w:val="1"/>
    </w:lvl>
  </w:abstractNum>
  <w:abstractNum w:abstractNumId="170">
    <w:nsid w:val="C058DF5"/>
    <w:multiLevelType w:val="hybridMultilevel"/>
    <w:lvl w:ilvl="0">
      <w:lvlJc w:val="left"/>
      <w:lvlText w:val="%1:"/>
      <w:numFmt w:val="upperLetter"/>
      <w:start w:val="29"/>
    </w:lvl>
  </w:abstractNum>
  <w:abstractNum w:abstractNumId="171">
    <w:nsid w:val="CBE5BE9"/>
    <w:multiLevelType w:val="hybridMultilevel"/>
    <w:lvl w:ilvl="0">
      <w:lvlJc w:val="left"/>
      <w:lvlText w:val="%1:"/>
      <w:numFmt w:val="upperLetter"/>
      <w:start w:val="29"/>
    </w:lvl>
  </w:abstractNum>
  <w:abstractNum w:abstractNumId="172">
    <w:nsid w:val="3102BBE2"/>
    <w:multiLevelType w:val="hybridMultilevel"/>
    <w:lvl w:ilvl="0">
      <w:lvlJc w:val="left"/>
      <w:lvlText w:val="%1."/>
      <w:numFmt w:val="upperLetter"/>
      <w:start w:val="1"/>
    </w:lvl>
  </w:abstractNum>
  <w:abstractNum w:abstractNumId="173">
    <w:nsid w:val="26A02C5E"/>
    <w:multiLevelType w:val="hybridMultilevel"/>
    <w:lvl w:ilvl="0">
      <w:lvlJc w:val="left"/>
      <w:lvlText w:val="(%1)"/>
      <w:numFmt w:val="lowerLetter"/>
      <w:start w:val="1"/>
    </w:lvl>
  </w:abstractNum>
  <w:abstractNum w:abstractNumId="174">
    <w:nsid w:val="541C8153"/>
    <w:multiLevelType w:val="hybridMultilevel"/>
    <w:lvl w:ilvl="0">
      <w:lvlJc w:val="left"/>
      <w:lvlText w:val="%1"/>
      <w:numFmt w:val="lowerLetter"/>
      <w:start w:val="1"/>
    </w:lvl>
    <w:lvl w:ilvl="1">
      <w:lvlJc w:val="left"/>
      <w:lvlText w:val="(%2)"/>
      <w:numFmt w:val="decimal"/>
      <w:start w:val="1"/>
    </w:lvl>
  </w:abstractNum>
  <w:abstractNum w:abstractNumId="175">
    <w:nsid w:val="67906F60"/>
    <w:multiLevelType w:val="hybridMultilevel"/>
    <w:lvl w:ilvl="0">
      <w:lvlJc w:val="left"/>
      <w:lvlText w:val="(%1)"/>
      <w:numFmt w:val="lowerLetter"/>
      <w:start w:val="2"/>
    </w:lvl>
    <w:lvl w:ilvl="1">
      <w:lvlJc w:val="left"/>
      <w:lvlText w:val="(%2)"/>
      <w:numFmt w:val="decimal"/>
      <w:start w:val="1"/>
    </w:lvl>
  </w:abstractNum>
  <w:abstractNum w:abstractNumId="176">
    <w:nsid w:val="10DB9DAA"/>
    <w:multiLevelType w:val="hybridMultilevel"/>
    <w:lvl w:ilvl="0">
      <w:lvlJc w:val="left"/>
      <w:lvlText w:val="(%1)"/>
      <w:numFmt w:val="lowerLetter"/>
      <w:start w:val="2"/>
    </w:lvl>
  </w:abstractNum>
  <w:abstractNum w:abstractNumId="177">
    <w:nsid w:val="697D2D2"/>
    <w:multiLevelType w:val="hybridMultilevel"/>
    <w:lvl w:ilvl="0">
      <w:lvlJc w:val="left"/>
      <w:lvlText w:val="(%1)"/>
      <w:numFmt w:val="lowerLetter"/>
      <w:start w:val="1"/>
    </w:lvl>
  </w:abstractNum>
  <w:abstractNum w:abstractNumId="178">
    <w:nsid w:val="6D68AB2"/>
    <w:multiLevelType w:val="hybridMultilevel"/>
    <w:lvl w:ilvl="0">
      <w:lvlJc w:val="left"/>
      <w:lvlText w:val="(%1)"/>
      <w:numFmt w:val="lowerLetter"/>
      <w:start w:val="2"/>
    </w:lvl>
  </w:abstractNum>
  <w:abstractNum w:abstractNumId="179">
    <w:nsid w:val="3A966CD0"/>
    <w:multiLevelType w:val="hybridMultilevel"/>
    <w:lvl w:ilvl="0">
      <w:lvlJc w:val="left"/>
      <w:lvlText w:val="(%1)"/>
      <w:numFmt w:val="lowerLetter"/>
      <w:start w:val="1"/>
    </w:lvl>
  </w:abstractNum>
  <w:abstractNum w:abstractNumId="180">
    <w:nsid w:val="63F37E85"/>
    <w:multiLevelType w:val="hybridMultilevel"/>
    <w:lvl w:ilvl="0">
      <w:lvlJc w:val="left"/>
      <w:lvlText w:val="(%1)"/>
      <w:numFmt w:val="lowerLetter"/>
      <w:start w:val="2"/>
    </w:lvl>
  </w:abstractNum>
  <w:abstractNum w:abstractNumId="181">
    <w:nsid w:val="5895F5FA"/>
    <w:multiLevelType w:val="hybridMultilevel"/>
    <w:lvl w:ilvl="0">
      <w:lvlJc w:val="left"/>
      <w:lvlText w:val="(%1)"/>
      <w:numFmt w:val="lowerLetter"/>
      <w:start w:val="1"/>
    </w:lvl>
  </w:abstractNum>
  <w:abstractNum w:abstractNumId="182">
    <w:nsid w:val="38A5D054"/>
    <w:multiLevelType w:val="hybridMultilevel"/>
    <w:lvl w:ilvl="0">
      <w:lvlJc w:val="left"/>
      <w:lvlText w:val="(%1)"/>
      <w:numFmt w:val="lowerLetter"/>
      <w:start w:val="3"/>
    </w:lvl>
  </w:abstractNum>
  <w:abstractNum w:abstractNumId="183">
    <w:nsid w:val="F3F09D8"/>
    <w:multiLevelType w:val="hybridMultilevel"/>
    <w:lvl w:ilvl="0">
      <w:lvlJc w:val="left"/>
      <w:lvlText w:val="%1"/>
      <w:numFmt w:val="lowerLetter"/>
      <w:start w:val="1"/>
    </w:lvl>
    <w:lvl w:ilvl="1">
      <w:lvlJc w:val="left"/>
      <w:lvlText w:val="(%2)"/>
      <w:numFmt w:val="lowerLetter"/>
      <w:start w:val="6"/>
    </w:lvl>
  </w:abstractNum>
  <w:abstractNum w:abstractNumId="184">
    <w:nsid w:val="4B793735"/>
    <w:multiLevelType w:val="hybridMultilevel"/>
    <w:lvl w:ilvl="0">
      <w:lvlJc w:val="left"/>
      <w:lvlText w:val="(%1)"/>
      <w:numFmt w:val="lowerLetter"/>
      <w:start w:val="61"/>
    </w:lvl>
    <w:lvl w:ilvl="1">
      <w:lvlJc w:val="left"/>
      <w:lvlText w:val="(%2)"/>
      <w:numFmt w:val="lowerLetter"/>
      <w:start w:val="7"/>
    </w:lvl>
  </w:abstractNum>
  <w:abstractNum w:abstractNumId="185">
    <w:nsid w:val="4A10B4E8"/>
    <w:multiLevelType w:val="hybridMultilevel"/>
    <w:lvl w:ilvl="0">
      <w:lvlJc w:val="left"/>
      <w:lvlText w:val="(%1)"/>
      <w:numFmt w:val="lowerLetter"/>
      <w:start w:val="8"/>
    </w:lvl>
  </w:abstractNum>
  <w:abstractNum w:abstractNumId="186">
    <w:nsid w:val="43D3BCD4"/>
    <w:multiLevelType w:val="hybridMultilevel"/>
    <w:lvl w:ilvl="0">
      <w:lvlJc w:val="left"/>
      <w:lvlText w:val="(%1)"/>
      <w:numFmt w:val="lowerLetter"/>
      <w:start w:val="1"/>
    </w:lvl>
  </w:abstractNum>
  <w:abstractNum w:abstractNumId="187">
    <w:nsid w:val="4C2A7166"/>
    <w:multiLevelType w:val="hybridMultilevel"/>
    <w:lvl w:ilvl="0">
      <w:lvlJc w:val="left"/>
      <w:lvlText w:val="(%1)"/>
      <w:numFmt w:val="lowerLetter"/>
      <w:start w:val="1"/>
    </w:lvl>
  </w:abstractNum>
  <w:abstractNum w:abstractNumId="188">
    <w:nsid w:val="2E534A82"/>
    <w:multiLevelType w:val="hybridMultilevel"/>
    <w:lvl w:ilvl="0">
      <w:lvlJc w:val="left"/>
      <w:lvlText w:val="(%1)"/>
      <w:numFmt w:val="lowerLetter"/>
      <w:start w:val="3"/>
    </w:lvl>
  </w:abstractNum>
  <w:abstractNum w:abstractNumId="189">
    <w:nsid w:val="26F2D364"/>
    <w:multiLevelType w:val="hybridMultilevel"/>
    <w:lvl w:ilvl="0">
      <w:lvlJc w:val="left"/>
      <w:lvlText w:val="%1"/>
      <w:numFmt w:val="upperLetter"/>
      <w:start w:val="1"/>
    </w:lvl>
    <w:lvl w:ilvl="1">
      <w:lvlJc w:val="left"/>
      <w:lvlText w:val="(%2)"/>
      <w:numFmt w:val="lowerLetter"/>
      <w:start w:val="4"/>
    </w:lvl>
  </w:abstractNum>
  <w:abstractNum w:abstractNumId="190">
    <w:nsid w:val="71C1AF98"/>
    <w:multiLevelType w:val="hybridMultilevel"/>
    <w:lvl w:ilvl="0">
      <w:lvlJc w:val="left"/>
      <w:lvlText w:val="(%1)"/>
      <w:numFmt w:val="upperLetter"/>
      <w:start w:val="2"/>
    </w:lvl>
    <w:lvl w:ilvl="1">
      <w:lvlJc w:val="left"/>
      <w:lvlText w:val="(%2)"/>
      <w:numFmt w:val="lowerLetter"/>
      <w:start w:val="5"/>
    </w:lvl>
  </w:abstractNum>
  <w:abstractNum w:abstractNumId="191">
    <w:nsid w:val="3D00B9D9"/>
    <w:multiLevelType w:val="hybridMultilevel"/>
    <w:lvl w:ilvl="0">
      <w:lvlJc w:val="left"/>
      <w:lvlText w:val="(%1)"/>
      <w:numFmt w:val="lowerLetter"/>
      <w:start w:val="7"/>
    </w:lvl>
  </w:abstractNum>
  <w:abstractNum w:abstractNumId="192">
    <w:nsid w:val="15BCABA8"/>
    <w:multiLevelType w:val="hybridMultilevel"/>
    <w:lvl w:ilvl="0">
      <w:lvlJc w:val="left"/>
      <w:lvlText w:val="%1"/>
      <w:numFmt w:val="lowerLetter"/>
      <w:start w:val="1"/>
    </w:lvl>
    <w:lvl w:ilvl="1">
      <w:lvlJc w:val="left"/>
      <w:lvlText w:val="(%2)"/>
      <w:numFmt w:val="lowerLetter"/>
      <w:start w:val="1"/>
    </w:lvl>
  </w:abstractNum>
  <w:abstractNum w:abstractNumId="193">
    <w:nsid w:val="4E0B9A87"/>
    <w:multiLevelType w:val="hybridMultilevel"/>
    <w:lvl w:ilvl="0">
      <w:lvlJc w:val="left"/>
      <w:lvlText w:val="(%1)"/>
      <w:numFmt w:val="lowerLetter"/>
      <w:start w:val="9"/>
    </w:lvl>
    <w:lvl w:ilvl="1">
      <w:lvlJc w:val="left"/>
      <w:lvlText w:val="(%2)"/>
      <w:numFmt w:val="lowerLetter"/>
      <w:start w:val="2"/>
    </w:lvl>
  </w:abstractNum>
  <w:abstractNum w:abstractNumId="194">
    <w:nsid w:val="434BAE75"/>
    <w:multiLevelType w:val="hybridMultilevel"/>
    <w:lvl w:ilvl="0">
      <w:lvlJc w:val="left"/>
      <w:lvlText w:val="(%1)"/>
      <w:numFmt w:val="lowerLetter"/>
      <w:start w:val="2"/>
    </w:lvl>
    <w:lvl w:ilvl="1">
      <w:lvlJc w:val="left"/>
      <w:lvlText w:val="%2"/>
      <w:numFmt w:val="lowerLetter"/>
      <w:start w:val="1"/>
    </w:lvl>
  </w:abstractNum>
  <w:abstractNum w:abstractNumId="195">
    <w:nsid w:val="4F38F265"/>
    <w:multiLevelType w:val="hybridMultilevel"/>
    <w:lvl w:ilvl="0">
      <w:lvlJc w:val="left"/>
      <w:lvlText w:val="%1"/>
      <w:numFmt w:val="decimal"/>
      <w:start w:val="1"/>
    </w:lvl>
    <w:lvl w:ilvl="1">
      <w:lvlJc w:val="left"/>
      <w:lvlText w:val="(%2)"/>
      <w:numFmt w:val="lowerLetter"/>
      <w:start w:val="1"/>
    </w:lvl>
  </w:abstractNum>
  <w:abstractNum w:abstractNumId="196">
    <w:nsid w:val="4C502870"/>
    <w:multiLevelType w:val="hybridMultilevel"/>
    <w:lvl w:ilvl="0">
      <w:lvlJc w:val="left"/>
      <w:lvlText w:val="(%1)"/>
      <w:numFmt w:val="decimal"/>
      <w:start w:val="5"/>
    </w:lvl>
    <w:lvl w:ilvl="1">
      <w:lvlJc w:val="left"/>
      <w:lvlText w:val="%2"/>
      <w:numFmt w:val="lowerLetter"/>
      <w:start w:val="1"/>
    </w:lvl>
  </w:abstractNum>
  <w:abstractNum w:abstractNumId="197">
    <w:nsid w:val="1DE8725A"/>
    <w:multiLevelType w:val="hybridMultilevel"/>
    <w:lvl w:ilvl="0">
      <w:lvlJc w:val="left"/>
      <w:lvlText w:val="(%1)"/>
      <w:numFmt w:val="lowerLetter"/>
      <w:start w:val="1"/>
    </w:lvl>
  </w:abstractNum>
  <w:abstractNum w:abstractNumId="198">
    <w:nsid w:val="6A37288A"/>
    <w:multiLevelType w:val="hybridMultilevel"/>
    <w:lvl w:ilvl="0">
      <w:lvlJc w:val="left"/>
      <w:lvlText w:val="(%1)"/>
      <w:numFmt w:val="lowerLetter"/>
      <w:start w:val="1"/>
    </w:lvl>
  </w:abstractNum>
  <w:abstractNum w:abstractNumId="199">
    <w:nsid w:val="8F8B73F"/>
    <w:multiLevelType w:val="hybridMultilevel"/>
    <w:lvl w:ilvl="0">
      <w:lvlJc w:val="left"/>
      <w:lvlText w:val="(%1)"/>
      <w:numFmt w:val="lowerLetter"/>
      <w:start w:val="1"/>
    </w:lvl>
  </w:abstractNum>
  <w:abstractNum w:abstractNumId="200">
    <w:nsid w:val="CA6B462"/>
    <w:multiLevelType w:val="hybridMultilevel"/>
    <w:lvl w:ilvl="0">
      <w:lvlJc w:val="left"/>
      <w:lvlText w:val="(%1)"/>
      <w:numFmt w:val="lowerLetter"/>
      <w:start w:val="1"/>
    </w:lvl>
  </w:abstractNum>
  <w:abstractNum w:abstractNumId="201">
    <w:nsid w:val="763CB680"/>
    <w:multiLevelType w:val="hybridMultilevel"/>
    <w:lvl w:ilvl="0">
      <w:lvlJc w:val="left"/>
      <w:lvlText w:val="(%1)"/>
      <w:numFmt w:val="lowerLetter"/>
      <w:start w:val="1"/>
    </w:lvl>
  </w:abstractNum>
  <w:abstractNum w:abstractNumId="202">
    <w:nsid w:val="15B71329"/>
    <w:multiLevelType w:val="hybridMultilevel"/>
    <w:lvl w:ilvl="0">
      <w:lvlJc w:val="left"/>
      <w:lvlText w:val="(%1)"/>
      <w:numFmt w:val="lowerLetter"/>
      <w:start w:val="2"/>
    </w:lvl>
  </w:abstractNum>
  <w:abstractNum w:abstractNumId="203">
    <w:nsid w:val="3DA97044"/>
    <w:multiLevelType w:val="hybridMultilevel"/>
    <w:lvl w:ilvl="0">
      <w:lvlJc w:val="left"/>
      <w:lvlText w:val="(%1)"/>
      <w:numFmt w:val="lowerLetter"/>
      <w:start w:val="1"/>
    </w:lvl>
    <w:lvl w:ilvl="1">
      <w:lvlJc w:val="left"/>
      <w:lvlText w:val="(%2)"/>
      <w:numFmt w:val="lowerLetter"/>
      <w:start w:val="9"/>
    </w:lvl>
  </w:abstractNum>
  <w:abstractNum w:abstractNumId="204">
    <w:nsid w:val="1CDCE2DE"/>
    <w:multiLevelType w:val="hybridMultilevel"/>
    <w:lvl w:ilvl="0">
      <w:lvlJc w:val="left"/>
      <w:lvlText w:val="%1"/>
      <w:numFmt w:val="lowerLetter"/>
      <w:start w:val="1"/>
    </w:lvl>
    <w:lvl w:ilvl="1">
      <w:lvlJc w:val="left"/>
      <w:lvlText w:val="(%2)"/>
      <w:numFmt w:val="lowerRoman"/>
      <w:start w:val="2"/>
    </w:lvl>
  </w:abstractNum>
  <w:abstractNum w:abstractNumId="205">
    <w:nsid w:val="69D3947C"/>
    <w:multiLevelType w:val="hybridMultilevel"/>
    <w:lvl w:ilvl="0">
      <w:lvlJc w:val="left"/>
      <w:lvlText w:val="(%1)"/>
      <w:numFmt w:val="lowerLetter"/>
      <w:start w:val="2"/>
    </w:lvl>
    <w:lvl w:ilvl="1">
      <w:lvlJc w:val="left"/>
      <w:lvlText w:val="%2"/>
      <w:numFmt w:val="lowerRoman"/>
      <w:start w:val="1"/>
    </w:lvl>
  </w:abstractNum>
  <w:abstractNum w:abstractNumId="206">
    <w:nsid w:val="2539DFA5"/>
    <w:multiLevelType w:val="hybridMultilevel"/>
    <w:lvl w:ilvl="0">
      <w:lvlJc w:val="left"/>
      <w:lvlText w:val="(%1)"/>
      <w:numFmt w:val="lowerRoman"/>
      <w:start w:val="1"/>
    </w:lvl>
  </w:abstractNum>
  <w:abstractNum w:abstractNumId="207">
    <w:nsid w:val="2DB88089"/>
    <w:multiLevelType w:val="hybridMultilevel"/>
    <w:lvl w:ilvl="0">
      <w:lvlJc w:val="left"/>
      <w:lvlText w:val="(%1)"/>
      <w:numFmt w:val="lowerRoman"/>
      <w:start w:val="4"/>
    </w:lvl>
  </w:abstractNum>
  <w:abstractNum w:abstractNumId="208">
    <w:nsid w:val="706B674E"/>
    <w:multiLevelType w:val="hybridMultilevel"/>
    <w:lvl w:ilvl="0">
      <w:lvlJc w:val="left"/>
      <w:lvlText w:val="(%1)"/>
      <w:numFmt w:val="lowerLetter"/>
      <w:start w:val="1"/>
    </w:lvl>
  </w:abstractNum>
  <w:abstractNum w:abstractNumId="209">
    <w:nsid w:val="2C106A57"/>
    <w:multiLevelType w:val="hybridMultilevel"/>
    <w:lvl w:ilvl="0">
      <w:lvlJc w:val="left"/>
      <w:lvlText w:val="(%1)"/>
      <w:numFmt w:val="lowerLetter"/>
      <w:start w:val="1"/>
    </w:lvl>
  </w:abstractNum>
  <w:abstractNum w:abstractNumId="210">
    <w:nsid w:val="684EED59"/>
    <w:multiLevelType w:val="hybridMultilevel"/>
    <w:lvl w:ilvl="0">
      <w:lvlJc w:val="left"/>
      <w:lvlText w:val="%1:"/>
      <w:numFmt w:val="upperLetter"/>
      <w:start w:val="29"/>
    </w:lvl>
  </w:abstractNum>
  <w:abstractNum w:abstractNumId="211">
    <w:nsid w:val="545EE5D3"/>
    <w:multiLevelType w:val="hybridMultilevel"/>
    <w:lvl w:ilvl="0">
      <w:lvlJc w:val="left"/>
      <w:lvlText w:val="%1:"/>
      <w:numFmt w:val="upperLetter"/>
      <w:start w:val="29"/>
    </w:lvl>
  </w:abstractNum>
  <w:abstractNum w:abstractNumId="212">
    <w:nsid w:val="4A66051"/>
    <w:multiLevelType w:val="hybridMultilevel"/>
    <w:lvl w:ilvl="0">
      <w:lvlJc w:val="left"/>
      <w:lvlText w:val="%1."/>
      <w:numFmt w:val="upperLetter"/>
      <w:start w:val="1"/>
    </w:lvl>
  </w:abstractNum>
  <w:abstractNum w:abstractNumId="213">
    <w:nsid w:val="20F4BDAD"/>
    <w:multiLevelType w:val="hybridMultilevel"/>
    <w:lvl w:ilvl="0">
      <w:lvlJc w:val="left"/>
      <w:lvlText w:val="(%1)"/>
      <w:numFmt w:val="lowerLetter"/>
      <w:start w:val="3"/>
    </w:lvl>
  </w:abstractNum>
  <w:abstractNum w:abstractNumId="214">
    <w:nsid w:val="639DEFAC"/>
    <w:multiLevelType w:val="hybridMultilevel"/>
    <w:lvl w:ilvl="0">
      <w:lvlJc w:val="left"/>
      <w:lvlText w:val="%1"/>
      <w:numFmt w:val="lowerLetter"/>
      <w:start w:val="1"/>
    </w:lvl>
    <w:lvl w:ilvl="1">
      <w:lvlJc w:val="left"/>
      <w:lvlText w:val="(%2)"/>
      <w:numFmt w:val="lowerLetter"/>
      <w:start w:val="1"/>
    </w:lvl>
  </w:abstractNum>
  <w:abstractNum w:abstractNumId="215">
    <w:nsid w:val="501F9786"/>
    <w:multiLevelType w:val="hybridMultilevel"/>
    <w:lvl w:ilvl="0">
      <w:lvlJc w:val="left"/>
      <w:lvlText w:val="(%1)"/>
      <w:numFmt w:val="lowerLetter"/>
      <w:start w:val="2"/>
    </w:lvl>
    <w:lvl w:ilvl="1">
      <w:lvlJc w:val="left"/>
      <w:lvlText w:val="%2"/>
      <w:numFmt w:val="lowerLetter"/>
      <w:start w:val="1"/>
    </w:lvl>
  </w:abstractNum>
  <w:abstractNum w:abstractNumId="216">
    <w:nsid w:val="6B0572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2019-12-16T18:26:08Z</dcterms:created>
  <dcterms:modified xsi:type="dcterms:W3CDTF">2019-12-16T18:26:08Z</dcterms:modified>
</cp:coreProperties>
</file>