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4720"/>
        <w:spacing w:after="0"/>
        <w:rPr>
          <w:sz w:val="20"/>
          <w:szCs w:val="20"/>
          <w:color w:val="auto"/>
        </w:rPr>
      </w:pPr>
      <w:r>
        <w:rPr>
          <w:rFonts w:ascii="Times New Roman" w:cs="Times New Roman" w:eastAsia="Times New Roman" w:hAnsi="Times New Roman"/>
          <w:sz w:val="20"/>
          <w:szCs w:val="20"/>
          <w:b w:val="1"/>
          <w:bCs w:val="1"/>
          <w:color w:val="auto"/>
        </w:rPr>
        <w:t>____________________</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_____________________</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May 5, 2009</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ectPr>
          <w:pgSz w:w="11900" w:h="16838" w:orient="portrait"/>
          <w:cols w:equalWidth="0" w:num="1">
            <w:col w:w="11420"/>
          </w:cols>
          <w:pgMar w:left="240" w:top="707" w:right="239" w:bottom="1440" w:gutter="0" w:footer="0" w:header="0"/>
        </w:sectPr>
      </w:pPr>
    </w:p>
    <w:p>
      <w:pPr>
        <w:spacing w:after="0" w:line="217"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20"/>
          <w:szCs w:val="20"/>
          <w:b w:val="1"/>
          <w:bCs w:val="1"/>
          <w:color w:val="auto"/>
        </w:rPr>
        <w:t>Nevada</w:t>
      </w:r>
    </w:p>
    <w:p>
      <w:pPr>
        <w:spacing w:after="0" w:line="26"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000-50028</w:t>
      </w:r>
    </w:p>
    <w:p>
      <w:pPr>
        <w:spacing w:after="0" w:line="2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20"/>
          <w:szCs w:val="20"/>
          <w:b w:val="1"/>
          <w:bCs w:val="1"/>
          <w:color w:val="auto"/>
        </w:rPr>
        <w:t>46-0484987</w:t>
      </w:r>
    </w:p>
    <w:p>
      <w:pPr>
        <w:spacing w:after="0" w:line="26"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3900" w:space="720"/>
            <w:col w:w="2620" w:space="720"/>
            <w:col w:w="3460"/>
          </w:cols>
          <w:pgMar w:left="240" w:top="707" w:right="239" w:bottom="1440" w:gutter="0" w:footer="0" w:header="0"/>
          <w:type w:val="continuous"/>
        </w:sectPr>
      </w:pP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WYNN LAS VEGAS, LLC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ectPr>
          <w:pgSz w:w="11900" w:h="16838" w:orient="portrait"/>
          <w:cols w:equalWidth="0" w:num="1">
            <w:col w:w="11420"/>
          </w:cols>
          <w:pgMar w:left="240" w:top="707" w:right="239" w:bottom="1440" w:gutter="0" w:footer="0" w:header="0"/>
          <w:type w:val="continuous"/>
        </w:sectPr>
      </w:pPr>
    </w:p>
    <w:p>
      <w:pPr>
        <w:spacing w:after="0" w:line="200" w:lineRule="exact"/>
        <w:rPr>
          <w:sz w:val="24"/>
          <w:szCs w:val="24"/>
          <w:color w:val="auto"/>
        </w:rPr>
      </w:pPr>
    </w:p>
    <w:p>
      <w:pPr>
        <w:spacing w:after="0" w:line="271"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20"/>
          <w:szCs w:val="20"/>
          <w:b w:val="1"/>
          <w:bCs w:val="1"/>
          <w:color w:val="auto"/>
        </w:rPr>
        <w:t>Nevada</w:t>
      </w:r>
    </w:p>
    <w:p>
      <w:pPr>
        <w:spacing w:after="0" w:line="26"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19"/>
          <w:szCs w:val="19"/>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333-100768</w:t>
      </w:r>
    </w:p>
    <w:p>
      <w:pPr>
        <w:spacing w:after="0" w:line="2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20"/>
          <w:szCs w:val="20"/>
          <w:b w:val="1"/>
          <w:bCs w:val="1"/>
          <w:color w:val="auto"/>
        </w:rPr>
        <w:t>88-0494875</w:t>
      </w:r>
    </w:p>
    <w:p>
      <w:pPr>
        <w:spacing w:after="0" w:line="26"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18" w:lineRule="exact"/>
        <w:rPr>
          <w:sz w:val="24"/>
          <w:szCs w:val="24"/>
          <w:color w:val="auto"/>
        </w:rPr>
      </w:pPr>
    </w:p>
    <w:p>
      <w:pPr>
        <w:sectPr>
          <w:pgSz w:w="11900" w:h="16838" w:orient="portrait"/>
          <w:cols w:equalWidth="0" w:num="3">
            <w:col w:w="3900" w:space="720"/>
            <w:col w:w="2620" w:space="720"/>
            <w:col w:w="3460"/>
          </w:cols>
          <w:pgMar w:left="240" w:top="707" w:right="239" w:bottom="1440" w:gutter="0" w:footer="0" w:header="0"/>
          <w:type w:val="continuous"/>
        </w:sectPr>
      </w:pPr>
    </w:p>
    <w:p>
      <w:pPr>
        <w:ind w:left="1460"/>
        <w:spacing w:after="0"/>
        <w:rPr>
          <w:sz w:val="20"/>
          <w:szCs w:val="20"/>
          <w:color w:val="auto"/>
        </w:rPr>
      </w:pPr>
      <w:r>
        <w:rPr>
          <w:rFonts w:ascii="Times New Roman" w:cs="Times New Roman" w:eastAsia="Times New Roman" w:hAnsi="Times New Roman"/>
          <w:sz w:val="19"/>
          <w:szCs w:val="19"/>
          <w:color w:val="auto"/>
        </w:rPr>
        <w:t>incorporation)</w:t>
      </w:r>
    </w:p>
    <w:p>
      <w:pPr>
        <w:sectPr>
          <w:pgSz w:w="11900" w:h="16838" w:orient="portrait"/>
          <w:cols w:equalWidth="0" w:num="1">
            <w:col w:w="11420"/>
          </w:cols>
          <w:pgMar w:left="240" w:top="707" w:right="239" w:bottom="1440" w:gutter="0" w:footer="0" w:header="0"/>
          <w:type w:val="continuous"/>
        </w:sectPr>
      </w:pPr>
    </w:p>
    <w:p>
      <w:pPr>
        <w:spacing w:after="0" w:line="200" w:lineRule="exact"/>
        <w:rPr>
          <w:sz w:val="24"/>
          <w:szCs w:val="24"/>
          <w:color w:val="auto"/>
        </w:rPr>
      </w:pPr>
    </w:p>
    <w:p>
      <w:pPr>
        <w:spacing w:after="0" w:line="264"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20"/>
          <w:szCs w:val="20"/>
          <w:b w:val="1"/>
          <w:bCs w:val="1"/>
          <w:color w:val="auto"/>
        </w:rPr>
        <w:t>3131 Las Vegas Boulevard South</w:t>
      </w:r>
    </w:p>
    <w:p>
      <w:pPr>
        <w:spacing w:after="0" w:line="32"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20"/>
          <w:szCs w:val="20"/>
          <w:b w:val="1"/>
          <w:bCs w:val="1"/>
          <w:color w:val="auto"/>
        </w:rPr>
        <w:t>Las Vegas, Nevada</w:t>
      </w:r>
    </w:p>
    <w:p>
      <w:pPr>
        <w:spacing w:after="0" w:line="13"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9"/>
          <w:szCs w:val="19"/>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20"/>
          <w:szCs w:val="20"/>
          <w:b w:val="1"/>
          <w:bCs w:val="1"/>
          <w:color w:val="auto"/>
        </w:rPr>
        <w:t>89109</w:t>
      </w:r>
    </w:p>
    <w:p>
      <w:pPr>
        <w:spacing w:after="0" w:line="32"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9"/>
          <w:szCs w:val="19"/>
          <w:color w:val="auto"/>
        </w:rPr>
        <w:t>(Zip Code)</w:t>
      </w:r>
    </w:p>
    <w:p>
      <w:pPr>
        <w:spacing w:after="0" w:line="200" w:lineRule="exact"/>
        <w:rPr>
          <w:sz w:val="24"/>
          <w:szCs w:val="24"/>
          <w:color w:val="auto"/>
        </w:rPr>
      </w:pPr>
    </w:p>
    <w:p>
      <w:pPr>
        <w:sectPr>
          <w:pgSz w:w="11900" w:h="16838" w:orient="portrait"/>
          <w:cols w:equalWidth="0" w:num="2">
            <w:col w:w="8240" w:space="720"/>
            <w:col w:w="2460"/>
          </w:cols>
          <w:pgMar w:left="240" w:top="707" w:right="239" w:bottom="1440"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(702) 770-7555</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21"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is intended to simultaneously satisfy the filing obligation of the registrant under any of the following provisions:</w:t>
      </w:r>
    </w:p>
    <w:p>
      <w:pPr>
        <w:spacing w:after="0" w:line="187"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Written communication pursuant to Rule 425 under the Securities Act (17 CFR 230.425)</w:t>
      </w:r>
    </w:p>
    <w:p>
      <w:pPr>
        <w:spacing w:after="0" w:line="233"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233"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233"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572135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7"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00" w:lineRule="exact"/>
        <w:rPr>
          <w:sz w:val="20"/>
          <w:szCs w:val="20"/>
          <w:color w:val="auto"/>
        </w:rPr>
      </w:pPr>
    </w:p>
    <w:p>
      <w:pPr>
        <w:spacing w:after="0" w:line="28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On May 5, 2009, Wynn Resorts, Limited issued a press release announcing its results of operations for the first quarter of 2009.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information set forth under Item 2.02 of this report is incorporated herein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37" w:lineRule="exact"/>
        <w:rPr>
          <w:sz w:val="20"/>
          <w:szCs w:val="20"/>
          <w:color w:val="auto"/>
        </w:rPr>
      </w:pPr>
    </w:p>
    <w:p>
      <w:pPr>
        <w:ind w:left="800" w:hanging="355"/>
        <w:spacing w:after="0"/>
        <w:tabs>
          <w:tab w:leader="none" w:pos="8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Exhibits:</w:t>
      </w:r>
    </w:p>
    <w:p>
      <w:pPr>
        <w:spacing w:after="0" w:line="233" w:lineRule="exact"/>
        <w:rPr>
          <w:rFonts w:ascii="Times New Roman" w:cs="Times New Roman" w:eastAsia="Times New Roman" w:hAnsi="Times New Roman"/>
          <w:sz w:val="22"/>
          <w:szCs w:val="22"/>
          <w:color w:val="auto"/>
        </w:rPr>
      </w:pPr>
    </w:p>
    <w:p>
      <w:pPr>
        <w:ind w:left="8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w:t>
      </w:r>
    </w:p>
    <w:p>
      <w:pPr>
        <w:spacing w:after="0" w:line="14" w:lineRule="exact"/>
        <w:rPr>
          <w:rFonts w:ascii="Times New Roman" w:cs="Times New Roman" w:eastAsia="Times New Roman" w:hAnsi="Times New Roman"/>
          <w:sz w:val="22"/>
          <w:szCs w:val="22"/>
          <w:color w:val="auto"/>
        </w:rPr>
      </w:pPr>
    </w:p>
    <w:p>
      <w:pPr>
        <w:ind w:left="8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Description</w:t>
      </w:r>
    </w:p>
    <w:p>
      <w:pPr>
        <w:spacing w:after="0" w:line="209" w:lineRule="exact"/>
        <w:rPr>
          <w:rFonts w:ascii="Times New Roman" w:cs="Times New Roman" w:eastAsia="Times New Roman" w:hAnsi="Times New Roman"/>
          <w:sz w:val="22"/>
          <w:szCs w:val="22"/>
          <w:color w:val="auto"/>
        </w:rPr>
      </w:pPr>
    </w:p>
    <w:p>
      <w:pPr>
        <w:ind w:left="8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99.1</w:t>
      </w:r>
      <w:r>
        <w:rPr>
          <w:rFonts w:ascii="Times New Roman" w:cs="Times New Roman" w:eastAsia="Times New Roman" w:hAnsi="Times New Roman"/>
          <w:sz w:val="21"/>
          <w:szCs w:val="21"/>
          <w:color w:val="auto"/>
        </w:rPr>
        <w:t>Press release, dated May 5, 2009,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729615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43" w:right="2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138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6"/>
              </w:rPr>
              <w:t>May 5, 2009</w:t>
            </w:r>
          </w:p>
        </w:tc>
      </w:tr>
    </w:tbl>
    <w:p>
      <w:pPr>
        <w:spacing w:after="0" w:line="21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WYNN RESORTS, LIMITED</w:t>
      </w:r>
    </w:p>
    <w:p>
      <w:pPr>
        <w:spacing w:after="0" w:line="200" w:lineRule="exact"/>
        <w:rPr>
          <w:sz w:val="20"/>
          <w:szCs w:val="20"/>
          <w:color w:val="auto"/>
        </w:rPr>
      </w:pPr>
    </w:p>
    <w:p>
      <w:pPr>
        <w:spacing w:after="0" w:line="299" w:lineRule="exact"/>
        <w:rPr>
          <w:sz w:val="20"/>
          <w:szCs w:val="20"/>
          <w:color w:val="auto"/>
        </w:rPr>
      </w:pPr>
    </w:p>
    <w:p>
      <w:pPr>
        <w:ind w:left="6400"/>
        <w:spacing w:after="0"/>
        <w:tabs>
          <w:tab w:leader="none" w:pos="68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Matt Maddox</w:t>
      </w:r>
    </w:p>
    <w:p>
      <w:pPr>
        <w:spacing w:after="0" w:line="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Chief Financial Officer and</w:t>
      </w:r>
    </w:p>
    <w:p>
      <w:pPr>
        <w:spacing w:after="0" w:line="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718820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138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6"/>
              </w:rPr>
              <w:t>May 5, 2009</w:t>
            </w:r>
          </w:p>
        </w:tc>
      </w:tr>
    </w:tbl>
    <w:p>
      <w:pPr>
        <w:spacing w:after="0" w:line="200" w:lineRule="exact"/>
        <w:rPr>
          <w:sz w:val="20"/>
          <w:szCs w:val="20"/>
          <w:color w:val="auto"/>
        </w:rPr>
      </w:pPr>
    </w:p>
    <w:p>
      <w:pPr>
        <w:spacing w:after="0" w:line="25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color w:val="auto"/>
        </w:rPr>
        <w:t>WYNN LAS VEGAS, LLC</w:t>
      </w:r>
    </w:p>
    <w:p>
      <w:pPr>
        <w:spacing w:after="0" w:line="256" w:lineRule="exact"/>
        <w:rPr>
          <w:sz w:val="20"/>
          <w:szCs w:val="20"/>
          <w:color w:val="auto"/>
        </w:rPr>
      </w:pPr>
    </w:p>
    <w:p>
      <w:pPr>
        <w:ind w:left="6280"/>
        <w:spacing w:after="0"/>
        <w:tabs>
          <w:tab w:leader="none" w:pos="6840" w:val="left"/>
        </w:tabs>
        <w:rPr>
          <w:sz w:val="20"/>
          <w:szCs w:val="20"/>
          <w:color w:val="auto"/>
        </w:rPr>
      </w:pPr>
      <w:r>
        <w:rPr>
          <w:rFonts w:ascii="Times New Roman" w:cs="Times New Roman" w:eastAsia="Times New Roman" w:hAnsi="Times New Roman"/>
          <w:sz w:val="20"/>
          <w:szCs w:val="20"/>
          <w:color w:val="auto"/>
        </w:rPr>
        <w:t>By:</w:t>
        <w:tab/>
        <w:t>Wynn Resorts Holdings, LLC, its</w:t>
      </w:r>
    </w:p>
    <w:p>
      <w:pPr>
        <w:spacing w:after="0" w:line="2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0"/>
          <w:szCs w:val="20"/>
          <w:color w:val="auto"/>
        </w:rPr>
        <w:t>sole member</w:t>
      </w:r>
    </w:p>
    <w:p>
      <w:pPr>
        <w:spacing w:after="0" w:line="221" w:lineRule="exact"/>
        <w:rPr>
          <w:sz w:val="20"/>
          <w:szCs w:val="20"/>
          <w:color w:val="auto"/>
        </w:rPr>
      </w:pPr>
    </w:p>
    <w:p>
      <w:pPr>
        <w:ind w:left="6280"/>
        <w:spacing w:after="0"/>
        <w:tabs>
          <w:tab w:leader="none" w:pos="6840" w:val="left"/>
        </w:tabs>
        <w:rPr>
          <w:sz w:val="20"/>
          <w:szCs w:val="20"/>
          <w:color w:val="auto"/>
        </w:rPr>
      </w:pPr>
      <w:r>
        <w:rPr>
          <w:rFonts w:ascii="Times New Roman" w:cs="Times New Roman" w:eastAsia="Times New Roman" w:hAnsi="Times New Roman"/>
          <w:sz w:val="20"/>
          <w:szCs w:val="20"/>
          <w:color w:val="auto"/>
        </w:rPr>
        <w:t>By:</w:t>
        <w:tab/>
        <w:t>Wynn Resorts, Limited, its sole</w:t>
      </w:r>
    </w:p>
    <w:p>
      <w:pPr>
        <w:spacing w:after="0" w:line="2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0"/>
          <w:szCs w:val="20"/>
          <w:color w:val="auto"/>
        </w:rPr>
        <w:t>member</w:t>
      </w:r>
    </w:p>
    <w:p>
      <w:pPr>
        <w:spacing w:after="0" w:line="221" w:lineRule="exact"/>
        <w:rPr>
          <w:sz w:val="20"/>
          <w:szCs w:val="20"/>
          <w:color w:val="auto"/>
        </w:rPr>
      </w:pPr>
    </w:p>
    <w:p>
      <w:pPr>
        <w:ind w:left="6280"/>
        <w:spacing w:after="0"/>
        <w:tabs>
          <w:tab w:leader="none" w:pos="6840" w:val="left"/>
        </w:tabs>
        <w:rPr>
          <w:sz w:val="20"/>
          <w:szCs w:val="20"/>
          <w:color w:val="auto"/>
        </w:rPr>
      </w:pPr>
      <w:r>
        <w:rPr>
          <w:rFonts w:ascii="Times New Roman" w:cs="Times New Roman" w:eastAsia="Times New Roman" w:hAnsi="Times New Roman"/>
          <w:sz w:val="20"/>
          <w:szCs w:val="20"/>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Matt Maddox</w:t>
      </w:r>
    </w:p>
    <w:p>
      <w:pPr>
        <w:spacing w:after="0" w:line="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Chief Financial Officer and</w:t>
      </w:r>
    </w:p>
    <w:p>
      <w:pPr>
        <w:spacing w:after="0" w:line="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530225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76"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Wynn Resorts, Limited Reports First Quarter Results</w:t>
      </w:r>
    </w:p>
    <w:p>
      <w:pPr>
        <w:spacing w:after="0" w:line="24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LAS VEGAS, May 5, 2009 (BUSINESS WIRE) -- Wynn Resorts, Limited (Nasdaq: WYNN) today reported financial results for the first quarter ended March 31, 2009.</w:t>
      </w:r>
    </w:p>
    <w:p>
      <w:pPr>
        <w:spacing w:after="0" w:line="17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Net revenues for the first quarter of 2009 were $740.0 million, compared to $778.7 million in the first quarter of 2008. The revenue decline was driven primarily by 8.7% lower revenues at Wynn Macau.</w:t>
      </w:r>
    </w:p>
    <w:p>
      <w:pPr>
        <w:spacing w:after="0" w:line="172"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Consolidated adjusted property EBITDA (1) decreased 19.9% to $158.5 million for the first quarter of 2009, compared to $197.8 million in the first quarter of 2008.</w:t>
      </w:r>
    </w:p>
    <w:p>
      <w:pPr>
        <w:spacing w:after="0" w:line="172"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On a US GAAP (Generally Accepted Accounting Principles) basis, net loss for the quarter was $33.8 million, or ($0.30) per diluted share, compared to net income of $46.7 million, or $0.41 per diluted share in 2008. Adjusted net loss in the first quarter of 2009 was $30.1 million, or ($ 0.27) per diluted share (adjusted EPS)(2) compared to an adjusted net income of $78.2 million, or $0.69 per diluted share in the first quarter of 2008.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First Quarter Results</w:t>
      </w: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results of operations for the periods presented are not comparable as the three months ended March 31, 2009 includes Encore at Wynn Las Vegas, which opened on December 22, 2008. The prior year quarter includes only Wynn Las Vegas.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quarter ended March 31, 2009, our Las Vegas operations generated adjusted property EBITDA of $43.9 million, compared to $68.4 million in the first quarter of 2008, with a 15.1% EBITDA margin on net revenue. The EBITDA decline was primarily driven by higher operating expenses associated with the opening of Encore.</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Net casino revenues in the first quarter of 2009 were $ 117.5 million, compared to $125.1 million for the first quarter of 2008. Table games drop was $520.0 million, with win per table per day (before discounts) of $4,404, compared to drop of $533.3 million and win per table per day of $8,632 in the first quarter of 2008. Table games win percentage of 17.7% was below the property’s expected range of 21% to 24% and the 19.9% in the first quarter of 2008. Slot machine handle of $ 919.2 million was 2.5% above the comparable period of 2008 and win per unit per day was $179, compared to a win per unit per day of $227 in the first quarter of 2008. The reduction in win per table and win per unit is due primarily to the addition of 97 tables and 857 slot machines with the opening of Encore.</w:t>
      </w:r>
    </w:p>
    <w:p>
      <w:pPr>
        <w:spacing w:after="0" w:line="20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Gross non-casino revenues for the quarter were $228.4 million, a 13.3% increase from the first quarter of 2008, driven primarily by higher hotel and food and beverage revenues resulting from the opening of Encore. Hotel revenues were up 20.6% to $85.1 million during the quarter, versus $70.6 million in the first quarter of 2008 due to the addition of 2,034 suites at Encore. Our Las Vegas operations achieved an Average Daily Rate (ADR) of $ 222 for the quarter, compared to $298 in the first quarter of 2008. Our occupancy was 89.5%, compared to 95.8% during the prior year period, generating revenue per available room (REVPAR) of $199 in the 2009 period (30.3% below the first quarter of 2008 of $285).</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Food and beverage revenues increased 25.6% to $96.9 million in the quarter as a result of the additional 12 food and beverage outlets located in the Encore expansion. Retail revenues were $19.6 million in the quarter, compared to $22.6 million, a 13.5% decline resulting primarily from reduced consumer spending in the first quarter of 2009. Entertainment revenues decreased $6.4 million (33.3%) from the first quarter of 2008 primarily due to the closure of the Spamalot production show in July 2008.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First Quarter Results</w:t>
      </w:r>
    </w:p>
    <w:p>
      <w:pPr>
        <w:spacing w:after="0" w:line="241"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In the first quarter of 2009, net revenues were $448.7 million compared $491.5 million in the first quarter of 2008. Wynn Macau generated adjusted property EBITDA of $114.6 million, compared to $129.4 million in the first quarter of 2008.</w:t>
      </w:r>
    </w:p>
    <w:p>
      <w:pPr>
        <w:spacing w:after="0" w:line="17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Table games turnover in the VIP segment was $10.7 billion for the period, compared to $14.8 billion for the first quarter of 2008. VIP table games win as a percentage of turnover (calculated before discounts and commissions) for the first quarter of 2009 was 3.6%, higher than the 3.0% experienced in the 2008 period and above the expected range of 2.7% to 3.0%.</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5" w:name="page6"/>
    <w:bookmarkEnd w:id="5"/>
    <w:p>
      <w:pPr>
        <w:jc w:val="both"/>
        <w:ind w:right="240"/>
        <w:spacing w:after="0" w:line="255" w:lineRule="auto"/>
        <w:rPr>
          <w:sz w:val="20"/>
          <w:szCs w:val="20"/>
          <w:color w:val="auto"/>
        </w:rPr>
      </w:pPr>
      <w:r>
        <w:rPr>
          <w:rFonts w:ascii="Arial" w:cs="Arial" w:eastAsia="Arial" w:hAnsi="Arial"/>
          <w:sz w:val="18"/>
          <w:szCs w:val="18"/>
          <w:color w:val="auto"/>
        </w:rPr>
        <w:t>Table games drop in the mass market category was approximately $502.3 million during the period, a 15.3% decrease from $592.7 million in the first quarter of 2008. Mass market table games win percentage (calculated before discounts) of 22.1% was above our expected range of 18% to 20% and higher than the 19.7% experienced in the first quarter of 2008.</w:t>
      </w:r>
    </w:p>
    <w:p>
      <w:pPr>
        <w:spacing w:after="0" w:line="191" w:lineRule="exact"/>
        <w:rPr>
          <w:sz w:val="20"/>
          <w:szCs w:val="20"/>
          <w:color w:val="auto"/>
        </w:rPr>
      </w:pPr>
    </w:p>
    <w:p>
      <w:pPr>
        <w:ind w:right="520"/>
        <w:spacing w:after="0" w:line="276" w:lineRule="auto"/>
        <w:rPr>
          <w:sz w:val="20"/>
          <w:szCs w:val="20"/>
          <w:color w:val="auto"/>
        </w:rPr>
      </w:pPr>
      <w:r>
        <w:rPr>
          <w:rFonts w:ascii="Arial" w:cs="Arial" w:eastAsia="Arial" w:hAnsi="Arial"/>
          <w:sz w:val="18"/>
          <w:szCs w:val="18"/>
          <w:color w:val="auto"/>
        </w:rPr>
        <w:t>Slot machine win increased 41.2% compared to the first quarter of 2008 and win per unit per day was $440, 42.0% higher than in the first quarter of 2008.</w:t>
      </w:r>
    </w:p>
    <w:p>
      <w:pPr>
        <w:spacing w:after="0" w:line="17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Wynn Macau achieved an Average Daily Rate (ADR) of $268 for the quarter of 2009, compared to $276 in the first quarter of 2008. The property’s occupancy was 83.3%, compared to 88.5% during the prior year period, generating revenue per available room (REVPAR) of $223 in the 2009 period, 8.6% below 2008 levels of $244.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Macau</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Construction continues on a further expansion of Wynn Macau. Encore at Wynn Macau is expected to open in 2010, adding a fully-integrated resort hotel to Wynn Macau with approximately 400 luxury suites and four villas, along with restaurants, retail and gaming space. The current project budget is approximately $700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2009, we have incurred $254.6 million associated with the construction of Encore at Wynn Macau.</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Earnings</w:t>
      </w:r>
    </w:p>
    <w:p>
      <w:pPr>
        <w:spacing w:after="0" w:line="24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Interest expense, net of $2.4 million in capitalized interest, was $57.0 million for the first quarter of 2009. Depreciation and amortization expenses were $101.5 million and we had no pre-opening expenses. Corporate expense and other was $13.4 million in the first quarter, including $5.4 million in stock based compensation. Property charges of $16.5 million are primarily related to the write-off of aircraft purchase deposits. Our first quarter 2009 tax expense of $15.9 million reflects additional reserves against deferred tax assets which are not directly related to our first quarter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Expenditures</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total cash balances on March 31, 2009 were $1.7 billion. Total debt outstanding at the end of the quarter was $4.8 billion, including approximately $2.8 billion of Wynn Las Vegas debt, $1.6 billion of Wynn Macau debt and $375 million outstanding under the Wynn Resorts Term Loan Facility.</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Capital expenditures during the first quarter of 2009 of approximately $185 million included the payment of certain construction payables and retention associated with Encore at Wynn Las Vegas and ongoing construction of Encore at Wynn Macau.</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On March 20, 2009, the Company completed a secondary common stock offering of 11,040,000 shares with net proceeds of $202.3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42" w:lineRule="exact"/>
        <w:rPr>
          <w:sz w:val="20"/>
          <w:szCs w:val="20"/>
          <w:color w:val="auto"/>
        </w:rPr>
      </w:pPr>
    </w:p>
    <w:p>
      <w:pPr>
        <w:jc w:val="both"/>
        <w:ind w:right="20"/>
        <w:spacing w:after="0" w:line="222" w:lineRule="auto"/>
        <w:rPr>
          <w:sz w:val="20"/>
          <w:szCs w:val="20"/>
          <w:color w:val="auto"/>
        </w:rPr>
      </w:pPr>
      <w:r>
        <w:rPr>
          <w:rFonts w:ascii="Arial" w:cs="Arial" w:eastAsia="Arial" w:hAnsi="Arial"/>
          <w:sz w:val="18"/>
          <w:szCs w:val="18"/>
          <w:color w:val="auto"/>
        </w:rPr>
        <w:t>The Company will hold a conference call to discuss its results on Tuesday, May 5</w:t>
      </w:r>
      <w:r>
        <w:rPr>
          <w:rFonts w:ascii="Arial" w:cs="Arial" w:eastAsia="Arial" w:hAnsi="Arial"/>
          <w:sz w:val="25"/>
          <w:szCs w:val="25"/>
          <w:color w:val="auto"/>
          <w:vertAlign w:val="superscript"/>
        </w:rPr>
        <w:t>th</w:t>
      </w:r>
      <w:r>
        <w:rPr>
          <w:rFonts w:ascii="Arial" w:cs="Arial" w:eastAsia="Arial" w:hAnsi="Arial"/>
          <w:sz w:val="18"/>
          <w:szCs w:val="18"/>
          <w:color w:val="auto"/>
        </w:rPr>
        <w:t>, 2009 at 8:00 a.m. PT (11:00 a.m. ET). Interested parties are invited to join the call by accessing a live audio webcast at http://www.wynnresorts.com (Investor Relations).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the Company's financial results is included in the Company's Annual Report on Form 10-K for the year ended December 31, 2008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Non-GAAP financial measures</w:t>
      </w:r>
    </w:p>
    <w:p>
      <w:pPr>
        <w:spacing w:after="0" w:line="241" w:lineRule="exact"/>
        <w:rPr>
          <w:sz w:val="20"/>
          <w:szCs w:val="20"/>
          <w:color w:val="auto"/>
        </w:rPr>
      </w:pPr>
    </w:p>
    <w:p>
      <w:pPr>
        <w:jc w:val="both"/>
        <w:ind w:firstLine="8"/>
        <w:spacing w:after="0" w:line="237" w:lineRule="auto"/>
        <w:tabs>
          <w:tab w:leader="none" w:pos="286"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 comparative tools, together with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0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(loss) to adjusted net income (loss), and (ii) operating income (loss) to adjusted property EBITDA and adjusted property EBITDA to net income (loss).</w:t>
      </w:r>
    </w:p>
    <w:p>
      <w:pPr>
        <w:spacing w:after="0" w:line="172" w:lineRule="exact"/>
        <w:rPr>
          <w:sz w:val="20"/>
          <w:szCs w:val="20"/>
          <w:color w:val="auto"/>
        </w:rPr>
      </w:pPr>
    </w:p>
    <w:p>
      <w:pPr>
        <w:jc w:val="both"/>
        <w:ind w:firstLine="8"/>
        <w:spacing w:after="0" w:line="241" w:lineRule="auto"/>
        <w:tabs>
          <w:tab w:leader="none" w:pos="279"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net income (loss) is net income (loss) before pre-opening costs, property charges and other non-cash non-operating income and expenses. Adjusted net income (loss) and adjusted net income (loss) per share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(loss) and adjusted net income (loss) per share may be different from the calculation methods used by other companies and, therefore, comparability may be limited.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color w:val="auto"/>
        </w:rPr>
        <w:t>(amounts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7"/>
        </w:trPr>
        <w:tc>
          <w:tcPr>
            <w:tcW w:w="49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w w:val="99"/>
              </w:rPr>
              <w:t>2008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4940" w:type="dxa"/>
            <w:vAlign w:val="bottom"/>
          </w:tcPr>
          <w:p>
            <w:pPr>
              <w:spacing w:after="0"/>
              <w:rPr>
                <w:sz w:val="20"/>
                <w:szCs w:val="20"/>
                <w:color w:val="auto"/>
              </w:rPr>
            </w:pPr>
            <w:r>
              <w:rPr>
                <w:rFonts w:ascii="Arial" w:cs="Arial" w:eastAsia="Arial" w:hAnsi="Arial"/>
                <w:sz w:val="18"/>
                <w:szCs w:val="18"/>
                <w:color w:val="auto"/>
              </w:rPr>
              <w:t>Operating revenues:</w:t>
            </w:r>
          </w:p>
        </w:tc>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80"/>
              <w:spacing w:after="0" w:line="202" w:lineRule="exact"/>
              <w:rPr>
                <w:sz w:val="20"/>
                <w:szCs w:val="20"/>
                <w:color w:val="auto"/>
              </w:rPr>
            </w:pPr>
            <w:r>
              <w:rPr>
                <w:rFonts w:ascii="Arial" w:cs="Arial" w:eastAsia="Arial" w:hAnsi="Arial"/>
                <w:sz w:val="18"/>
                <w:szCs w:val="18"/>
                <w:color w:val="auto"/>
              </w:rPr>
              <w:t>Casino</w:t>
            </w:r>
          </w:p>
        </w:tc>
        <w:tc>
          <w:tcPr>
            <w:tcW w:w="4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541,654</w:t>
            </w:r>
          </w:p>
        </w:tc>
        <w:tc>
          <w:tcPr>
            <w:tcW w:w="140" w:type="dxa"/>
            <w:vAlign w:val="bottom"/>
          </w:tcPr>
          <w:p>
            <w:pPr>
              <w:spacing w:after="0"/>
              <w:rPr>
                <w:sz w:val="17"/>
                <w:szCs w:val="17"/>
                <w:color w:val="auto"/>
              </w:rPr>
            </w:pP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591,771</w:t>
            </w:r>
          </w:p>
        </w:tc>
        <w:tc>
          <w:tcPr>
            <w:tcW w:w="0" w:type="dxa"/>
            <w:vAlign w:val="bottom"/>
          </w:tcPr>
          <w:p>
            <w:pPr>
              <w:spacing w:after="0"/>
              <w:rPr>
                <w:sz w:val="1"/>
                <w:szCs w:val="1"/>
                <w:color w:val="auto"/>
              </w:rPr>
            </w:pPr>
          </w:p>
        </w:tc>
      </w:tr>
      <w:tr>
        <w:trPr>
          <w:trHeight w:val="203"/>
        </w:trPr>
        <w:tc>
          <w:tcPr>
            <w:tcW w:w="4940" w:type="dxa"/>
            <w:vAlign w:val="bottom"/>
          </w:tcPr>
          <w:p>
            <w:pPr>
              <w:ind w:left="280"/>
              <w:spacing w:after="0" w:line="202" w:lineRule="exact"/>
              <w:rPr>
                <w:sz w:val="20"/>
                <w:szCs w:val="20"/>
                <w:color w:val="auto"/>
              </w:rPr>
            </w:pPr>
            <w:r>
              <w:rPr>
                <w:rFonts w:ascii="Arial" w:cs="Arial" w:eastAsia="Arial" w:hAnsi="Arial"/>
                <w:sz w:val="18"/>
                <w:szCs w:val="18"/>
                <w:color w:val="auto"/>
              </w:rPr>
              <w:t>Rooms</w:t>
            </w: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98,406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85,262</w:t>
            </w:r>
          </w:p>
        </w:tc>
        <w:tc>
          <w:tcPr>
            <w:tcW w:w="0" w:type="dxa"/>
            <w:vAlign w:val="bottom"/>
          </w:tcPr>
          <w:p>
            <w:pPr>
              <w:spacing w:after="0"/>
              <w:rPr>
                <w:sz w:val="1"/>
                <w:szCs w:val="1"/>
                <w:color w:val="auto"/>
              </w:rPr>
            </w:pPr>
          </w:p>
        </w:tc>
      </w:tr>
      <w:tr>
        <w:trPr>
          <w:trHeight w:val="203"/>
        </w:trPr>
        <w:tc>
          <w:tcPr>
            <w:tcW w:w="4940" w:type="dxa"/>
            <w:vAlign w:val="bottom"/>
          </w:tcPr>
          <w:p>
            <w:pPr>
              <w:ind w:left="280"/>
              <w:spacing w:after="0" w:line="202" w:lineRule="exact"/>
              <w:rPr>
                <w:sz w:val="20"/>
                <w:szCs w:val="20"/>
                <w:color w:val="auto"/>
              </w:rPr>
            </w:pPr>
            <w:r>
              <w:rPr>
                <w:rFonts w:ascii="Arial" w:cs="Arial" w:eastAsia="Arial" w:hAnsi="Arial"/>
                <w:sz w:val="18"/>
                <w:szCs w:val="18"/>
                <w:color w:val="auto"/>
              </w:rPr>
              <w:t>Food and beverage</w:t>
            </w: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109,591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91,065</w:t>
            </w:r>
          </w:p>
        </w:tc>
        <w:tc>
          <w:tcPr>
            <w:tcW w:w="0" w:type="dxa"/>
            <w:vAlign w:val="bottom"/>
          </w:tcPr>
          <w:p>
            <w:pPr>
              <w:spacing w:after="0"/>
              <w:rPr>
                <w:sz w:val="1"/>
                <w:szCs w:val="1"/>
                <w:color w:val="auto"/>
              </w:rPr>
            </w:pPr>
          </w:p>
        </w:tc>
      </w:tr>
      <w:tr>
        <w:trPr>
          <w:trHeight w:val="225"/>
        </w:trPr>
        <w:tc>
          <w:tcPr>
            <w:tcW w:w="4940" w:type="dxa"/>
            <w:vAlign w:val="bottom"/>
          </w:tcPr>
          <w:p>
            <w:pPr>
              <w:ind w:left="280"/>
              <w:spacing w:after="0"/>
              <w:rPr>
                <w:sz w:val="20"/>
                <w:szCs w:val="20"/>
                <w:color w:val="auto"/>
              </w:rPr>
            </w:pPr>
            <w:r>
              <w:rPr>
                <w:rFonts w:ascii="Arial" w:cs="Arial" w:eastAsia="Arial" w:hAnsi="Arial"/>
                <w:sz w:val="18"/>
                <w:szCs w:val="18"/>
                <w:color w:val="auto"/>
              </w:rPr>
              <w:t>Entertainment, retail and other</w:t>
            </w: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63,132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68,154</w:t>
            </w:r>
          </w:p>
        </w:tc>
        <w:tc>
          <w:tcPr>
            <w:tcW w:w="0" w:type="dxa"/>
            <w:vAlign w:val="bottom"/>
          </w:tcPr>
          <w:p>
            <w:pPr>
              <w:spacing w:after="0"/>
              <w:rPr>
                <w:sz w:val="1"/>
                <w:szCs w:val="1"/>
                <w:color w:val="auto"/>
              </w:rPr>
            </w:pPr>
          </w:p>
        </w:tc>
      </w:tr>
      <w:tr>
        <w:trPr>
          <w:trHeight w:val="173"/>
        </w:trPr>
        <w:tc>
          <w:tcPr>
            <w:tcW w:w="4940" w:type="dxa"/>
            <w:vAlign w:val="bottom"/>
          </w:tcPr>
          <w:p>
            <w:pPr>
              <w:ind w:left="540"/>
              <w:spacing w:after="0" w:line="173" w:lineRule="exact"/>
              <w:rPr>
                <w:sz w:val="20"/>
                <w:szCs w:val="20"/>
                <w:color w:val="auto"/>
              </w:rPr>
            </w:pPr>
            <w:r>
              <w:rPr>
                <w:rFonts w:ascii="Arial" w:cs="Arial" w:eastAsia="Arial" w:hAnsi="Arial"/>
                <w:sz w:val="18"/>
                <w:szCs w:val="18"/>
                <w:color w:val="auto"/>
              </w:rPr>
              <w:t>Gross revenues</w:t>
            </w:r>
          </w:p>
        </w:tc>
        <w:tc>
          <w:tcPr>
            <w:tcW w:w="38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812,783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836,252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80"/>
              <w:spacing w:after="0"/>
              <w:rPr>
                <w:sz w:val="20"/>
                <w:szCs w:val="20"/>
                <w:color w:val="auto"/>
              </w:rPr>
            </w:pPr>
            <w:r>
              <w:rPr>
                <w:rFonts w:ascii="Arial" w:cs="Arial" w:eastAsia="Arial" w:hAnsi="Arial"/>
                <w:sz w:val="18"/>
                <w:szCs w:val="18"/>
                <w:color w:val="auto"/>
              </w:rPr>
              <w:t>Less: promotional allowances</w:t>
            </w: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(72,828)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(57,546)</w:t>
            </w:r>
          </w:p>
        </w:tc>
        <w:tc>
          <w:tcPr>
            <w:tcW w:w="0" w:type="dxa"/>
            <w:vAlign w:val="bottom"/>
          </w:tcPr>
          <w:p>
            <w:pPr>
              <w:spacing w:after="0"/>
              <w:rPr>
                <w:sz w:val="1"/>
                <w:szCs w:val="1"/>
                <w:color w:val="auto"/>
              </w:rPr>
            </w:pPr>
          </w:p>
        </w:tc>
      </w:tr>
      <w:tr>
        <w:trPr>
          <w:trHeight w:val="196"/>
        </w:trPr>
        <w:tc>
          <w:tcPr>
            <w:tcW w:w="4940" w:type="dxa"/>
            <w:vAlign w:val="bottom"/>
          </w:tcPr>
          <w:p>
            <w:pPr>
              <w:ind w:left="540"/>
              <w:spacing w:after="0" w:line="196" w:lineRule="exact"/>
              <w:rPr>
                <w:sz w:val="20"/>
                <w:szCs w:val="20"/>
                <w:color w:val="auto"/>
              </w:rPr>
            </w:pPr>
            <w:r>
              <w:rPr>
                <w:rFonts w:ascii="Arial" w:cs="Arial" w:eastAsia="Arial" w:hAnsi="Arial"/>
                <w:sz w:val="18"/>
                <w:szCs w:val="18"/>
                <w:color w:val="auto"/>
              </w:rPr>
              <w:t>Net revenues</w:t>
            </w:r>
          </w:p>
        </w:tc>
        <w:tc>
          <w:tcPr>
            <w:tcW w:w="38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739,955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778,706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49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80"/>
              <w:spacing w:after="0" w:line="202" w:lineRule="exact"/>
              <w:rPr>
                <w:sz w:val="20"/>
                <w:szCs w:val="20"/>
                <w:color w:val="auto"/>
              </w:rPr>
            </w:pPr>
            <w:r>
              <w:rPr>
                <w:rFonts w:ascii="Arial" w:cs="Arial" w:eastAsia="Arial" w:hAnsi="Arial"/>
                <w:sz w:val="18"/>
                <w:szCs w:val="18"/>
                <w:color w:val="auto"/>
              </w:rPr>
              <w:t>Casino</w:t>
            </w: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376,505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388,378</w:t>
            </w:r>
          </w:p>
        </w:tc>
        <w:tc>
          <w:tcPr>
            <w:tcW w:w="0" w:type="dxa"/>
            <w:vAlign w:val="bottom"/>
          </w:tcPr>
          <w:p>
            <w:pPr>
              <w:spacing w:after="0"/>
              <w:rPr>
                <w:sz w:val="1"/>
                <w:szCs w:val="1"/>
                <w:color w:val="auto"/>
              </w:rPr>
            </w:pPr>
          </w:p>
        </w:tc>
      </w:tr>
      <w:tr>
        <w:trPr>
          <w:trHeight w:val="203"/>
        </w:trPr>
        <w:tc>
          <w:tcPr>
            <w:tcW w:w="4940" w:type="dxa"/>
            <w:vAlign w:val="bottom"/>
          </w:tcPr>
          <w:p>
            <w:pPr>
              <w:ind w:left="280"/>
              <w:spacing w:after="0" w:line="202" w:lineRule="exact"/>
              <w:rPr>
                <w:sz w:val="20"/>
                <w:szCs w:val="20"/>
                <w:color w:val="auto"/>
              </w:rPr>
            </w:pPr>
            <w:r>
              <w:rPr>
                <w:rFonts w:ascii="Arial" w:cs="Arial" w:eastAsia="Arial" w:hAnsi="Arial"/>
                <w:sz w:val="18"/>
                <w:szCs w:val="18"/>
                <w:color w:val="auto"/>
              </w:rPr>
              <w:t>Rooms</w:t>
            </w: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24,956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20,331</w:t>
            </w:r>
          </w:p>
        </w:tc>
        <w:tc>
          <w:tcPr>
            <w:tcW w:w="0" w:type="dxa"/>
            <w:vAlign w:val="bottom"/>
          </w:tcPr>
          <w:p>
            <w:pPr>
              <w:spacing w:after="0"/>
              <w:rPr>
                <w:sz w:val="1"/>
                <w:szCs w:val="1"/>
                <w:color w:val="auto"/>
              </w:rPr>
            </w:pPr>
          </w:p>
        </w:tc>
      </w:tr>
      <w:tr>
        <w:trPr>
          <w:trHeight w:val="203"/>
        </w:trPr>
        <w:tc>
          <w:tcPr>
            <w:tcW w:w="4940" w:type="dxa"/>
            <w:vAlign w:val="bottom"/>
          </w:tcPr>
          <w:p>
            <w:pPr>
              <w:ind w:left="280"/>
              <w:spacing w:after="0" w:line="202" w:lineRule="exact"/>
              <w:rPr>
                <w:sz w:val="20"/>
                <w:szCs w:val="20"/>
                <w:color w:val="auto"/>
              </w:rPr>
            </w:pPr>
            <w:r>
              <w:rPr>
                <w:rFonts w:ascii="Arial" w:cs="Arial" w:eastAsia="Arial" w:hAnsi="Arial"/>
                <w:sz w:val="18"/>
                <w:szCs w:val="18"/>
                <w:color w:val="auto"/>
              </w:rPr>
              <w:t>Food and beverage</w:t>
            </w: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59,988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51,671</w:t>
            </w:r>
          </w:p>
        </w:tc>
        <w:tc>
          <w:tcPr>
            <w:tcW w:w="0" w:type="dxa"/>
            <w:vAlign w:val="bottom"/>
          </w:tcPr>
          <w:p>
            <w:pPr>
              <w:spacing w:after="0"/>
              <w:rPr>
                <w:sz w:val="1"/>
                <w:szCs w:val="1"/>
                <w:color w:val="auto"/>
              </w:rPr>
            </w:pPr>
          </w:p>
        </w:tc>
      </w:tr>
      <w:tr>
        <w:trPr>
          <w:trHeight w:val="203"/>
        </w:trPr>
        <w:tc>
          <w:tcPr>
            <w:tcW w:w="4940" w:type="dxa"/>
            <w:vAlign w:val="bottom"/>
          </w:tcPr>
          <w:p>
            <w:pPr>
              <w:ind w:left="280"/>
              <w:spacing w:after="0" w:line="202" w:lineRule="exact"/>
              <w:rPr>
                <w:sz w:val="20"/>
                <w:szCs w:val="20"/>
                <w:color w:val="auto"/>
              </w:rPr>
            </w:pPr>
            <w:r>
              <w:rPr>
                <w:rFonts w:ascii="Arial" w:cs="Arial" w:eastAsia="Arial" w:hAnsi="Arial"/>
                <w:sz w:val="18"/>
                <w:szCs w:val="18"/>
                <w:color w:val="auto"/>
              </w:rPr>
              <w:t>Entertainment, retail and other</w:t>
            </w: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36,017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44,617</w:t>
            </w:r>
          </w:p>
        </w:tc>
        <w:tc>
          <w:tcPr>
            <w:tcW w:w="0" w:type="dxa"/>
            <w:vAlign w:val="bottom"/>
          </w:tcPr>
          <w:p>
            <w:pPr>
              <w:spacing w:after="0"/>
              <w:rPr>
                <w:sz w:val="1"/>
                <w:szCs w:val="1"/>
                <w:color w:val="auto"/>
              </w:rPr>
            </w:pPr>
          </w:p>
        </w:tc>
      </w:tr>
      <w:tr>
        <w:trPr>
          <w:trHeight w:val="203"/>
        </w:trPr>
        <w:tc>
          <w:tcPr>
            <w:tcW w:w="4940" w:type="dxa"/>
            <w:vAlign w:val="bottom"/>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93,493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79,262</w:t>
            </w:r>
          </w:p>
        </w:tc>
        <w:tc>
          <w:tcPr>
            <w:tcW w:w="0" w:type="dxa"/>
            <w:vAlign w:val="bottom"/>
          </w:tcPr>
          <w:p>
            <w:pPr>
              <w:spacing w:after="0"/>
              <w:rPr>
                <w:sz w:val="1"/>
                <w:szCs w:val="1"/>
                <w:color w:val="auto"/>
              </w:rPr>
            </w:pPr>
          </w:p>
        </w:tc>
      </w:tr>
      <w:tr>
        <w:trPr>
          <w:trHeight w:val="203"/>
        </w:trPr>
        <w:tc>
          <w:tcPr>
            <w:tcW w:w="4940" w:type="dxa"/>
            <w:vAlign w:val="bottom"/>
          </w:tcPr>
          <w:p>
            <w:pPr>
              <w:ind w:left="280"/>
              <w:spacing w:after="0" w:line="202" w:lineRule="exact"/>
              <w:rPr>
                <w:sz w:val="20"/>
                <w:szCs w:val="20"/>
                <w:color w:val="auto"/>
              </w:rPr>
            </w:pPr>
            <w:r>
              <w:rPr>
                <w:rFonts w:ascii="Arial" w:cs="Arial" w:eastAsia="Arial" w:hAnsi="Arial"/>
                <w:sz w:val="18"/>
                <w:szCs w:val="18"/>
                <w:color w:val="auto"/>
              </w:rPr>
              <w:t>Provision for doubtful accounts</w:t>
            </w: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3,894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11,522</w:t>
            </w:r>
          </w:p>
        </w:tc>
        <w:tc>
          <w:tcPr>
            <w:tcW w:w="0" w:type="dxa"/>
            <w:vAlign w:val="bottom"/>
          </w:tcPr>
          <w:p>
            <w:pPr>
              <w:spacing w:after="0"/>
              <w:rPr>
                <w:sz w:val="1"/>
                <w:szCs w:val="1"/>
                <w:color w:val="auto"/>
              </w:rPr>
            </w:pPr>
          </w:p>
        </w:tc>
      </w:tr>
      <w:tr>
        <w:trPr>
          <w:trHeight w:val="203"/>
        </w:trPr>
        <w:tc>
          <w:tcPr>
            <w:tcW w:w="4940" w:type="dxa"/>
            <w:vAlign w:val="bottom"/>
          </w:tcPr>
          <w:p>
            <w:pPr>
              <w:ind w:left="280"/>
              <w:spacing w:after="0" w:line="202" w:lineRule="exact"/>
              <w:rPr>
                <w:sz w:val="20"/>
                <w:szCs w:val="20"/>
                <w:color w:val="auto"/>
              </w:rPr>
            </w:pPr>
            <w:r>
              <w:rPr>
                <w:rFonts w:ascii="Arial" w:cs="Arial" w:eastAsia="Arial" w:hAnsi="Arial"/>
                <w:sz w:val="18"/>
                <w:szCs w:val="18"/>
                <w:color w:val="auto"/>
              </w:rPr>
              <w:t>Pre-opening costs</w:t>
            </w: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03"/>
        </w:trPr>
        <w:tc>
          <w:tcPr>
            <w:tcW w:w="4940" w:type="dxa"/>
            <w:vAlign w:val="bottom"/>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101,468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62,732</w:t>
            </w:r>
          </w:p>
        </w:tc>
        <w:tc>
          <w:tcPr>
            <w:tcW w:w="0" w:type="dxa"/>
            <w:vAlign w:val="bottom"/>
          </w:tcPr>
          <w:p>
            <w:pPr>
              <w:spacing w:after="0"/>
              <w:rPr>
                <w:sz w:val="1"/>
                <w:szCs w:val="1"/>
                <w:color w:val="auto"/>
              </w:rPr>
            </w:pPr>
          </w:p>
        </w:tc>
      </w:tr>
      <w:tr>
        <w:trPr>
          <w:trHeight w:val="239"/>
        </w:trPr>
        <w:tc>
          <w:tcPr>
            <w:tcW w:w="4940" w:type="dxa"/>
            <w:vAlign w:val="bottom"/>
          </w:tcPr>
          <w:p>
            <w:pPr>
              <w:ind w:left="280"/>
              <w:spacing w:after="0"/>
              <w:rPr>
                <w:sz w:val="20"/>
                <w:szCs w:val="20"/>
                <w:color w:val="auto"/>
              </w:rPr>
            </w:pPr>
            <w:r>
              <w:rPr>
                <w:rFonts w:ascii="Arial" w:cs="Arial" w:eastAsia="Arial" w:hAnsi="Arial"/>
                <w:sz w:val="18"/>
                <w:szCs w:val="18"/>
                <w:color w:val="auto"/>
              </w:rPr>
              <w:t>Property charges and other</w:t>
            </w:r>
          </w:p>
        </w:tc>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16,485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24,267</w:t>
            </w:r>
          </w:p>
        </w:tc>
        <w:tc>
          <w:tcPr>
            <w:tcW w:w="0" w:type="dxa"/>
            <w:vAlign w:val="bottom"/>
          </w:tcPr>
          <w:p>
            <w:pPr>
              <w:spacing w:after="0"/>
              <w:rPr>
                <w:sz w:val="1"/>
                <w:szCs w:val="1"/>
                <w:color w:val="auto"/>
              </w:rPr>
            </w:pPr>
          </w:p>
        </w:tc>
      </w:tr>
      <w:tr>
        <w:trPr>
          <w:trHeight w:val="236"/>
        </w:trPr>
        <w:tc>
          <w:tcPr>
            <w:tcW w:w="4940" w:type="dxa"/>
            <w:vAlign w:val="bottom"/>
          </w:tcPr>
          <w:p>
            <w:pPr>
              <w:ind w:left="540"/>
              <w:spacing w:after="0"/>
              <w:rPr>
                <w:sz w:val="20"/>
                <w:szCs w:val="20"/>
                <w:color w:val="auto"/>
              </w:rPr>
            </w:pPr>
            <w:r>
              <w:rPr>
                <w:rFonts w:ascii="Arial" w:cs="Arial" w:eastAsia="Arial" w:hAnsi="Arial"/>
                <w:sz w:val="18"/>
                <w:szCs w:val="18"/>
                <w:color w:val="auto"/>
              </w:rPr>
              <w:t>Total operating costs and expenses</w:t>
            </w:r>
          </w:p>
        </w:tc>
        <w:tc>
          <w:tcPr>
            <w:tcW w:w="38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712,806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688,103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940" w:type="dxa"/>
            <w:vAlign w:val="bottom"/>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40" w:type="dxa"/>
            <w:vAlign w:val="bottom"/>
          </w:tcPr>
          <w:p>
            <w:pPr>
              <w:spacing w:after="0"/>
              <w:rPr>
                <w:sz w:val="20"/>
                <w:szCs w:val="20"/>
                <w:color w:val="auto"/>
              </w:rPr>
            </w:pPr>
            <w:r>
              <w:rPr>
                <w:rFonts w:ascii="Arial" w:cs="Arial" w:eastAsia="Arial" w:hAnsi="Arial"/>
                <w:sz w:val="18"/>
                <w:szCs w:val="18"/>
                <w:color w:val="auto"/>
              </w:rPr>
              <w:t>Operating income</w:t>
            </w:r>
          </w:p>
        </w:tc>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27,144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91,411</w:t>
            </w:r>
          </w:p>
        </w:tc>
        <w:tc>
          <w:tcPr>
            <w:tcW w:w="0" w:type="dxa"/>
            <w:vAlign w:val="bottom"/>
          </w:tcPr>
          <w:p>
            <w:pPr>
              <w:spacing w:after="0"/>
              <w:rPr>
                <w:sz w:val="1"/>
                <w:szCs w:val="1"/>
                <w:color w:val="auto"/>
              </w:rPr>
            </w:pPr>
          </w:p>
        </w:tc>
      </w:tr>
      <w:tr>
        <w:trPr>
          <w:trHeight w:val="376"/>
        </w:trPr>
        <w:tc>
          <w:tcPr>
            <w:tcW w:w="4940" w:type="dxa"/>
            <w:vAlign w:val="bottom"/>
          </w:tcPr>
          <w:p>
            <w:pPr>
              <w:spacing w:after="0"/>
              <w:rPr>
                <w:sz w:val="20"/>
                <w:szCs w:val="20"/>
                <w:color w:val="auto"/>
              </w:rPr>
            </w:pPr>
            <w:r>
              <w:rPr>
                <w:rFonts w:ascii="Arial" w:cs="Arial" w:eastAsia="Arial" w:hAnsi="Arial"/>
                <w:sz w:val="18"/>
                <w:szCs w:val="18"/>
                <w:color w:val="auto"/>
              </w:rPr>
              <w:t>Other income (expense):</w:t>
            </w:r>
          </w:p>
        </w:tc>
        <w:tc>
          <w:tcPr>
            <w:tcW w:w="38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80"/>
              <w:spacing w:after="0" w:line="202" w:lineRule="exact"/>
              <w:rPr>
                <w:sz w:val="20"/>
                <w:szCs w:val="20"/>
                <w:color w:val="auto"/>
              </w:rPr>
            </w:pPr>
            <w:r>
              <w:rPr>
                <w:rFonts w:ascii="Arial" w:cs="Arial" w:eastAsia="Arial" w:hAnsi="Arial"/>
                <w:sz w:val="18"/>
                <w:szCs w:val="18"/>
                <w:color w:val="auto"/>
              </w:rPr>
              <w:t>Interest income</w:t>
            </w: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11,889</w:t>
            </w:r>
          </w:p>
        </w:tc>
        <w:tc>
          <w:tcPr>
            <w:tcW w:w="0" w:type="dxa"/>
            <w:vAlign w:val="bottom"/>
          </w:tcPr>
          <w:p>
            <w:pPr>
              <w:spacing w:after="0"/>
              <w:rPr>
                <w:sz w:val="1"/>
                <w:szCs w:val="1"/>
                <w:color w:val="auto"/>
              </w:rPr>
            </w:pPr>
          </w:p>
        </w:tc>
      </w:tr>
      <w:tr>
        <w:trPr>
          <w:trHeight w:val="203"/>
        </w:trPr>
        <w:tc>
          <w:tcPr>
            <w:tcW w:w="4940" w:type="dxa"/>
            <w:vAlign w:val="bottom"/>
          </w:tcPr>
          <w:p>
            <w:pPr>
              <w:ind w:left="28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(57,032)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(45,268)</w:t>
            </w:r>
          </w:p>
        </w:tc>
        <w:tc>
          <w:tcPr>
            <w:tcW w:w="0" w:type="dxa"/>
            <w:vAlign w:val="bottom"/>
          </w:tcPr>
          <w:p>
            <w:pPr>
              <w:spacing w:after="0"/>
              <w:rPr>
                <w:sz w:val="1"/>
                <w:szCs w:val="1"/>
                <w:color w:val="auto"/>
              </w:rPr>
            </w:pPr>
          </w:p>
        </w:tc>
      </w:tr>
      <w:tr>
        <w:trPr>
          <w:trHeight w:val="203"/>
        </w:trPr>
        <w:tc>
          <w:tcPr>
            <w:tcW w:w="4940" w:type="dxa"/>
            <w:vAlign w:val="bottom"/>
          </w:tcPr>
          <w:p>
            <w:pPr>
              <w:ind w:left="280"/>
              <w:spacing w:after="0" w:line="202" w:lineRule="exact"/>
              <w:rPr>
                <w:sz w:val="20"/>
                <w:szCs w:val="20"/>
                <w:color w:val="auto"/>
              </w:rPr>
            </w:pPr>
            <w:r>
              <w:rPr>
                <w:rFonts w:ascii="Arial" w:cs="Arial" w:eastAsia="Arial" w:hAnsi="Arial"/>
                <w:sz w:val="18"/>
                <w:szCs w:val="18"/>
                <w:color w:val="auto"/>
              </w:rPr>
              <w:t>Increase (decrease) in swap fair value</w:t>
            </w: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1,095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(15,212)</w:t>
            </w:r>
          </w:p>
        </w:tc>
        <w:tc>
          <w:tcPr>
            <w:tcW w:w="0" w:type="dxa"/>
            <w:vAlign w:val="bottom"/>
          </w:tcPr>
          <w:p>
            <w:pPr>
              <w:spacing w:after="0"/>
              <w:rPr>
                <w:sz w:val="1"/>
                <w:szCs w:val="1"/>
                <w:color w:val="auto"/>
              </w:rPr>
            </w:pPr>
          </w:p>
        </w:tc>
      </w:tr>
      <w:tr>
        <w:trPr>
          <w:trHeight w:val="203"/>
        </w:trPr>
        <w:tc>
          <w:tcPr>
            <w:tcW w:w="4940" w:type="dxa"/>
            <w:vAlign w:val="bottom"/>
          </w:tcPr>
          <w:p>
            <w:pPr>
              <w:ind w:left="280"/>
              <w:spacing w:after="0" w:line="202" w:lineRule="exact"/>
              <w:rPr>
                <w:sz w:val="20"/>
                <w:szCs w:val="20"/>
                <w:color w:val="auto"/>
              </w:rPr>
            </w:pPr>
            <w:r>
              <w:rPr>
                <w:rFonts w:ascii="Arial" w:cs="Arial" w:eastAsia="Arial" w:hAnsi="Arial"/>
                <w:sz w:val="18"/>
                <w:szCs w:val="18"/>
                <w:color w:val="auto"/>
              </w:rPr>
              <w:t>Gain on extinguishment of debt</w:t>
            </w: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10,635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940" w:type="dxa"/>
            <w:vAlign w:val="bottom"/>
          </w:tcPr>
          <w:p>
            <w:pPr>
              <w:ind w:left="280"/>
              <w:spacing w:after="0"/>
              <w:rPr>
                <w:sz w:val="20"/>
                <w:szCs w:val="20"/>
                <w:color w:val="auto"/>
              </w:rPr>
            </w:pPr>
            <w:r>
              <w:rPr>
                <w:rFonts w:ascii="Arial" w:cs="Arial" w:eastAsia="Arial" w:hAnsi="Arial"/>
                <w:sz w:val="18"/>
                <w:szCs w:val="18"/>
                <w:color w:val="auto"/>
              </w:rPr>
              <w:t>Other</w:t>
            </w:r>
          </w:p>
        </w:tc>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196"/>
        </w:trPr>
        <w:tc>
          <w:tcPr>
            <w:tcW w:w="4940" w:type="dxa"/>
            <w:vAlign w:val="bottom"/>
          </w:tcPr>
          <w:p>
            <w:pPr>
              <w:ind w:left="540"/>
              <w:spacing w:after="0" w:line="196" w:lineRule="exact"/>
              <w:rPr>
                <w:sz w:val="20"/>
                <w:szCs w:val="20"/>
                <w:color w:val="auto"/>
              </w:rPr>
            </w:pPr>
            <w:r>
              <w:rPr>
                <w:rFonts w:ascii="Arial" w:cs="Arial" w:eastAsia="Arial" w:hAnsi="Arial"/>
                <w:sz w:val="18"/>
                <w:szCs w:val="18"/>
                <w:color w:val="auto"/>
              </w:rPr>
              <w:t>Other income (expense), net</w:t>
            </w:r>
          </w:p>
        </w:tc>
        <w:tc>
          <w:tcPr>
            <w:tcW w:w="38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(45,064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(49,406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16"/>
        </w:trPr>
        <w:tc>
          <w:tcPr>
            <w:tcW w:w="49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(17,920)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42,005</w:t>
            </w:r>
          </w:p>
        </w:tc>
        <w:tc>
          <w:tcPr>
            <w:tcW w:w="0" w:type="dxa"/>
            <w:vAlign w:val="bottom"/>
          </w:tcPr>
          <w:p>
            <w:pPr>
              <w:spacing w:after="0"/>
              <w:rPr>
                <w:sz w:val="1"/>
                <w:szCs w:val="1"/>
                <w:color w:val="auto"/>
              </w:rPr>
            </w:pPr>
          </w:p>
        </w:tc>
      </w:tr>
      <w:tr>
        <w:trPr>
          <w:trHeight w:val="388"/>
        </w:trPr>
        <w:tc>
          <w:tcPr>
            <w:tcW w:w="4940" w:type="dxa"/>
            <w:vAlign w:val="bottom"/>
          </w:tcPr>
          <w:p>
            <w:pPr>
              <w:ind w:left="280"/>
              <w:spacing w:after="0"/>
              <w:rPr>
                <w:sz w:val="20"/>
                <w:szCs w:val="20"/>
                <w:color w:val="auto"/>
              </w:rPr>
            </w:pPr>
            <w:r>
              <w:rPr>
                <w:rFonts w:ascii="Arial" w:cs="Arial" w:eastAsia="Arial" w:hAnsi="Arial"/>
                <w:sz w:val="18"/>
                <w:szCs w:val="18"/>
                <w:color w:val="auto"/>
              </w:rPr>
              <w:t>(Provision) benefit for income taxes</w:t>
            </w:r>
          </w:p>
        </w:tc>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(15,894)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40" w:type="dxa"/>
            <w:vAlign w:val="bottom"/>
          </w:tcPr>
          <w:p>
            <w:pPr>
              <w:spacing w:after="0"/>
              <w:rPr>
                <w:sz w:val="20"/>
                <w:szCs w:val="20"/>
                <w:color w:val="auto"/>
              </w:rPr>
            </w:pPr>
            <w:r>
              <w:rPr>
                <w:rFonts w:ascii="Arial" w:cs="Arial" w:eastAsia="Arial" w:hAnsi="Arial"/>
                <w:sz w:val="18"/>
                <w:szCs w:val="18"/>
                <w:color w:val="auto"/>
              </w:rPr>
              <w:t>Net income (loss</w:t>
            </w:r>
          </w:p>
        </w:tc>
        <w:tc>
          <w:tcPr>
            <w:tcW w:w="4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(33,814)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46,717</w:t>
            </w:r>
          </w:p>
        </w:tc>
        <w:tc>
          <w:tcPr>
            <w:tcW w:w="0" w:type="dxa"/>
            <w:vAlign w:val="bottom"/>
          </w:tcPr>
          <w:p>
            <w:pPr>
              <w:spacing w:after="0"/>
              <w:rPr>
                <w:sz w:val="1"/>
                <w:szCs w:val="1"/>
                <w:color w:val="auto"/>
              </w:rPr>
            </w:pPr>
          </w:p>
        </w:tc>
      </w:tr>
      <w:tr>
        <w:trPr>
          <w:trHeight w:val="21"/>
        </w:trPr>
        <w:tc>
          <w:tcPr>
            <w:tcW w:w="4940" w:type="dxa"/>
            <w:vAlign w:val="bottom"/>
            <w:vMerge w:val="restart"/>
          </w:tcPr>
          <w:p>
            <w:pPr>
              <w:spacing w:after="0"/>
              <w:rPr>
                <w:sz w:val="20"/>
                <w:szCs w:val="20"/>
                <w:color w:val="auto"/>
              </w:rPr>
            </w:pPr>
            <w:r>
              <w:rPr>
                <w:rFonts w:ascii="Arial" w:cs="Arial" w:eastAsia="Arial" w:hAnsi="Arial"/>
                <w:sz w:val="18"/>
                <w:szCs w:val="18"/>
                <w:color w:val="auto"/>
              </w:rPr>
              <w:t>Basic and diluted income (loss) per common share:</w:t>
            </w:r>
          </w:p>
        </w:tc>
        <w:tc>
          <w:tcPr>
            <w:tcW w:w="3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8"/>
        </w:trPr>
        <w:tc>
          <w:tcPr>
            <w:tcW w:w="4940" w:type="dxa"/>
            <w:vAlign w:val="bottom"/>
            <w:vMerge w:val="continue"/>
          </w:tcPr>
          <w:p>
            <w:pPr>
              <w:spacing w:after="0"/>
              <w:rPr>
                <w:sz w:val="24"/>
                <w:szCs w:val="24"/>
                <w:color w:val="auto"/>
              </w:rPr>
            </w:pPr>
          </w:p>
        </w:tc>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80"/>
              <w:spacing w:after="0" w:line="202" w:lineRule="exact"/>
              <w:rPr>
                <w:sz w:val="20"/>
                <w:szCs w:val="20"/>
                <w:color w:val="auto"/>
              </w:rPr>
            </w:pPr>
            <w:r>
              <w:rPr>
                <w:rFonts w:ascii="Arial" w:cs="Arial" w:eastAsia="Arial" w:hAnsi="Arial"/>
                <w:sz w:val="18"/>
                <w:szCs w:val="18"/>
                <w:color w:val="auto"/>
              </w:rPr>
              <w:t>Net income (loss):</w:t>
            </w: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540"/>
              <w:spacing w:after="0" w:line="202" w:lineRule="exact"/>
              <w:rPr>
                <w:sz w:val="20"/>
                <w:szCs w:val="20"/>
                <w:color w:val="auto"/>
              </w:rPr>
            </w:pPr>
            <w:r>
              <w:rPr>
                <w:rFonts w:ascii="Arial" w:cs="Arial" w:eastAsia="Arial" w:hAnsi="Arial"/>
                <w:sz w:val="18"/>
                <w:szCs w:val="18"/>
                <w:color w:val="auto"/>
              </w:rPr>
              <w:t>Basic</w:t>
            </w:r>
          </w:p>
        </w:tc>
        <w:tc>
          <w:tcPr>
            <w:tcW w:w="4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(0.30)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3"/>
        </w:trPr>
        <w:tc>
          <w:tcPr>
            <w:tcW w:w="4940" w:type="dxa"/>
            <w:vAlign w:val="bottom"/>
          </w:tcPr>
          <w:p>
            <w:pPr>
              <w:ind w:left="540"/>
              <w:spacing w:after="0" w:line="202" w:lineRule="exact"/>
              <w:rPr>
                <w:sz w:val="20"/>
                <w:szCs w:val="20"/>
                <w:color w:val="auto"/>
              </w:rPr>
            </w:pPr>
            <w:r>
              <w:rPr>
                <w:rFonts w:ascii="Arial" w:cs="Arial" w:eastAsia="Arial" w:hAnsi="Arial"/>
                <w:sz w:val="18"/>
                <w:szCs w:val="18"/>
                <w:color w:val="auto"/>
              </w:rPr>
              <w:t>Diluted</w:t>
            </w:r>
          </w:p>
        </w:tc>
        <w:tc>
          <w:tcPr>
            <w:tcW w:w="4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(0.30)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3"/>
        </w:trPr>
        <w:tc>
          <w:tcPr>
            <w:tcW w:w="4940" w:type="dxa"/>
            <w:vAlign w:val="bottom"/>
          </w:tcPr>
          <w:p>
            <w:pPr>
              <w:ind w:left="280"/>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540"/>
              <w:spacing w:after="0" w:line="202" w:lineRule="exact"/>
              <w:rPr>
                <w:sz w:val="20"/>
                <w:szCs w:val="20"/>
                <w:color w:val="auto"/>
              </w:rPr>
            </w:pPr>
            <w:r>
              <w:rPr>
                <w:rFonts w:ascii="Arial" w:cs="Arial" w:eastAsia="Arial" w:hAnsi="Arial"/>
                <w:sz w:val="18"/>
                <w:szCs w:val="18"/>
                <w:color w:val="auto"/>
              </w:rPr>
              <w:t>Basic</w:t>
            </w: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112,568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112,413</w:t>
            </w:r>
          </w:p>
        </w:tc>
        <w:tc>
          <w:tcPr>
            <w:tcW w:w="0" w:type="dxa"/>
            <w:vAlign w:val="bottom"/>
          </w:tcPr>
          <w:p>
            <w:pPr>
              <w:spacing w:after="0"/>
              <w:rPr>
                <w:sz w:val="1"/>
                <w:szCs w:val="1"/>
                <w:color w:val="auto"/>
              </w:rPr>
            </w:pPr>
          </w:p>
        </w:tc>
      </w:tr>
      <w:tr>
        <w:trPr>
          <w:trHeight w:val="243"/>
        </w:trPr>
        <w:tc>
          <w:tcPr>
            <w:tcW w:w="4940" w:type="dxa"/>
            <w:vAlign w:val="bottom"/>
          </w:tcPr>
          <w:p>
            <w:pPr>
              <w:ind w:left="540"/>
              <w:spacing w:after="0"/>
              <w:rPr>
                <w:sz w:val="20"/>
                <w:szCs w:val="20"/>
                <w:color w:val="auto"/>
              </w:rPr>
            </w:pPr>
            <w:r>
              <w:rPr>
                <w:rFonts w:ascii="Arial" w:cs="Arial" w:eastAsia="Arial" w:hAnsi="Arial"/>
                <w:sz w:val="18"/>
                <w:szCs w:val="18"/>
                <w:color w:val="auto"/>
              </w:rPr>
              <w:t>Diluted</w:t>
            </w:r>
          </w:p>
        </w:tc>
        <w:tc>
          <w:tcPr>
            <w:tcW w:w="3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112,568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113,648</w:t>
            </w:r>
          </w:p>
        </w:tc>
        <w:tc>
          <w:tcPr>
            <w:tcW w:w="0" w:type="dxa"/>
            <w:vAlign w:val="bottom"/>
          </w:tcPr>
          <w:p>
            <w:pPr>
              <w:spacing w:after="0"/>
              <w:rPr>
                <w:sz w:val="1"/>
                <w:szCs w:val="1"/>
                <w:color w:val="auto"/>
              </w:rPr>
            </w:pPr>
          </w:p>
        </w:tc>
      </w:tr>
      <w:tr>
        <w:trPr>
          <w:trHeight w:val="851"/>
        </w:trPr>
        <w:tc>
          <w:tcPr>
            <w:tcW w:w="4940" w:type="dxa"/>
            <w:vAlign w:val="bottom"/>
          </w:tcPr>
          <w:p>
            <w:pPr>
              <w:spacing w:after="0"/>
              <w:rPr>
                <w:sz w:val="24"/>
                <w:szCs w:val="24"/>
                <w:color w:val="auto"/>
              </w:rPr>
            </w:pPr>
          </w:p>
        </w:tc>
        <w:tc>
          <w:tcPr>
            <w:tcW w:w="3880" w:type="dxa"/>
            <w:vAlign w:val="bottom"/>
          </w:tcPr>
          <w:p>
            <w:pPr>
              <w:jc w:val="right"/>
              <w:ind w:right="297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40" w:type="dxa"/>
            <w:vAlign w:val="bottom"/>
            <w:tcBorders>
              <w:bottom w:val="single" w:sz="8" w:color="808080"/>
            </w:tcBorders>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 (LOSS)</w:t>
      </w:r>
    </w:p>
    <w:p>
      <w:pPr>
        <w:jc w:val="center"/>
        <w:spacing w:after="0" w:line="234" w:lineRule="auto"/>
        <w:rPr>
          <w:sz w:val="20"/>
          <w:szCs w:val="20"/>
          <w:color w:val="auto"/>
        </w:rPr>
      </w:pPr>
      <w:r>
        <w:rPr>
          <w:rFonts w:ascii="Arial" w:cs="Arial" w:eastAsia="Arial" w:hAnsi="Arial"/>
          <w:sz w:val="18"/>
          <w:szCs w:val="18"/>
          <w:color w:val="auto"/>
        </w:rPr>
        <w:t>TO ADJUSTED NET INCOME (LOSS)</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7"/>
        </w:trPr>
        <w:tc>
          <w:tcPr>
            <w:tcW w:w="46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w w:val="99"/>
              </w:rPr>
              <w:t>2008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4640" w:type="dxa"/>
            <w:vAlign w:val="bottom"/>
          </w:tcPr>
          <w:p>
            <w:pPr>
              <w:spacing w:after="0"/>
              <w:rPr>
                <w:sz w:val="20"/>
                <w:szCs w:val="20"/>
                <w:color w:val="auto"/>
              </w:rPr>
            </w:pPr>
            <w:r>
              <w:rPr>
                <w:rFonts w:ascii="Arial" w:cs="Arial" w:eastAsia="Arial" w:hAnsi="Arial"/>
                <w:sz w:val="18"/>
                <w:szCs w:val="18"/>
                <w:color w:val="auto"/>
              </w:rPr>
              <w:t>Net income (loss)</w:t>
            </w:r>
          </w:p>
        </w:tc>
        <w:tc>
          <w:tcPr>
            <w:tcW w:w="44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(33,814)</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46,717</w:t>
            </w:r>
          </w:p>
        </w:tc>
        <w:tc>
          <w:tcPr>
            <w:tcW w:w="0" w:type="dxa"/>
            <w:vAlign w:val="bottom"/>
          </w:tcPr>
          <w:p>
            <w:pPr>
              <w:spacing w:after="0"/>
              <w:rPr>
                <w:sz w:val="1"/>
                <w:szCs w:val="1"/>
                <w:color w:val="auto"/>
              </w:rPr>
            </w:pPr>
          </w:p>
        </w:tc>
      </w:tr>
      <w:tr>
        <w:trPr>
          <w:trHeight w:val="203"/>
        </w:trPr>
        <w:tc>
          <w:tcPr>
            <w:tcW w:w="4640" w:type="dxa"/>
            <w:vAlign w:val="bottom"/>
          </w:tcPr>
          <w:p>
            <w:pPr>
              <w:ind w:left="280"/>
              <w:spacing w:after="0" w:line="202" w:lineRule="exact"/>
              <w:rPr>
                <w:sz w:val="20"/>
                <w:szCs w:val="20"/>
                <w:color w:val="auto"/>
              </w:rPr>
            </w:pPr>
            <w:r>
              <w:rPr>
                <w:rFonts w:ascii="Arial" w:cs="Arial" w:eastAsia="Arial" w:hAnsi="Arial"/>
                <w:sz w:val="18"/>
                <w:szCs w:val="18"/>
                <w:color w:val="auto"/>
              </w:rPr>
              <w:t>Pre-opening costs</w:t>
            </w:r>
          </w:p>
        </w:tc>
        <w:tc>
          <w:tcPr>
            <w:tcW w:w="4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03"/>
        </w:trPr>
        <w:tc>
          <w:tcPr>
            <w:tcW w:w="4640" w:type="dxa"/>
            <w:vAlign w:val="bottom"/>
          </w:tcPr>
          <w:p>
            <w:pPr>
              <w:ind w:left="280"/>
              <w:spacing w:after="0" w:line="202" w:lineRule="exact"/>
              <w:rPr>
                <w:sz w:val="20"/>
                <w:szCs w:val="20"/>
                <w:color w:val="auto"/>
              </w:rPr>
            </w:pPr>
            <w:r>
              <w:rPr>
                <w:rFonts w:ascii="Arial" w:cs="Arial" w:eastAsia="Arial" w:hAnsi="Arial"/>
                <w:sz w:val="18"/>
                <w:szCs w:val="18"/>
                <w:color w:val="auto"/>
              </w:rPr>
              <w:t>Gain on extinguishment of debt</w:t>
            </w:r>
          </w:p>
        </w:tc>
        <w:tc>
          <w:tcPr>
            <w:tcW w:w="4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(10,635)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ind w:left="280"/>
              <w:spacing w:after="0" w:line="202" w:lineRule="exact"/>
              <w:rPr>
                <w:sz w:val="20"/>
                <w:szCs w:val="20"/>
                <w:color w:val="auto"/>
              </w:rPr>
            </w:pPr>
            <w:r>
              <w:rPr>
                <w:rFonts w:ascii="Arial" w:cs="Arial" w:eastAsia="Arial" w:hAnsi="Arial"/>
                <w:sz w:val="18"/>
                <w:szCs w:val="18"/>
                <w:color w:val="auto"/>
              </w:rPr>
              <w:t>(Increase) decrease in swap fair value</w:t>
            </w:r>
          </w:p>
        </w:tc>
        <w:tc>
          <w:tcPr>
            <w:tcW w:w="4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(1,095)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15,212</w:t>
            </w:r>
          </w:p>
        </w:tc>
        <w:tc>
          <w:tcPr>
            <w:tcW w:w="0" w:type="dxa"/>
            <w:vAlign w:val="bottom"/>
          </w:tcPr>
          <w:p>
            <w:pPr>
              <w:spacing w:after="0"/>
              <w:rPr>
                <w:sz w:val="1"/>
                <w:szCs w:val="1"/>
                <w:color w:val="auto"/>
              </w:rPr>
            </w:pPr>
          </w:p>
        </w:tc>
      </w:tr>
      <w:tr>
        <w:trPr>
          <w:trHeight w:val="203"/>
        </w:trPr>
        <w:tc>
          <w:tcPr>
            <w:tcW w:w="4640" w:type="dxa"/>
            <w:vAlign w:val="bottom"/>
          </w:tcPr>
          <w:p>
            <w:pPr>
              <w:ind w:left="280"/>
              <w:spacing w:after="0" w:line="202" w:lineRule="exact"/>
              <w:rPr>
                <w:sz w:val="20"/>
                <w:szCs w:val="20"/>
                <w:color w:val="auto"/>
              </w:rPr>
            </w:pPr>
            <w:r>
              <w:rPr>
                <w:rFonts w:ascii="Arial" w:cs="Arial" w:eastAsia="Arial" w:hAnsi="Arial"/>
                <w:sz w:val="18"/>
                <w:szCs w:val="18"/>
                <w:color w:val="auto"/>
              </w:rPr>
              <w:t>Property charges and other</w:t>
            </w:r>
          </w:p>
        </w:tc>
        <w:tc>
          <w:tcPr>
            <w:tcW w:w="4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16,485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24,267</w:t>
            </w:r>
          </w:p>
        </w:tc>
        <w:tc>
          <w:tcPr>
            <w:tcW w:w="0" w:type="dxa"/>
            <w:vAlign w:val="bottom"/>
          </w:tcPr>
          <w:p>
            <w:pPr>
              <w:spacing w:after="0"/>
              <w:rPr>
                <w:sz w:val="1"/>
                <w:szCs w:val="1"/>
                <w:color w:val="auto"/>
              </w:rPr>
            </w:pPr>
          </w:p>
        </w:tc>
      </w:tr>
      <w:tr>
        <w:trPr>
          <w:trHeight w:val="225"/>
        </w:trPr>
        <w:tc>
          <w:tcPr>
            <w:tcW w:w="4640" w:type="dxa"/>
            <w:vAlign w:val="bottom"/>
          </w:tcPr>
          <w:p>
            <w:pPr>
              <w:ind w:left="280"/>
              <w:spacing w:after="0"/>
              <w:rPr>
                <w:sz w:val="20"/>
                <w:szCs w:val="20"/>
                <w:color w:val="auto"/>
              </w:rPr>
            </w:pPr>
            <w:r>
              <w:rPr>
                <w:rFonts w:ascii="Arial" w:cs="Arial" w:eastAsia="Arial" w:hAnsi="Arial"/>
                <w:sz w:val="18"/>
                <w:szCs w:val="18"/>
                <w:color w:val="auto"/>
              </w:rPr>
              <w:t>Adjustment for income taxes</w:t>
            </w:r>
          </w:p>
        </w:tc>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(13,325)</w:t>
            </w:r>
          </w:p>
        </w:tc>
        <w:tc>
          <w:tcPr>
            <w:tcW w:w="0" w:type="dxa"/>
            <w:vAlign w:val="bottom"/>
          </w:tcPr>
          <w:p>
            <w:pPr>
              <w:spacing w:after="0"/>
              <w:rPr>
                <w:sz w:val="1"/>
                <w:szCs w:val="1"/>
                <w:color w:val="auto"/>
              </w:rPr>
            </w:pPr>
          </w:p>
        </w:tc>
      </w:tr>
      <w:tr>
        <w:trPr>
          <w:trHeight w:val="196"/>
        </w:trPr>
        <w:tc>
          <w:tcPr>
            <w:tcW w:w="4640" w:type="dxa"/>
            <w:vAlign w:val="bottom"/>
          </w:tcPr>
          <w:p>
            <w:pPr>
              <w:spacing w:after="0" w:line="196" w:lineRule="exact"/>
              <w:rPr>
                <w:sz w:val="20"/>
                <w:szCs w:val="20"/>
                <w:color w:val="auto"/>
              </w:rPr>
            </w:pPr>
            <w:r>
              <w:rPr>
                <w:rFonts w:ascii="Arial" w:cs="Arial" w:eastAsia="Arial" w:hAnsi="Arial"/>
                <w:sz w:val="18"/>
                <w:szCs w:val="18"/>
                <w:color w:val="auto"/>
              </w:rPr>
              <w:t>Adjusted net income (loss) (2)</w:t>
            </w:r>
          </w:p>
        </w:tc>
        <w:tc>
          <w:tcPr>
            <w:tcW w:w="4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78,194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640" w:type="dxa"/>
            <w:vAlign w:val="bottom"/>
          </w:tcPr>
          <w:p>
            <w:pPr>
              <w:spacing w:after="0"/>
              <w:rPr>
                <w:sz w:val="20"/>
                <w:szCs w:val="20"/>
                <w:color w:val="auto"/>
              </w:rPr>
            </w:pPr>
            <w:r>
              <w:rPr>
                <w:rFonts w:ascii="Arial" w:cs="Arial" w:eastAsia="Arial" w:hAnsi="Arial"/>
                <w:sz w:val="18"/>
                <w:szCs w:val="18"/>
                <w:color w:val="auto"/>
              </w:rPr>
              <w:t>Adjusted net income (loss) per diluted share..</w:t>
            </w:r>
          </w:p>
        </w:tc>
        <w:tc>
          <w:tcPr>
            <w:tcW w:w="44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(0.27)</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4180" w:type="dxa"/>
            <w:vAlign w:val="bottom"/>
            <w:vMerge w:val="restart"/>
          </w:tcPr>
          <w:p>
            <w:pPr>
              <w:jc w:val="right"/>
              <w:ind w:right="2970"/>
              <w:spacing w:after="0"/>
              <w:rPr>
                <w:sz w:val="20"/>
                <w:szCs w:val="20"/>
                <w:color w:val="auto"/>
              </w:rPr>
            </w:pPr>
            <w:r>
              <w:rPr>
                <w:rFonts w:ascii="Arial" w:cs="Arial" w:eastAsia="Arial" w:hAnsi="Arial"/>
                <w:sz w:val="18"/>
                <w:szCs w:val="18"/>
                <w:color w:val="auto"/>
              </w:rPr>
              <w:t>5</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2"/>
        </w:trPr>
        <w:tc>
          <w:tcPr>
            <w:tcW w:w="464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40" w:type="dxa"/>
            <w:vAlign w:val="bottom"/>
            <w:tcBorders>
              <w:bottom w:val="single" w:sz="8" w:color="808080"/>
            </w:tcBorders>
          </w:tcPr>
          <w:p>
            <w:pPr>
              <w:spacing w:after="0"/>
              <w:rPr>
                <w:sz w:val="8"/>
                <w:szCs w:val="8"/>
                <w:color w:val="auto"/>
              </w:rPr>
            </w:pPr>
          </w:p>
        </w:tc>
        <w:tc>
          <w:tcPr>
            <w:tcW w:w="4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ind w:right="-39"/>
        <w:spacing w:after="0" w:line="234" w:lineRule="auto"/>
        <w:rPr>
          <w:sz w:val="20"/>
          <w:szCs w:val="20"/>
          <w:color w:val="auto"/>
        </w:rPr>
      </w:pPr>
      <w:r>
        <w:rPr>
          <w:rFonts w:ascii="Arial" w:cs="Arial" w:eastAsia="Arial" w:hAnsi="Arial"/>
          <w:sz w:val="18"/>
          <w:szCs w:val="18"/>
          <w:color w:val="auto"/>
        </w:rPr>
        <w:t>AND ADJUSTED PROPERTY EBITDA TO NET INCOME (LOSS)</w:t>
      </w:r>
    </w:p>
    <w:p>
      <w:pPr>
        <w:jc w:val="center"/>
        <w:ind w:right="-39"/>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13"/>
          </w:tcPr>
          <w:p>
            <w:pPr>
              <w:jc w:val="right"/>
              <w:ind w:right="190"/>
              <w:spacing w:after="0"/>
              <w:rPr>
                <w:sz w:val="20"/>
                <w:szCs w:val="20"/>
                <w:color w:val="auto"/>
              </w:rPr>
            </w:pPr>
            <w:r>
              <w:rPr>
                <w:rFonts w:ascii="Arial" w:cs="Arial" w:eastAsia="Arial" w:hAnsi="Arial"/>
                <w:sz w:val="18"/>
                <w:szCs w:val="18"/>
                <w:b w:val="1"/>
                <w:bCs w:val="1"/>
                <w:color w:val="auto"/>
              </w:rPr>
              <w:t>Three Months Ended March 31, 2009</w:t>
            </w:r>
          </w:p>
        </w:tc>
        <w:tc>
          <w:tcPr>
            <w:tcW w:w="8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60"/>
              <w:spacing w:after="0" w:line="171" w:lineRule="exact"/>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jc w:val="center"/>
              <w:ind w:right="240"/>
              <w:spacing w:after="0" w:line="202" w:lineRule="exact"/>
              <w:rPr>
                <w:sz w:val="20"/>
                <w:szCs w:val="20"/>
                <w:color w:val="auto"/>
              </w:rPr>
            </w:pPr>
            <w:r>
              <w:rPr>
                <w:rFonts w:ascii="Arial" w:cs="Arial" w:eastAsia="Arial" w:hAnsi="Arial"/>
                <w:sz w:val="18"/>
                <w:szCs w:val="18"/>
                <w:b w:val="1"/>
                <w:bCs w:val="1"/>
                <w:color w:val="auto"/>
                <w:w w:val="98"/>
              </w:rPr>
              <w:t>Las Vegas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and</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Operations</w:t>
            </w:r>
          </w:p>
        </w:tc>
        <w:tc>
          <w:tcPr>
            <w:tcW w:w="140" w:type="dxa"/>
            <w:vAlign w:val="bottom"/>
            <w:gridSpan w:val="3"/>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Macau</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Other</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Total</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550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80"/>
              <w:spacing w:after="0"/>
              <w:rPr>
                <w:sz w:val="20"/>
                <w:szCs w:val="20"/>
                <w:color w:val="auto"/>
              </w:rPr>
            </w:pPr>
            <w:r>
              <w:rPr>
                <w:rFonts w:ascii="Arial" w:cs="Arial" w:eastAsia="Arial" w:hAnsi="Arial"/>
                <w:sz w:val="18"/>
                <w:szCs w:val="18"/>
                <w:color w:val="auto"/>
              </w:rPr>
              <w:t>(58,635)</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69,425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16,354</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27,144</w:t>
            </w:r>
          </w:p>
        </w:tc>
        <w:tc>
          <w:tcPr>
            <w:tcW w:w="0" w:type="dxa"/>
            <w:vAlign w:val="bottom"/>
          </w:tcPr>
          <w:p>
            <w:pPr>
              <w:spacing w:after="0"/>
              <w:rPr>
                <w:sz w:val="1"/>
                <w:szCs w:val="1"/>
                <w:color w:val="auto"/>
              </w:rPr>
            </w:pPr>
          </w:p>
        </w:tc>
      </w:tr>
      <w:tr>
        <w:trPr>
          <w:trHeight w:val="357"/>
        </w:trPr>
        <w:tc>
          <w:tcPr>
            <w:tcW w:w="5500" w:type="dxa"/>
            <w:vAlign w:val="bottom"/>
          </w:tcPr>
          <w:p>
            <w:pPr>
              <w:ind w:left="280"/>
              <w:spacing w:after="0"/>
              <w:rPr>
                <w:sz w:val="20"/>
                <w:szCs w:val="20"/>
                <w:color w:val="auto"/>
              </w:rPr>
            </w:pPr>
            <w:r>
              <w:rPr>
                <w:rFonts w:ascii="Arial" w:cs="Arial" w:eastAsia="Arial" w:hAnsi="Arial"/>
                <w:sz w:val="18"/>
                <w:szCs w:val="18"/>
                <w:color w:val="auto"/>
              </w:rPr>
              <w:t>Pre-opening costs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00" w:type="dxa"/>
            <w:vAlign w:val="bottom"/>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77,444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22,683</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1,341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101,468</w:t>
            </w:r>
          </w:p>
        </w:tc>
        <w:tc>
          <w:tcPr>
            <w:tcW w:w="0" w:type="dxa"/>
            <w:vAlign w:val="bottom"/>
          </w:tcPr>
          <w:p>
            <w:pPr>
              <w:spacing w:after="0"/>
              <w:rPr>
                <w:sz w:val="1"/>
                <w:szCs w:val="1"/>
                <w:color w:val="auto"/>
              </w:rPr>
            </w:pPr>
          </w:p>
        </w:tc>
      </w:tr>
      <w:tr>
        <w:trPr>
          <w:trHeight w:val="203"/>
        </w:trPr>
        <w:tc>
          <w:tcPr>
            <w:tcW w:w="5500" w:type="dxa"/>
            <w:vAlign w:val="bottom"/>
          </w:tcPr>
          <w:p>
            <w:pPr>
              <w:ind w:left="280"/>
              <w:spacing w:after="0" w:line="202" w:lineRule="exact"/>
              <w:rPr>
                <w:sz w:val="20"/>
                <w:szCs w:val="20"/>
                <w:color w:val="auto"/>
              </w:rPr>
            </w:pPr>
            <w:r>
              <w:rPr>
                <w:rFonts w:ascii="Arial" w:cs="Arial" w:eastAsia="Arial" w:hAnsi="Arial"/>
                <w:sz w:val="18"/>
                <w:szCs w:val="18"/>
                <w:color w:val="auto"/>
              </w:rPr>
              <w:t>Property charges and other</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13,940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1,045</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16,485</w:t>
            </w:r>
          </w:p>
        </w:tc>
        <w:tc>
          <w:tcPr>
            <w:tcW w:w="0" w:type="dxa"/>
            <w:vAlign w:val="bottom"/>
          </w:tcPr>
          <w:p>
            <w:pPr>
              <w:spacing w:after="0"/>
              <w:rPr>
                <w:sz w:val="1"/>
                <w:szCs w:val="1"/>
                <w:color w:val="auto"/>
              </w:rPr>
            </w:pPr>
          </w:p>
        </w:tc>
      </w:tr>
      <w:tr>
        <w:trPr>
          <w:trHeight w:val="203"/>
        </w:trPr>
        <w:tc>
          <w:tcPr>
            <w:tcW w:w="5500" w:type="dxa"/>
            <w:vAlign w:val="bottom"/>
          </w:tcPr>
          <w:p>
            <w:pPr>
              <w:ind w:left="280"/>
              <w:spacing w:after="0" w:line="202" w:lineRule="exact"/>
              <w:rPr>
                <w:sz w:val="20"/>
                <w:szCs w:val="20"/>
                <w:color w:val="auto"/>
              </w:rPr>
            </w:pPr>
            <w:r>
              <w:rPr>
                <w:rFonts w:ascii="Arial" w:cs="Arial" w:eastAsia="Arial" w:hAnsi="Arial"/>
                <w:sz w:val="18"/>
                <w:szCs w:val="18"/>
                <w:color w:val="auto"/>
              </w:rPr>
              <w:t>Corporate expense, management fees, royalties and other</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8,924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20,262</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(21,218)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185"/>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Adjusted Property EBITDA (1)</w:t>
            </w:r>
          </w:p>
        </w:tc>
        <w:tc>
          <w:tcPr>
            <w:tcW w:w="580" w:type="dxa"/>
            <w:vAlign w:val="bottom"/>
            <w:vMerge w:val="restart"/>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spacing w:after="0"/>
              <w:rPr>
                <w:sz w:val="16"/>
                <w:szCs w:val="16"/>
                <w:color w:val="auto"/>
              </w:rPr>
            </w:pPr>
          </w:p>
        </w:tc>
        <w:tc>
          <w:tcPr>
            <w:tcW w:w="2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43,851</w:t>
            </w:r>
          </w:p>
        </w:tc>
        <w:tc>
          <w:tcPr>
            <w:tcW w:w="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114,643</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158,494</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5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13"/>
          </w:tcPr>
          <w:p>
            <w:pPr>
              <w:jc w:val="right"/>
              <w:ind w:right="190"/>
              <w:spacing w:after="0"/>
              <w:rPr>
                <w:sz w:val="20"/>
                <w:szCs w:val="20"/>
                <w:color w:val="auto"/>
              </w:rPr>
            </w:pPr>
            <w:r>
              <w:rPr>
                <w:rFonts w:ascii="Arial" w:cs="Arial" w:eastAsia="Arial" w:hAnsi="Arial"/>
                <w:sz w:val="18"/>
                <w:szCs w:val="18"/>
                <w:b w:val="1"/>
                <w:bCs w:val="1"/>
                <w:color w:val="auto"/>
              </w:rPr>
              <w:t>Three Months Ended March 31, 2008</w:t>
            </w: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60"/>
              <w:spacing w:after="0" w:line="171" w:lineRule="exact"/>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jc w:val="center"/>
              <w:ind w:right="240"/>
              <w:spacing w:after="0" w:line="202" w:lineRule="exact"/>
              <w:rPr>
                <w:sz w:val="20"/>
                <w:szCs w:val="20"/>
                <w:color w:val="auto"/>
              </w:rPr>
            </w:pPr>
            <w:r>
              <w:rPr>
                <w:rFonts w:ascii="Arial" w:cs="Arial" w:eastAsia="Arial" w:hAnsi="Arial"/>
                <w:sz w:val="18"/>
                <w:szCs w:val="18"/>
                <w:b w:val="1"/>
                <w:bCs w:val="1"/>
                <w:color w:val="auto"/>
                <w:w w:val="98"/>
              </w:rPr>
              <w:t>Las Vegas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and</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Operations</w:t>
            </w:r>
          </w:p>
        </w:tc>
        <w:tc>
          <w:tcPr>
            <w:tcW w:w="140" w:type="dxa"/>
            <w:vAlign w:val="bottom"/>
            <w:gridSpan w:val="3"/>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Macau</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Other</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Total</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550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80"/>
              <w:spacing w:after="0"/>
              <w:rPr>
                <w:sz w:val="20"/>
                <w:szCs w:val="20"/>
                <w:color w:val="auto"/>
              </w:rPr>
            </w:pPr>
            <w:r>
              <w:rPr>
                <w:rFonts w:ascii="Arial" w:cs="Arial" w:eastAsia="Arial" w:hAnsi="Arial"/>
                <w:sz w:val="18"/>
                <w:szCs w:val="18"/>
                <w:color w:val="auto"/>
              </w:rPr>
              <w:t>(8,592)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80,328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19,675</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91,411</w:t>
            </w:r>
          </w:p>
        </w:tc>
        <w:tc>
          <w:tcPr>
            <w:tcW w:w="0" w:type="dxa"/>
            <w:vAlign w:val="bottom"/>
          </w:tcPr>
          <w:p>
            <w:pPr>
              <w:spacing w:after="0"/>
              <w:rPr>
                <w:sz w:val="1"/>
                <w:szCs w:val="1"/>
                <w:color w:val="auto"/>
              </w:rPr>
            </w:pPr>
          </w:p>
        </w:tc>
      </w:tr>
      <w:tr>
        <w:trPr>
          <w:trHeight w:val="357"/>
        </w:trPr>
        <w:tc>
          <w:tcPr>
            <w:tcW w:w="5500" w:type="dxa"/>
            <w:vAlign w:val="bottom"/>
          </w:tcPr>
          <w:p>
            <w:pPr>
              <w:ind w:left="280"/>
              <w:spacing w:after="0"/>
              <w:rPr>
                <w:sz w:val="20"/>
                <w:szCs w:val="20"/>
                <w:color w:val="auto"/>
              </w:rPr>
            </w:pPr>
            <w:r>
              <w:rPr>
                <w:rFonts w:ascii="Arial" w:cs="Arial" w:eastAsia="Arial" w:hAnsi="Arial"/>
                <w:sz w:val="18"/>
                <w:szCs w:val="18"/>
                <w:color w:val="auto"/>
              </w:rPr>
              <w:t>Pre-opening costs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5,311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03"/>
        </w:trPr>
        <w:tc>
          <w:tcPr>
            <w:tcW w:w="5500" w:type="dxa"/>
            <w:vAlign w:val="bottom"/>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39,480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22,613</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639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62,732</w:t>
            </w:r>
          </w:p>
        </w:tc>
        <w:tc>
          <w:tcPr>
            <w:tcW w:w="0" w:type="dxa"/>
            <w:vAlign w:val="bottom"/>
          </w:tcPr>
          <w:p>
            <w:pPr>
              <w:spacing w:after="0"/>
              <w:rPr>
                <w:sz w:val="1"/>
                <w:szCs w:val="1"/>
                <w:color w:val="auto"/>
              </w:rPr>
            </w:pPr>
          </w:p>
        </w:tc>
      </w:tr>
      <w:tr>
        <w:trPr>
          <w:trHeight w:val="203"/>
        </w:trPr>
        <w:tc>
          <w:tcPr>
            <w:tcW w:w="5500" w:type="dxa"/>
            <w:vAlign w:val="bottom"/>
          </w:tcPr>
          <w:p>
            <w:pPr>
              <w:ind w:left="280"/>
              <w:spacing w:after="0" w:line="202" w:lineRule="exact"/>
              <w:rPr>
                <w:sz w:val="20"/>
                <w:szCs w:val="20"/>
                <w:color w:val="auto"/>
              </w:rPr>
            </w:pPr>
            <w:r>
              <w:rPr>
                <w:rFonts w:ascii="Arial" w:cs="Arial" w:eastAsia="Arial" w:hAnsi="Arial"/>
                <w:sz w:val="18"/>
                <w:szCs w:val="18"/>
                <w:color w:val="auto"/>
              </w:rPr>
              <w:t>Property charges and other</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20,513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3,648</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24,267</w:t>
            </w:r>
          </w:p>
        </w:tc>
        <w:tc>
          <w:tcPr>
            <w:tcW w:w="0" w:type="dxa"/>
            <w:vAlign w:val="bottom"/>
          </w:tcPr>
          <w:p>
            <w:pPr>
              <w:spacing w:after="0"/>
              <w:rPr>
                <w:sz w:val="1"/>
                <w:szCs w:val="1"/>
                <w:color w:val="auto"/>
              </w:rPr>
            </w:pPr>
          </w:p>
        </w:tc>
      </w:tr>
      <w:tr>
        <w:trPr>
          <w:trHeight w:val="203"/>
        </w:trPr>
        <w:tc>
          <w:tcPr>
            <w:tcW w:w="5500" w:type="dxa"/>
            <w:vAlign w:val="bottom"/>
          </w:tcPr>
          <w:p>
            <w:pPr>
              <w:ind w:left="280"/>
              <w:spacing w:after="0" w:line="202" w:lineRule="exact"/>
              <w:rPr>
                <w:sz w:val="20"/>
                <w:szCs w:val="20"/>
                <w:color w:val="auto"/>
              </w:rPr>
            </w:pPr>
            <w:r>
              <w:rPr>
                <w:rFonts w:ascii="Arial" w:cs="Arial" w:eastAsia="Arial" w:hAnsi="Arial"/>
                <w:sz w:val="18"/>
                <w:szCs w:val="18"/>
                <w:color w:val="auto"/>
              </w:rPr>
              <w:t>Corporate expense, management fees, royalties and other</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9,760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22,255</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(21,333)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10,682</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902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185"/>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Adjusted Property EBITDA (1)</w:t>
            </w:r>
          </w:p>
        </w:tc>
        <w:tc>
          <w:tcPr>
            <w:tcW w:w="580" w:type="dxa"/>
            <w:vAlign w:val="bottom"/>
            <w:vMerge w:val="restart"/>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spacing w:after="0"/>
              <w:rPr>
                <w:sz w:val="16"/>
                <w:szCs w:val="16"/>
                <w:color w:val="auto"/>
              </w:rPr>
            </w:pPr>
          </w:p>
        </w:tc>
        <w:tc>
          <w:tcPr>
            <w:tcW w:w="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restart"/>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vMerge w:val="restart"/>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68,438</w:t>
            </w:r>
          </w:p>
        </w:tc>
        <w:tc>
          <w:tcPr>
            <w:tcW w:w="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129,395</w:t>
            </w:r>
          </w:p>
        </w:tc>
        <w:tc>
          <w:tcPr>
            <w:tcW w:w="2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197,833</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4"/>
        </w:trPr>
        <w:tc>
          <w:tcPr>
            <w:tcW w:w="5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Adjusted Property EBITDA (1)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2009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w w:val="99"/>
              </w:rPr>
              <w:t>2008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0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158,494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197,833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5500" w:type="dxa"/>
            <w:vAlign w:val="bottom"/>
          </w:tcPr>
          <w:p>
            <w:pPr>
              <w:ind w:left="280"/>
              <w:spacing w:after="0"/>
              <w:rPr>
                <w:sz w:val="20"/>
                <w:szCs w:val="20"/>
                <w:color w:val="auto"/>
              </w:rPr>
            </w:pPr>
            <w:r>
              <w:rPr>
                <w:rFonts w:ascii="Arial" w:cs="Arial" w:eastAsia="Arial" w:hAnsi="Arial"/>
                <w:sz w:val="18"/>
                <w:szCs w:val="18"/>
                <w:color w:val="auto"/>
              </w:rPr>
              <w:t>Pre-opening costs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03"/>
        </w:trPr>
        <w:tc>
          <w:tcPr>
            <w:tcW w:w="5500" w:type="dxa"/>
            <w:vAlign w:val="bottom"/>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(101,468)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(62,732)</w:t>
            </w:r>
          </w:p>
        </w:tc>
        <w:tc>
          <w:tcPr>
            <w:tcW w:w="0" w:type="dxa"/>
            <w:vAlign w:val="bottom"/>
          </w:tcPr>
          <w:p>
            <w:pPr>
              <w:spacing w:after="0"/>
              <w:rPr>
                <w:sz w:val="1"/>
                <w:szCs w:val="1"/>
                <w:color w:val="auto"/>
              </w:rPr>
            </w:pPr>
          </w:p>
        </w:tc>
      </w:tr>
      <w:tr>
        <w:trPr>
          <w:trHeight w:val="203"/>
        </w:trPr>
        <w:tc>
          <w:tcPr>
            <w:tcW w:w="5500" w:type="dxa"/>
            <w:vAlign w:val="bottom"/>
          </w:tcPr>
          <w:p>
            <w:pPr>
              <w:ind w:left="280"/>
              <w:spacing w:after="0" w:line="202" w:lineRule="exact"/>
              <w:rPr>
                <w:sz w:val="20"/>
                <w:szCs w:val="20"/>
                <w:color w:val="auto"/>
              </w:rPr>
            </w:pPr>
            <w:r>
              <w:rPr>
                <w:rFonts w:ascii="Arial" w:cs="Arial" w:eastAsia="Arial" w:hAnsi="Arial"/>
                <w:sz w:val="18"/>
                <w:szCs w:val="18"/>
                <w:color w:val="auto"/>
              </w:rPr>
              <w:t>Property charges and other</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(16,485)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(24,267)</w:t>
            </w:r>
          </w:p>
        </w:tc>
        <w:tc>
          <w:tcPr>
            <w:tcW w:w="0" w:type="dxa"/>
            <w:vAlign w:val="bottom"/>
          </w:tcPr>
          <w:p>
            <w:pPr>
              <w:spacing w:after="0"/>
              <w:rPr>
                <w:sz w:val="1"/>
                <w:szCs w:val="1"/>
                <w:color w:val="auto"/>
              </w:rPr>
            </w:pPr>
          </w:p>
        </w:tc>
      </w:tr>
      <w:tr>
        <w:trPr>
          <w:trHeight w:val="203"/>
        </w:trPr>
        <w:tc>
          <w:tcPr>
            <w:tcW w:w="5500" w:type="dxa"/>
            <w:vAlign w:val="bottom"/>
          </w:tcPr>
          <w:p>
            <w:pPr>
              <w:ind w:left="280"/>
              <w:spacing w:after="0" w:line="202" w:lineRule="exact"/>
              <w:rPr>
                <w:sz w:val="20"/>
                <w:szCs w:val="20"/>
                <w:color w:val="auto"/>
              </w:rPr>
            </w:pPr>
            <w:r>
              <w:rPr>
                <w:rFonts w:ascii="Arial" w:cs="Arial" w:eastAsia="Arial" w:hAnsi="Arial"/>
                <w:sz w:val="18"/>
                <w:szCs w:val="18"/>
                <w:color w:val="auto"/>
              </w:rPr>
              <w:t>Corporate expenses and other</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(7,968)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(10,682)</w:t>
            </w:r>
          </w:p>
        </w:tc>
        <w:tc>
          <w:tcPr>
            <w:tcW w:w="0" w:type="dxa"/>
            <w:vAlign w:val="bottom"/>
          </w:tcPr>
          <w:p>
            <w:pPr>
              <w:spacing w:after="0"/>
              <w:rPr>
                <w:sz w:val="1"/>
                <w:szCs w:val="1"/>
                <w:color w:val="auto"/>
              </w:rPr>
            </w:pPr>
          </w:p>
        </w:tc>
      </w:tr>
      <w:tr>
        <w:trPr>
          <w:trHeight w:val="203"/>
        </w:trPr>
        <w:tc>
          <w:tcPr>
            <w:tcW w:w="5500" w:type="dxa"/>
            <w:vAlign w:val="bottom"/>
          </w:tcPr>
          <w:p>
            <w:pPr>
              <w:ind w:left="280"/>
              <w:spacing w:after="0" w:line="202" w:lineRule="exact"/>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(5,429)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03"/>
        </w:trPr>
        <w:tc>
          <w:tcPr>
            <w:tcW w:w="5500" w:type="dxa"/>
            <w:vAlign w:val="bottom"/>
          </w:tcPr>
          <w:p>
            <w:pPr>
              <w:ind w:left="280"/>
              <w:spacing w:after="0" w:line="202" w:lineRule="exact"/>
              <w:rPr>
                <w:sz w:val="20"/>
                <w:szCs w:val="20"/>
                <w:color w:val="auto"/>
              </w:rPr>
            </w:pPr>
            <w:r>
              <w:rPr>
                <w:rFonts w:ascii="Arial" w:cs="Arial" w:eastAsia="Arial" w:hAnsi="Arial"/>
                <w:sz w:val="18"/>
                <w:szCs w:val="18"/>
                <w:color w:val="auto"/>
              </w:rPr>
              <w:t>Interest income</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11,889</w:t>
            </w:r>
          </w:p>
        </w:tc>
        <w:tc>
          <w:tcPr>
            <w:tcW w:w="0" w:type="dxa"/>
            <w:vAlign w:val="bottom"/>
          </w:tcPr>
          <w:p>
            <w:pPr>
              <w:spacing w:after="0"/>
              <w:rPr>
                <w:sz w:val="1"/>
                <w:szCs w:val="1"/>
                <w:color w:val="auto"/>
              </w:rPr>
            </w:pPr>
          </w:p>
        </w:tc>
      </w:tr>
      <w:tr>
        <w:trPr>
          <w:trHeight w:val="203"/>
        </w:trPr>
        <w:tc>
          <w:tcPr>
            <w:tcW w:w="5500" w:type="dxa"/>
            <w:vAlign w:val="bottom"/>
          </w:tcPr>
          <w:p>
            <w:pPr>
              <w:ind w:left="28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(57,032)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(45,268)</w:t>
            </w:r>
          </w:p>
        </w:tc>
        <w:tc>
          <w:tcPr>
            <w:tcW w:w="0" w:type="dxa"/>
            <w:vAlign w:val="bottom"/>
          </w:tcPr>
          <w:p>
            <w:pPr>
              <w:spacing w:after="0"/>
              <w:rPr>
                <w:sz w:val="1"/>
                <w:szCs w:val="1"/>
                <w:color w:val="auto"/>
              </w:rPr>
            </w:pPr>
          </w:p>
        </w:tc>
      </w:tr>
      <w:tr>
        <w:trPr>
          <w:trHeight w:val="203"/>
        </w:trPr>
        <w:tc>
          <w:tcPr>
            <w:tcW w:w="5500" w:type="dxa"/>
            <w:vAlign w:val="bottom"/>
          </w:tcPr>
          <w:p>
            <w:pPr>
              <w:ind w:left="280"/>
              <w:spacing w:after="0" w:line="202" w:lineRule="exact"/>
              <w:rPr>
                <w:sz w:val="20"/>
                <w:szCs w:val="20"/>
                <w:color w:val="auto"/>
              </w:rPr>
            </w:pPr>
            <w:r>
              <w:rPr>
                <w:rFonts w:ascii="Arial" w:cs="Arial" w:eastAsia="Arial" w:hAnsi="Arial"/>
                <w:sz w:val="18"/>
                <w:szCs w:val="18"/>
                <w:color w:val="auto"/>
              </w:rPr>
              <w:t>Increase (decrease) in swap fair value</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1,095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(15,212)</w:t>
            </w:r>
          </w:p>
        </w:tc>
        <w:tc>
          <w:tcPr>
            <w:tcW w:w="0" w:type="dxa"/>
            <w:vAlign w:val="bottom"/>
          </w:tcPr>
          <w:p>
            <w:pPr>
              <w:spacing w:after="0"/>
              <w:rPr>
                <w:sz w:val="1"/>
                <w:szCs w:val="1"/>
                <w:color w:val="auto"/>
              </w:rPr>
            </w:pPr>
          </w:p>
        </w:tc>
      </w:tr>
      <w:tr>
        <w:trPr>
          <w:trHeight w:val="203"/>
        </w:trPr>
        <w:tc>
          <w:tcPr>
            <w:tcW w:w="5500" w:type="dxa"/>
            <w:vAlign w:val="bottom"/>
          </w:tcPr>
          <w:p>
            <w:pPr>
              <w:ind w:left="280"/>
              <w:spacing w:after="0" w:line="202" w:lineRule="exact"/>
              <w:rPr>
                <w:sz w:val="20"/>
                <w:szCs w:val="20"/>
                <w:color w:val="auto"/>
              </w:rPr>
            </w:pPr>
            <w:r>
              <w:rPr>
                <w:rFonts w:ascii="Arial" w:cs="Arial" w:eastAsia="Arial" w:hAnsi="Arial"/>
                <w:sz w:val="18"/>
                <w:szCs w:val="18"/>
                <w:color w:val="auto"/>
              </w:rPr>
              <w:t>Gain on extinguishment of debt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10,635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00" w:type="dxa"/>
            <w:vAlign w:val="bottom"/>
          </w:tcPr>
          <w:p>
            <w:pPr>
              <w:ind w:left="280"/>
              <w:spacing w:after="0" w:line="202" w:lineRule="exact"/>
              <w:rPr>
                <w:sz w:val="20"/>
                <w:szCs w:val="20"/>
                <w:color w:val="auto"/>
              </w:rPr>
            </w:pPr>
            <w:r>
              <w:rPr>
                <w:rFonts w:ascii="Arial" w:cs="Arial" w:eastAsia="Arial" w:hAnsi="Arial"/>
                <w:sz w:val="18"/>
                <w:szCs w:val="18"/>
                <w:color w:val="auto"/>
              </w:rPr>
              <w:t>Other</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(Provision) benefit for income taxes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(15,894)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185"/>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(33,814)</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46,717</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92" w:right="27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8"/>
          <w:szCs w:val="18"/>
          <w:color w:val="auto"/>
        </w:rPr>
        <w:t>WYNN RESORTS, LIMITED AND SUBSIDIARIES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SUPPLEMENTAL DATA SCHEDULE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jc w:val="right"/>
              <w:ind w:right="260"/>
              <w:spacing w:after="0" w:line="171" w:lineRule="exact"/>
              <w:rPr>
                <w:sz w:val="20"/>
                <w:szCs w:val="20"/>
                <w:color w:val="auto"/>
              </w:rPr>
            </w:pPr>
            <w:r>
              <w:rPr>
                <w:rFonts w:ascii="Arial" w:cs="Arial" w:eastAsia="Arial" w:hAnsi="Arial"/>
                <w:sz w:val="18"/>
                <w:szCs w:val="18"/>
                <w:b w:val="1"/>
                <w:bCs w:val="1"/>
                <w:color w:val="auto"/>
              </w:rPr>
              <w:t>March 31,</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70"/>
              <w:spacing w:after="0" w:line="171" w:lineRule="exact"/>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200" w:type="dxa"/>
            <w:vAlign w:val="bottom"/>
            <w:vMerge w:val="restart"/>
          </w:tcPr>
          <w:p>
            <w:pPr>
              <w:spacing w:after="0"/>
              <w:rPr>
                <w:sz w:val="20"/>
                <w:szCs w:val="20"/>
                <w:color w:val="auto"/>
              </w:rPr>
            </w:pPr>
            <w:r>
              <w:rPr>
                <w:rFonts w:ascii="Arial" w:cs="Arial" w:eastAsia="Arial" w:hAnsi="Arial"/>
                <w:sz w:val="18"/>
                <w:szCs w:val="18"/>
                <w:color w:val="auto"/>
              </w:rPr>
              <w:t>Room Statistics for Las Vegas operations</w:t>
            </w:r>
            <w:r>
              <w:rPr>
                <w:rFonts w:ascii="Arial" w:cs="Arial" w:eastAsia="Arial" w:hAnsi="Arial"/>
                <w:sz w:val="15"/>
                <w:szCs w:val="15"/>
                <w:color w:val="auto"/>
              </w:rPr>
              <w:t>5</w:t>
            </w:r>
            <w:r>
              <w:rPr>
                <w:rFonts w:ascii="Arial" w:cs="Arial" w:eastAsia="Arial" w:hAnsi="Arial"/>
                <w:sz w:val="18"/>
                <w:szCs w:val="18"/>
                <w:color w:val="auto"/>
              </w:rPr>
              <w:t>:</w:t>
            </w:r>
          </w:p>
        </w:tc>
        <w:tc>
          <w:tcPr>
            <w:tcW w:w="2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200" w:type="dxa"/>
            <w:vAlign w:val="bottom"/>
            <w:vMerge w:val="continue"/>
          </w:tcPr>
          <w:p>
            <w:pPr>
              <w:spacing w:after="0"/>
              <w:rPr>
                <w:sz w:val="15"/>
                <w:szCs w:val="15"/>
                <w:color w:val="auto"/>
              </w:rPr>
            </w:pPr>
          </w:p>
        </w:tc>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200" w:type="dxa"/>
            <w:vAlign w:val="bottom"/>
          </w:tcPr>
          <w:p>
            <w:pPr>
              <w:ind w:left="280"/>
              <w:spacing w:after="0" w:line="202" w:lineRule="exact"/>
              <w:rPr>
                <w:sz w:val="20"/>
                <w:szCs w:val="20"/>
                <w:color w:val="auto"/>
              </w:rPr>
            </w:pPr>
            <w:r>
              <w:rPr>
                <w:rFonts w:ascii="Arial" w:cs="Arial" w:eastAsia="Arial" w:hAnsi="Arial"/>
                <w:sz w:val="18"/>
                <w:szCs w:val="18"/>
                <w:color w:val="auto"/>
              </w:rPr>
              <w:t>Occupancy</w:t>
            </w: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3"/>
        </w:trPr>
        <w:tc>
          <w:tcPr>
            <w:tcW w:w="6200" w:type="dxa"/>
            <w:vAlign w:val="bottom"/>
          </w:tcPr>
          <w:p>
            <w:pPr>
              <w:ind w:left="280"/>
              <w:spacing w:after="0" w:line="202" w:lineRule="exact"/>
              <w:rPr>
                <w:sz w:val="20"/>
                <w:szCs w:val="20"/>
                <w:color w:val="auto"/>
              </w:rPr>
            </w:pPr>
            <w:r>
              <w:rPr>
                <w:rFonts w:ascii="Arial" w:cs="Arial" w:eastAsia="Arial" w:hAnsi="Arial"/>
                <w:sz w:val="18"/>
                <w:szCs w:val="18"/>
                <w:color w:val="auto"/>
              </w:rPr>
              <w:t>Average Daily Rate (ADR)</w:t>
            </w:r>
            <w:r>
              <w:rPr>
                <w:rFonts w:ascii="Arial" w:cs="Arial" w:eastAsia="Arial" w:hAnsi="Arial"/>
                <w:sz w:val="15"/>
                <w:szCs w:val="15"/>
                <w:color w:val="auto"/>
              </w:rPr>
              <w:t>1</w:t>
            </w:r>
          </w:p>
        </w:tc>
        <w:tc>
          <w:tcPr>
            <w:tcW w:w="2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222</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15"/>
                <w:szCs w:val="15"/>
                <w:color w:val="auto"/>
              </w:rPr>
              <w:t>2</w:t>
            </w:r>
          </w:p>
        </w:tc>
        <w:tc>
          <w:tcPr>
            <w:tcW w:w="2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364"/>
        </w:trPr>
        <w:tc>
          <w:tcPr>
            <w:tcW w:w="6200" w:type="dxa"/>
            <w:vAlign w:val="bottom"/>
          </w:tcPr>
          <w:p>
            <w:pPr>
              <w:spacing w:after="0"/>
              <w:rPr>
                <w:sz w:val="20"/>
                <w:szCs w:val="20"/>
                <w:color w:val="auto"/>
              </w:rPr>
            </w:pPr>
            <w:r>
              <w:rPr>
                <w:rFonts w:ascii="Arial" w:cs="Arial" w:eastAsia="Arial" w:hAnsi="Arial"/>
                <w:sz w:val="18"/>
                <w:szCs w:val="18"/>
                <w:color w:val="auto"/>
              </w:rPr>
              <w:t>Other information for Las Vegas operations</w:t>
            </w:r>
            <w:r>
              <w:rPr>
                <w:rFonts w:ascii="Arial" w:cs="Arial" w:eastAsia="Arial" w:hAnsi="Arial"/>
                <w:sz w:val="15"/>
                <w:szCs w:val="15"/>
                <w:color w:val="auto"/>
              </w:rPr>
              <w:t>5</w:t>
            </w:r>
            <w:r>
              <w:rPr>
                <w:rFonts w:ascii="Arial" w:cs="Arial" w:eastAsia="Arial" w:hAnsi="Arial"/>
                <w:sz w:val="18"/>
                <w:szCs w:val="18"/>
                <w:color w:val="auto"/>
              </w:rPr>
              <w:t>:</w:t>
            </w: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280"/>
              <w:spacing w:after="0" w:line="203"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15"/>
                <w:szCs w:val="15"/>
                <w:color w:val="auto"/>
              </w:rPr>
              <w:t>3</w:t>
            </w:r>
          </w:p>
        </w:tc>
        <w:tc>
          <w:tcPr>
            <w:tcW w:w="27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4,404</w:t>
            </w: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8,632</w:t>
            </w:r>
          </w:p>
        </w:tc>
        <w:tc>
          <w:tcPr>
            <w:tcW w:w="0" w:type="dxa"/>
            <w:vAlign w:val="bottom"/>
          </w:tcPr>
          <w:p>
            <w:pPr>
              <w:spacing w:after="0"/>
              <w:rPr>
                <w:sz w:val="1"/>
                <w:szCs w:val="1"/>
                <w:color w:val="auto"/>
              </w:rPr>
            </w:pPr>
          </w:p>
        </w:tc>
      </w:tr>
      <w:tr>
        <w:trPr>
          <w:trHeight w:val="202"/>
        </w:trPr>
        <w:tc>
          <w:tcPr>
            <w:tcW w:w="6200" w:type="dxa"/>
            <w:vAlign w:val="bottom"/>
          </w:tcPr>
          <w:p>
            <w:pPr>
              <w:ind w:left="280"/>
              <w:spacing w:after="0" w:line="202" w:lineRule="exact"/>
              <w:rPr>
                <w:sz w:val="20"/>
                <w:szCs w:val="20"/>
                <w:color w:val="auto"/>
              </w:rPr>
            </w:pPr>
            <w:r>
              <w:rPr>
                <w:rFonts w:ascii="Arial" w:cs="Arial" w:eastAsia="Arial" w:hAnsi="Arial"/>
                <w:sz w:val="18"/>
                <w:szCs w:val="18"/>
                <w:color w:val="auto"/>
              </w:rPr>
              <w:t>Table Win</w:t>
            </w: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3"/>
        </w:trPr>
        <w:tc>
          <w:tcPr>
            <w:tcW w:w="6200" w:type="dxa"/>
            <w:vAlign w:val="bottom"/>
          </w:tcPr>
          <w:p>
            <w:pPr>
              <w:ind w:left="280"/>
              <w:spacing w:after="0" w:line="203"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15"/>
                <w:szCs w:val="15"/>
                <w:color w:val="auto"/>
              </w:rPr>
              <w:t>4</w:t>
            </w:r>
          </w:p>
        </w:tc>
        <w:tc>
          <w:tcPr>
            <w:tcW w:w="27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179</w:t>
            </w: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3"/>
        </w:trPr>
        <w:tc>
          <w:tcPr>
            <w:tcW w:w="6200" w:type="dxa"/>
            <w:vAlign w:val="bottom"/>
          </w:tcPr>
          <w:p>
            <w:pPr>
              <w:ind w:left="280"/>
              <w:spacing w:after="0" w:line="202" w:lineRule="exact"/>
              <w:rPr>
                <w:sz w:val="20"/>
                <w:szCs w:val="20"/>
                <w:color w:val="auto"/>
              </w:rPr>
            </w:pPr>
            <w:r>
              <w:rPr>
                <w:rFonts w:ascii="Arial" w:cs="Arial" w:eastAsia="Arial" w:hAnsi="Arial"/>
                <w:sz w:val="18"/>
                <w:szCs w:val="18"/>
                <w:color w:val="auto"/>
              </w:rPr>
              <w:t>Average number of table games</w:t>
            </w: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Average number of slot machines</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365"/>
        </w:trPr>
        <w:tc>
          <w:tcPr>
            <w:tcW w:w="6200" w:type="dxa"/>
            <w:vAlign w:val="bottom"/>
          </w:tcPr>
          <w:p>
            <w:pPr>
              <w:spacing w:after="0"/>
              <w:rPr>
                <w:sz w:val="20"/>
                <w:szCs w:val="20"/>
                <w:color w:val="auto"/>
              </w:rPr>
            </w:pPr>
            <w:r>
              <w:rPr>
                <w:rFonts w:ascii="Arial" w:cs="Arial" w:eastAsia="Arial" w:hAnsi="Arial"/>
                <w:sz w:val="18"/>
                <w:szCs w:val="18"/>
                <w:color w:val="auto"/>
              </w:rPr>
              <w:t>Room Statistics for Macau:</w:t>
            </w: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00" w:type="dxa"/>
            <w:vAlign w:val="bottom"/>
          </w:tcPr>
          <w:p>
            <w:pPr>
              <w:ind w:left="280"/>
              <w:spacing w:after="0" w:line="202" w:lineRule="exact"/>
              <w:rPr>
                <w:sz w:val="20"/>
                <w:szCs w:val="20"/>
                <w:color w:val="auto"/>
              </w:rPr>
            </w:pPr>
            <w:r>
              <w:rPr>
                <w:rFonts w:ascii="Arial" w:cs="Arial" w:eastAsia="Arial" w:hAnsi="Arial"/>
                <w:sz w:val="18"/>
                <w:szCs w:val="18"/>
                <w:color w:val="auto"/>
              </w:rPr>
              <w:t>Occupancy</w:t>
            </w: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03"/>
        </w:trPr>
        <w:tc>
          <w:tcPr>
            <w:tcW w:w="6200" w:type="dxa"/>
            <w:vAlign w:val="bottom"/>
          </w:tcPr>
          <w:p>
            <w:pPr>
              <w:ind w:left="280"/>
              <w:spacing w:after="0" w:line="202" w:lineRule="exact"/>
              <w:rPr>
                <w:sz w:val="20"/>
                <w:szCs w:val="20"/>
                <w:color w:val="auto"/>
              </w:rPr>
            </w:pPr>
            <w:r>
              <w:rPr>
                <w:rFonts w:ascii="Arial" w:cs="Arial" w:eastAsia="Arial" w:hAnsi="Arial"/>
                <w:sz w:val="18"/>
                <w:szCs w:val="18"/>
                <w:color w:val="auto"/>
              </w:rPr>
              <w:t>Average Daily Rate (ADR)</w:t>
            </w:r>
            <w:r>
              <w:rPr>
                <w:rFonts w:ascii="Arial" w:cs="Arial" w:eastAsia="Arial" w:hAnsi="Arial"/>
                <w:sz w:val="15"/>
                <w:szCs w:val="15"/>
                <w:color w:val="auto"/>
              </w:rPr>
              <w:t>1</w:t>
            </w:r>
          </w:p>
        </w:tc>
        <w:tc>
          <w:tcPr>
            <w:tcW w:w="2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268</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15"/>
                <w:szCs w:val="15"/>
                <w:color w:val="auto"/>
              </w:rPr>
              <w:t>2</w:t>
            </w:r>
          </w:p>
        </w:tc>
        <w:tc>
          <w:tcPr>
            <w:tcW w:w="2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364"/>
        </w:trPr>
        <w:tc>
          <w:tcPr>
            <w:tcW w:w="6200" w:type="dxa"/>
            <w:vAlign w:val="bottom"/>
          </w:tcPr>
          <w:p>
            <w:pPr>
              <w:spacing w:after="0"/>
              <w:rPr>
                <w:sz w:val="20"/>
                <w:szCs w:val="20"/>
                <w:color w:val="auto"/>
              </w:rPr>
            </w:pPr>
            <w:r>
              <w:rPr>
                <w:rFonts w:ascii="Arial" w:cs="Arial" w:eastAsia="Arial" w:hAnsi="Arial"/>
                <w:sz w:val="18"/>
                <w:szCs w:val="18"/>
                <w:color w:val="auto"/>
              </w:rPr>
              <w:t>Other information for Macau:</w:t>
            </w: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280"/>
              <w:spacing w:after="0" w:line="202"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15"/>
                <w:szCs w:val="15"/>
                <w:color w:val="auto"/>
              </w:rPr>
              <w:t>3</w:t>
            </w:r>
          </w:p>
        </w:tc>
        <w:tc>
          <w:tcPr>
            <w:tcW w:w="2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14,706</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16,194</w:t>
            </w:r>
          </w:p>
        </w:tc>
        <w:tc>
          <w:tcPr>
            <w:tcW w:w="0" w:type="dxa"/>
            <w:vAlign w:val="bottom"/>
          </w:tcPr>
          <w:p>
            <w:pPr>
              <w:spacing w:after="0"/>
              <w:rPr>
                <w:sz w:val="1"/>
                <w:szCs w:val="1"/>
                <w:color w:val="auto"/>
              </w:rPr>
            </w:pPr>
          </w:p>
        </w:tc>
      </w:tr>
      <w:tr>
        <w:trPr>
          <w:trHeight w:val="203"/>
        </w:trPr>
        <w:tc>
          <w:tcPr>
            <w:tcW w:w="6200" w:type="dxa"/>
            <w:vAlign w:val="bottom"/>
          </w:tcPr>
          <w:p>
            <w:pPr>
              <w:ind w:left="280"/>
              <w:spacing w:after="0" w:line="203"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15"/>
                <w:szCs w:val="15"/>
                <w:color w:val="auto"/>
              </w:rPr>
              <w:t>4</w:t>
            </w:r>
          </w:p>
        </w:tc>
        <w:tc>
          <w:tcPr>
            <w:tcW w:w="27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440</w:t>
            </w: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3"/>
        </w:trPr>
        <w:tc>
          <w:tcPr>
            <w:tcW w:w="6200" w:type="dxa"/>
            <w:vAlign w:val="bottom"/>
          </w:tcPr>
          <w:p>
            <w:pPr>
              <w:ind w:left="280"/>
              <w:spacing w:after="0" w:line="202" w:lineRule="exact"/>
              <w:rPr>
                <w:sz w:val="20"/>
                <w:szCs w:val="20"/>
                <w:color w:val="auto"/>
              </w:rPr>
            </w:pPr>
            <w:r>
              <w:rPr>
                <w:rFonts w:ascii="Arial" w:cs="Arial" w:eastAsia="Arial" w:hAnsi="Arial"/>
                <w:sz w:val="18"/>
                <w:szCs w:val="18"/>
                <w:color w:val="auto"/>
              </w:rPr>
              <w:t>Average number of table games</w:t>
            </w: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Average number of slot machines</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spacing w:after="0" w:line="17" w:lineRule="exact"/>
        <w:rPr>
          <w:rFonts w:ascii="Arial" w:cs="Arial" w:eastAsia="Arial" w:hAnsi="Arial"/>
          <w:sz w:val="18"/>
          <w:szCs w:val="18"/>
          <w:color w:val="auto"/>
        </w:rPr>
      </w:pPr>
    </w:p>
    <w:p>
      <w:pPr>
        <w:ind w:left="280" w:hanging="272"/>
        <w:spacing w:after="0" w:line="234"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by total rooms available.</w:t>
      </w:r>
    </w:p>
    <w:p>
      <w:pPr>
        <w:ind w:left="280" w:hanging="272"/>
        <w:spacing w:after="0" w:line="234"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ind w:left="280" w:hanging="272"/>
        <w:spacing w:after="0" w:line="234"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Slot machine win per unit per day is net of participation fees and progressive accruals.</w:t>
      </w: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Wynn Las Vegas, including Encore for 2009.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34" w:lineRule="auto"/>
        <w:rPr>
          <w:sz w:val="20"/>
          <w:szCs w:val="20"/>
          <w:color w:val="auto"/>
        </w:rPr>
      </w:pPr>
      <w:r>
        <w:rPr>
          <w:rFonts w:ascii="Arial" w:cs="Arial" w:eastAsia="Arial" w:hAnsi="Arial"/>
          <w:sz w:val="18"/>
          <w:szCs w:val="18"/>
          <w:color w:val="auto"/>
        </w:rPr>
        <w:t>CONTACT:</w:t>
      </w:r>
    </w:p>
    <w:p>
      <w:pPr>
        <w:spacing w:after="0" w:line="235" w:lineRule="auto"/>
        <w:rPr>
          <w:sz w:val="20"/>
          <w:szCs w:val="20"/>
          <w:color w:val="auto"/>
        </w:rPr>
      </w:pPr>
      <w:r>
        <w:rPr>
          <w:rFonts w:ascii="Arial" w:cs="Arial" w:eastAsia="Arial" w:hAnsi="Arial"/>
          <w:sz w:val="18"/>
          <w:szCs w:val="18"/>
          <w:color w:val="auto"/>
        </w:rPr>
        <w:t>Samanta Stewart, 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20"/>
      </w:cols>
      <w:pgMar w:left="240" w:top="8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2019-12-15T08:15:20Z</dcterms:created>
  <dcterms:modified xsi:type="dcterms:W3CDTF">2019-12-15T08:15:20Z</dcterms:modified>
</cp:coreProperties>
</file>