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33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337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STRZEMP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11/28/2007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EVP, Chief Financial Officer</w:t>
      </w:r>
    </w:p>
    <w:p>
      <w:pPr>
        <w:spacing w:after="0" w:line="390"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3800" w:type="dxa"/>
            <w:vAlign w:val="bottom"/>
            <w:gridSpan w:val="7"/>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LAS VEGAS</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NV</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89109</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20" w:type="dxa"/>
            <w:vAlign w:val="bottom"/>
            <w:gridSpan w:val="5"/>
          </w:tcPr>
          <w:p>
            <w:pPr>
              <w:ind w:left="60"/>
              <w:spacing w:after="0"/>
              <w:rPr>
                <w:sz w:val="20"/>
                <w:szCs w:val="20"/>
                <w:color w:val="auto"/>
              </w:rPr>
            </w:pPr>
            <w:r>
              <w:rPr>
                <w:rFonts w:ascii="Arial" w:cs="Arial" w:eastAsia="Arial" w:hAnsi="Arial"/>
                <w:sz w:val="18"/>
                <w:szCs w:val="18"/>
                <w:color w:val="0000FF"/>
                <w:w w:val="98"/>
              </w:rPr>
              <w:t>Common Stock, par value $0.01</w:t>
            </w:r>
          </w:p>
        </w:tc>
        <w:tc>
          <w:tcPr>
            <w:tcW w:w="1920" w:type="dxa"/>
            <w:vAlign w:val="bottom"/>
            <w:gridSpan w:val="3"/>
          </w:tcPr>
          <w:p>
            <w:pPr>
              <w:ind w:left="900"/>
              <w:spacing w:after="0"/>
              <w:rPr>
                <w:sz w:val="20"/>
                <w:szCs w:val="20"/>
                <w:color w:val="auto"/>
              </w:rPr>
            </w:pPr>
            <w:r>
              <w:rPr>
                <w:rFonts w:ascii="Arial" w:cs="Arial" w:eastAsia="Arial" w:hAnsi="Arial"/>
                <w:sz w:val="18"/>
                <w:szCs w:val="18"/>
                <w:color w:val="0000FF"/>
              </w:rPr>
              <w:t>11/28/2007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0000FF"/>
                <w:w w:val="84"/>
              </w:rPr>
              <w:t>5,000</w:t>
            </w:r>
          </w:p>
        </w:tc>
        <w:tc>
          <w:tcPr>
            <w:tcW w:w="640" w:type="dxa"/>
            <w:vAlign w:val="bottom"/>
          </w:tcPr>
          <w:p>
            <w:pPr>
              <w:ind w:left="400"/>
              <w:spacing w:after="0"/>
              <w:rPr>
                <w:sz w:val="20"/>
                <w:szCs w:val="20"/>
                <w:color w:val="auto"/>
              </w:rPr>
            </w:pPr>
            <w:r>
              <w:rPr>
                <w:rFonts w:ascii="Arial" w:cs="Arial" w:eastAsia="Arial" w:hAnsi="Arial"/>
                <w:sz w:val="18"/>
                <w:szCs w:val="18"/>
                <w:color w:val="0000FF"/>
              </w:rPr>
              <w:t>A</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15.4</w:t>
            </w:r>
          </w:p>
        </w:tc>
        <w:tc>
          <w:tcPr>
            <w:tcW w:w="1340" w:type="dxa"/>
            <w:vAlign w:val="bottom"/>
            <w:gridSpan w:val="3"/>
          </w:tcPr>
          <w:p>
            <w:pPr>
              <w:jc w:val="right"/>
              <w:ind w:right="299"/>
              <w:spacing w:after="0"/>
              <w:rPr>
                <w:sz w:val="20"/>
                <w:szCs w:val="20"/>
                <w:color w:val="auto"/>
              </w:rPr>
            </w:pPr>
            <w:r>
              <w:rPr>
                <w:rFonts w:ascii="Arial" w:cs="Arial" w:eastAsia="Arial" w:hAnsi="Arial"/>
                <w:sz w:val="18"/>
                <w:szCs w:val="18"/>
                <w:color w:val="0000FF"/>
              </w:rPr>
              <w:t>185,000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gridSpan w:val="5"/>
            <w:vMerge w:val="restart"/>
          </w:tcPr>
          <w:p>
            <w:pPr>
              <w:ind w:left="60"/>
              <w:spacing w:after="0"/>
              <w:rPr>
                <w:sz w:val="20"/>
                <w:szCs w:val="20"/>
                <w:color w:val="auto"/>
              </w:rPr>
            </w:pPr>
            <w:r>
              <w:rPr>
                <w:rFonts w:ascii="Arial" w:cs="Arial" w:eastAsia="Arial" w:hAnsi="Arial"/>
                <w:sz w:val="18"/>
                <w:szCs w:val="18"/>
                <w:color w:val="0000FF"/>
                <w:w w:val="98"/>
              </w:rPr>
              <w:t>Common Stock, par value $0.01</w:t>
            </w: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gridSpan w:val="3"/>
            <w:vMerge w:val="restart"/>
          </w:tcPr>
          <w:p>
            <w:pPr>
              <w:jc w:val="center"/>
              <w:ind w:right="359"/>
              <w:spacing w:after="0"/>
              <w:rPr>
                <w:sz w:val="20"/>
                <w:szCs w:val="20"/>
                <w:color w:val="auto"/>
              </w:rPr>
            </w:pPr>
            <w:r>
              <w:rPr>
                <w:rFonts w:ascii="Arial" w:cs="Arial" w:eastAsia="Arial" w:hAnsi="Arial"/>
                <w:sz w:val="18"/>
                <w:szCs w:val="18"/>
                <w:color w:val="0000FF"/>
              </w:rPr>
              <w:t>500</w:t>
            </w:r>
            <w:r>
              <w:rPr>
                <w:rFonts w:ascii="Arial" w:cs="Arial" w:eastAsia="Arial" w:hAnsi="Arial"/>
                <w:sz w:val="22"/>
                <w:szCs w:val="22"/>
                <w:color w:val="008000"/>
                <w:vertAlign w:val="superscript"/>
              </w:rPr>
              <w:t>(1)</w:t>
            </w:r>
          </w:p>
        </w:tc>
        <w:tc>
          <w:tcPr>
            <w:tcW w:w="30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20" w:type="dxa"/>
            <w:vAlign w:val="bottom"/>
            <w:gridSpan w:val="5"/>
            <w:vMerge w:val="continue"/>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color w:val="0000FF"/>
              </w:rPr>
              <w:t>mother</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jc w:val="center"/>
              <w:ind w:left="4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15.4</w:t>
            </w:r>
          </w:p>
        </w:tc>
        <w:tc>
          <w:tcPr>
            <w:tcW w:w="160" w:type="dxa"/>
            <w:vAlign w:val="bottom"/>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11/28/2007</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940" w:type="dxa"/>
            <w:vAlign w:val="bottom"/>
            <w:vMerge w:val="restart"/>
          </w:tcPr>
          <w:p>
            <w:pPr>
              <w:ind w:left="500"/>
              <w:spacing w:after="0"/>
              <w:rPr>
                <w:sz w:val="20"/>
                <w:szCs w:val="20"/>
                <w:color w:val="auto"/>
              </w:rPr>
            </w:pPr>
            <w:r>
              <w:rPr>
                <w:rFonts w:ascii="Arial" w:cs="Arial" w:eastAsia="Arial" w:hAnsi="Arial"/>
                <w:sz w:val="14"/>
                <w:szCs w:val="14"/>
                <w:color w:val="0000FF"/>
              </w:rPr>
              <w:t>5,000</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color w:val="0000FF"/>
              </w:rPr>
              <w:t>03/25/2013</w:t>
            </w:r>
          </w:p>
        </w:tc>
        <w:tc>
          <w:tcPr>
            <w:tcW w:w="640" w:type="dxa"/>
            <w:vAlign w:val="bottom"/>
          </w:tcPr>
          <w:p>
            <w:pPr>
              <w:ind w:left="10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right"/>
              <w:ind w:right="51"/>
              <w:spacing w:after="0"/>
              <w:rPr>
                <w:sz w:val="20"/>
                <w:szCs w:val="20"/>
                <w:color w:val="auto"/>
              </w:rPr>
            </w:pPr>
            <w:r>
              <w:rPr>
                <w:rFonts w:ascii="Arial" w:cs="Arial" w:eastAsia="Arial" w:hAnsi="Arial"/>
                <w:sz w:val="18"/>
                <w:szCs w:val="18"/>
                <w:color w:val="0000FF"/>
                <w:w w:val="93"/>
              </w:rPr>
              <w:t>5,000</w:t>
            </w:r>
          </w:p>
        </w:tc>
        <w:tc>
          <w:tcPr>
            <w:tcW w:w="60" w:type="dxa"/>
            <w:vAlign w:val="bottom"/>
          </w:tcPr>
          <w:p>
            <w:pPr>
              <w:spacing w:after="0"/>
              <w:rPr>
                <w:sz w:val="12"/>
                <w:szCs w:val="12"/>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vMerge w:val="restart"/>
          </w:tcPr>
          <w:p>
            <w:pPr>
              <w:ind w:left="240"/>
              <w:spacing w:after="0"/>
              <w:rPr>
                <w:sz w:val="20"/>
                <w:szCs w:val="20"/>
                <w:color w:val="auto"/>
              </w:rPr>
            </w:pPr>
            <w:r>
              <w:rPr>
                <w:rFonts w:ascii="Arial" w:cs="Arial" w:eastAsia="Arial" w:hAnsi="Arial"/>
                <w:sz w:val="14"/>
                <w:szCs w:val="14"/>
                <w:color w:val="0000FF"/>
                <w:w w:val="83"/>
              </w:rPr>
              <w:t>20,000</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40" w:type="dxa"/>
            <w:vAlign w:val="bottom"/>
          </w:tcPr>
          <w:p>
            <w:pPr>
              <w:ind w:left="2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4"/>
                <w:szCs w:val="14"/>
                <w:color w:val="0000FF"/>
              </w:rPr>
              <w:t>$0.01</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and this report shall not be deemed an admission that the reporting person is the beneficial owner of the securities for purposes of Section 16.</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Options vest in four equal installments on March 25, 2005; March 25, 2006; March 25, 2007; and March 25, 2008.</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Kimmarie Sinatra,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56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563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John</w:t>
      </w:r>
      <w:r>
        <w:rPr>
          <w:sz w:val="20"/>
          <w:szCs w:val="20"/>
          <w:color w:val="auto"/>
        </w:rPr>
        <w:tab/>
      </w:r>
      <w:r>
        <w:rPr>
          <w:rFonts w:ascii="Arial" w:cs="Arial" w:eastAsia="Arial" w:hAnsi="Arial"/>
          <w:sz w:val="15"/>
          <w:szCs w:val="15"/>
          <w:color w:val="0000FF"/>
        </w:rPr>
        <w:t>11/29/2007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Strzemp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71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KNOW ALL MEN BY THESE PRESENTS, that the person whose signature appears below revokes all prior Powers of Attorney relating to Section 16 of the Securities Exchange Act of 1934, as amended, and appoints each of Kimmarie Sinatra, Kevin Tourek and John Stzemp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38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This power of attorney shall be valid from the date hereof until revoked by the undersigned.</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as of the 29 day of November, 2007.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/s/ John Strzemp</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684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2019-12-24T01:57:18Z</dcterms:created>
  <dcterms:modified xsi:type="dcterms:W3CDTF">2019-12-24T01:57:18Z</dcterms:modified>
</cp:coreProperties>
</file>