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415925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250825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262255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300" w:type="dxa"/>
        <w:tblCellMar>
          <w:top w:w="0" w:type="dxa"/>
          <w:left w:w="0" w:type="dxa"/>
          <w:bottom w:w="0" w:type="dxa"/>
          <w:right w:w="0" w:type="dxa"/>
        </w:tblCellMar>
      </w:tblPr>
      <w:tr>
        <w:trPr>
          <w:trHeight w:val="238"/>
        </w:trPr>
        <w:tc>
          <w:tcPr>
            <w:tcW w:w="200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8"/>
              </w:rPr>
              <w:t>N</w:t>
            </w:r>
            <w:r>
              <w:rPr>
                <w:rFonts w:ascii="Times New Roman" w:cs="Times New Roman" w:eastAsia="Times New Roman" w:hAnsi="Times New Roman"/>
                <w:sz w:val="14"/>
                <w:szCs w:val="14"/>
                <w:b w:val="1"/>
                <w:bCs w:val="1"/>
                <w:color w:val="auto"/>
                <w:w w:val="98"/>
              </w:rPr>
              <w:t>EVADA</w:t>
            </w:r>
          </w:p>
        </w:tc>
        <w:tc>
          <w:tcPr>
            <w:tcW w:w="4080" w:type="dxa"/>
            <w:vAlign w:val="bottom"/>
            <w:gridSpan w:val="2"/>
          </w:tcPr>
          <w:p>
            <w:pPr>
              <w:jc w:val="right"/>
              <w:ind w:right="1228"/>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920" w:type="dxa"/>
            <w:vAlign w:val="bottom"/>
          </w:tcPr>
          <w:p>
            <w:pPr>
              <w:spacing w:after="0"/>
              <w:rPr>
                <w:sz w:val="20"/>
                <w:szCs w:val="20"/>
                <w:color w:val="auto"/>
              </w:rPr>
            </w:pP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46-0484987</w:t>
            </w:r>
          </w:p>
        </w:tc>
        <w:tc>
          <w:tcPr>
            <w:tcW w:w="0" w:type="dxa"/>
            <w:vAlign w:val="bottom"/>
          </w:tcPr>
          <w:p>
            <w:pPr>
              <w:spacing w:after="0"/>
              <w:rPr>
                <w:sz w:val="1"/>
                <w:szCs w:val="1"/>
                <w:color w:val="auto"/>
              </w:rPr>
            </w:pPr>
          </w:p>
        </w:tc>
      </w:tr>
      <w:tr>
        <w:trPr>
          <w:trHeight w:val="178"/>
        </w:trPr>
        <w:tc>
          <w:tcPr>
            <w:tcW w:w="20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40" w:type="dxa"/>
            <w:vAlign w:val="bottom"/>
          </w:tcPr>
          <w:p>
            <w:pPr>
              <w:spacing w:after="0"/>
              <w:rPr>
                <w:sz w:val="15"/>
                <w:szCs w:val="15"/>
                <w:color w:val="auto"/>
              </w:rPr>
            </w:pPr>
          </w:p>
        </w:tc>
        <w:tc>
          <w:tcPr>
            <w:tcW w:w="426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0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40" w:type="dxa"/>
            <w:vAlign w:val="bottom"/>
          </w:tcPr>
          <w:p>
            <w:pPr>
              <w:spacing w:after="0"/>
              <w:rPr>
                <w:sz w:val="16"/>
                <w:szCs w:val="16"/>
                <w:color w:val="auto"/>
              </w:rPr>
            </w:pPr>
          </w:p>
        </w:tc>
        <w:tc>
          <w:tcPr>
            <w:tcW w:w="4260" w:type="dxa"/>
            <w:vAlign w:val="bottom"/>
            <w:gridSpan w:val="2"/>
            <w:vMerge w:val="continue"/>
          </w:tcPr>
          <w:p>
            <w:pPr>
              <w:spacing w:after="0"/>
              <w:rPr>
                <w:sz w:val="16"/>
                <w:szCs w:val="16"/>
                <w:color w:val="auto"/>
              </w:rPr>
            </w:pP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526"/>
        </w:trPr>
        <w:tc>
          <w:tcPr>
            <w:tcW w:w="2000" w:type="dxa"/>
            <w:vAlign w:val="bottom"/>
          </w:tcPr>
          <w:p>
            <w:pPr>
              <w:spacing w:after="0"/>
              <w:rPr>
                <w:sz w:val="24"/>
                <w:szCs w:val="24"/>
                <w:color w:val="auto"/>
              </w:rPr>
            </w:pPr>
          </w:p>
        </w:tc>
        <w:tc>
          <w:tcPr>
            <w:tcW w:w="50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 - Las Vegas, Nevada 89109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00" w:type="dxa"/>
            <w:vAlign w:val="bottom"/>
          </w:tcPr>
          <w:p>
            <w:pPr>
              <w:spacing w:after="0"/>
              <w:rPr>
                <w:sz w:val="21"/>
                <w:szCs w:val="21"/>
                <w:color w:val="auto"/>
              </w:rPr>
            </w:pPr>
          </w:p>
        </w:tc>
        <w:tc>
          <w:tcPr>
            <w:tcW w:w="408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6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90805</wp:posOffset>
            </wp:positionV>
            <wp:extent cx="2118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300"/>
          </w:cols>
          <w:pgMar w:left="240" w:top="727" w:right="359" w:bottom="1440" w:gutter="0" w:footer="0" w:header="0"/>
        </w:sectPr>
      </w:pPr>
    </w:p>
    <w:bookmarkStart w:id="1" w:name="page2"/>
    <w:bookmarkEnd w:id="1"/>
    <w:p>
      <w:pPr>
        <w:ind w:left="4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30, 2016, Wynn Macau, Limited (“WML”), an indirect subsidiary of Wynn Resorts, Limited, with ordinary shares of its common stock listed on The Stock Exchange of Hong Kong Limited, announced that Ian Michael Coughlan has been appointed as President of WML, effective immediately. Mr. Coughlan has been and will remain President of Wynn Resorts (Macau) S.A. (“WRM”) and a member of the board of directors of WML (“WML Board”) as an Executive Director, positions he has held since July 2007 and September 2009, respectively. WRM, a subsidiary of WML, is a gaming concessionaire in Macau which owns and operates both Wynn Macau and Wynn Palace, our integrated luxury hotel and destination casino resorts in Macau. Mr. Coughlan, as President of WML and WRM, will be responsible for the entire operation and development of both Wynn Macau and Wynn Palace. Further information about Mr. Coughlan can be found in WML’s latest interim and annual reports.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WML also announced that Gamal Abdelaziz (or Gamal Aziz as he is sometimes known as in our communications) has resigned from his positions as President and Executive Director of WML, effective September 30, 2016, to pursue other opportunities. Mr. Aziz has confirmed that he has no disagreement with the WML Board and that there are no other matters in relation to his resignation that needs to be brought to the attention of the shareholders of WML. Mr. Aziz was instrumental in the development and opening of Wynn Palace and we would like to take this opportunity to express our gratitude to Mr. Aziz for his significant contributions to WML during his term of service.</w:t>
      </w:r>
    </w:p>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in this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00"/>
          </w:cols>
          <w:pgMar w:left="240" w:top="954" w:right="25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9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Times New Roman" w:cs="Times New Roman" w:eastAsia="Times New Roman" w:hAnsi="Times New Roman"/>
          <w:sz w:val="18"/>
          <w:szCs w:val="18"/>
          <w:color w:val="auto"/>
        </w:rPr>
        <w:t>Dated: September 30,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Kim Sinatra</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General Counsel</w:t>
      </w:r>
    </w:p>
    <w:sectPr>
      <w:pgSz w:w="11900" w:h="16838" w:orient="portrait"/>
      <w:cols w:equalWidth="0" w:num="1">
        <w:col w:w="11220"/>
      </w:cols>
      <w:pgMar w:left="240" w:top="57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2019-12-07T16:53:08Z</dcterms:created>
  <dcterms:modified xsi:type="dcterms:W3CDTF">2019-12-07T16:53:08Z</dcterms:modified>
</cp:coreProperties>
</file>