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295275</wp:posOffset>
            </wp:positionV>
            <wp:extent cx="28028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185420</wp:posOffset>
            </wp:positionV>
            <wp:extent cx="28028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201295</wp:posOffset>
            </wp:positionV>
            <wp:extent cx="28028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8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2"/>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340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620" w:type="dxa"/>
            <w:vAlign w:val="bottom"/>
            <w:gridSpan w:val="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20" w:type="dxa"/>
            <w:vAlign w:val="bottom"/>
          </w:tcPr>
          <w:p>
            <w:pPr>
              <w:spacing w:after="0"/>
              <w:rPr>
                <w:sz w:val="16"/>
                <w:szCs w:val="16"/>
                <w:color w:val="auto"/>
              </w:rPr>
            </w:pPr>
          </w:p>
        </w:tc>
      </w:tr>
      <w:tr>
        <w:trPr>
          <w:trHeight w:val="160"/>
        </w:trPr>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0" w:type="dxa"/>
            <w:vAlign w:val="bottom"/>
            <w:gridSpan w:val="2"/>
          </w:tcPr>
          <w:p>
            <w:pPr>
              <w:jc w:val="center"/>
              <w:ind w:left="256"/>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620" w:type="dxa"/>
            <w:vAlign w:val="bottom"/>
            <w:gridSpan w:val="2"/>
          </w:tcPr>
          <w:p>
            <w:pPr>
              <w:jc w:val="center"/>
              <w:ind w:right="1240"/>
              <w:spacing w:after="0"/>
              <w:rPr>
                <w:sz w:val="20"/>
                <w:szCs w:val="20"/>
                <w:color w:val="auto"/>
              </w:rPr>
            </w:pPr>
            <w:r>
              <w:rPr>
                <w:rFonts w:ascii="Times New Roman" w:cs="Times New Roman" w:eastAsia="Times New Roman" w:hAnsi="Times New Roman"/>
                <w:sz w:val="11"/>
                <w:szCs w:val="11"/>
                <w:b w:val="1"/>
                <w:bCs w:val="1"/>
                <w:color w:val="auto"/>
              </w:rPr>
              <w:t>(I.R.S. Employer</w:t>
            </w:r>
          </w:p>
        </w:tc>
        <w:tc>
          <w:tcPr>
            <w:tcW w:w="1220" w:type="dxa"/>
            <w:vAlign w:val="bottom"/>
          </w:tcPr>
          <w:p>
            <w:pPr>
              <w:spacing w:after="0"/>
              <w:rPr>
                <w:sz w:val="13"/>
                <w:szCs w:val="13"/>
                <w:color w:val="auto"/>
              </w:rPr>
            </w:pPr>
          </w:p>
        </w:tc>
      </w:tr>
      <w:tr>
        <w:trPr>
          <w:trHeight w:val="149"/>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2"/>
          </w:tcPr>
          <w:p>
            <w:pPr>
              <w:jc w:val="center"/>
              <w:ind w:left="25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620" w:type="dxa"/>
            <w:vAlign w:val="bottom"/>
            <w:gridSpan w:val="2"/>
          </w:tcPr>
          <w:p>
            <w:pPr>
              <w:jc w:val="center"/>
              <w:ind w:right="122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1220" w:type="dxa"/>
            <w:vAlign w:val="bottom"/>
          </w:tcPr>
          <w:p>
            <w:pPr>
              <w:spacing w:after="0"/>
              <w:rPr>
                <w:sz w:val="12"/>
                <w:szCs w:val="12"/>
                <w:color w:val="auto"/>
              </w:rPr>
            </w:pPr>
          </w:p>
        </w:tc>
      </w:tr>
      <w:tr>
        <w:trPr>
          <w:trHeight w:val="195"/>
        </w:trPr>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0" w:type="dxa"/>
            <w:vAlign w:val="bottom"/>
            <w:gridSpan w:val="5"/>
          </w:tcPr>
          <w:p>
            <w:pPr>
              <w:jc w:val="center"/>
              <w:ind w:right="3019"/>
              <w:spacing w:after="0"/>
              <w:rPr>
                <w:sz w:val="20"/>
                <w:szCs w:val="20"/>
                <w:color w:val="auto"/>
              </w:rPr>
            </w:pPr>
            <w:r>
              <w:rPr>
                <w:rFonts w:ascii="Times New Roman" w:cs="Times New Roman" w:eastAsia="Times New Roman" w:hAnsi="Times New Roman"/>
                <w:sz w:val="14"/>
                <w:szCs w:val="14"/>
                <w:b w:val="1"/>
                <w:bCs w:val="1"/>
                <w:color w:val="auto"/>
                <w:w w:val="99"/>
              </w:rPr>
              <w:t>3131 Las Vegas Boulevard South</w:t>
            </w:r>
          </w:p>
        </w:tc>
        <w:tc>
          <w:tcPr>
            <w:tcW w:w="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8"/>
        </w:trPr>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20" w:type="dxa"/>
            <w:vAlign w:val="bottom"/>
            <w:gridSpan w:val="2"/>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20" w:type="dxa"/>
            <w:vAlign w:val="bottom"/>
          </w:tcPr>
          <w:p>
            <w:pPr>
              <w:spacing w:after="0"/>
              <w:rPr>
                <w:sz w:val="15"/>
                <w:szCs w:val="15"/>
                <w:color w:val="auto"/>
              </w:rPr>
            </w:pPr>
          </w:p>
        </w:tc>
      </w:tr>
      <w:tr>
        <w:trPr>
          <w:trHeight w:val="170"/>
        </w:trPr>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0" w:type="dxa"/>
            <w:vAlign w:val="bottom"/>
            <w:gridSpan w:val="5"/>
          </w:tcPr>
          <w:p>
            <w:pPr>
              <w:jc w:val="center"/>
              <w:ind w:right="30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620" w:type="dxa"/>
            <w:vAlign w:val="bottom"/>
            <w:gridSpan w:val="2"/>
          </w:tcPr>
          <w:p>
            <w:pPr>
              <w:jc w:val="center"/>
              <w:ind w:right="122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1220" w:type="dxa"/>
            <w:vAlign w:val="bottom"/>
          </w:tcPr>
          <w:p>
            <w:pPr>
              <w:spacing w:after="0"/>
              <w:rPr>
                <w:sz w:val="14"/>
                <w:szCs w:val="14"/>
                <w:color w:val="auto"/>
              </w:rPr>
            </w:pPr>
          </w:p>
        </w:tc>
      </w:tr>
      <w:tr>
        <w:trPr>
          <w:trHeight w:val="573"/>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2"/>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18"/>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2"/>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93"/>
        </w:trPr>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446"/>
        </w:trPr>
        <w:tc>
          <w:tcPr>
            <w:tcW w:w="39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4"/>
        </w:trPr>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spacing w:after="0"/>
              <w:rPr>
                <w:sz w:val="21"/>
                <w:szCs w:val="21"/>
                <w:color w:val="auto"/>
              </w:rPr>
            </w:pPr>
          </w:p>
        </w:tc>
        <w:tc>
          <w:tcPr>
            <w:tcW w:w="3400" w:type="dxa"/>
            <w:vAlign w:val="bottom"/>
            <w:gridSpan w:val="3"/>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12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82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100" w:type="dxa"/>
            <w:vAlign w:val="bottom"/>
          </w:tcPr>
          <w:p>
            <w:pPr>
              <w:spacing w:after="0"/>
              <w:rPr>
                <w:sz w:val="16"/>
                <w:szCs w:val="16"/>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color w:val="auto"/>
              </w:rPr>
              <w:t>WYNN</w:t>
            </w: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1220" w:type="dxa"/>
            <w:vAlign w:val="bottom"/>
          </w:tcPr>
          <w:p>
            <w:pPr>
              <w:spacing w:after="0"/>
              <w:rPr>
                <w:sz w:val="16"/>
                <w:szCs w:val="16"/>
                <w:color w:val="auto"/>
              </w:rPr>
            </w:pPr>
          </w:p>
        </w:tc>
      </w:tr>
      <w:tr>
        <w:trPr>
          <w:trHeight w:val="161"/>
        </w:trPr>
        <w:tc>
          <w:tcPr>
            <w:tcW w:w="1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bl>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8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22, 2020, Wynn Macau, Limited (“WML”), an indirect subsidiary of Wynn Resorts, Limited (the “Registrant”) with its ordinary shares of common stock listed on The Stock Exchange of Hong Kong Limited (the “HKSE”), completed its offering (the “Offering”) of additional $750.0 million aggregate principal amount of 5.625% senior notes due 2028 (the “Additional 2028 Notes”). The Additional 2028 Notes were issued as additional notes under an indenture dated as of August 26, 2020 (the "2028 Indenture") pursuant to which WML previously issued $600,000,000 of 5.625% senior notes due 2028 (the “Existing 2028 Notes”). The Additional 2028 Notes have identical terms, other than the issue date and the issue price, to, rank equally with and form a part of a single class of securities with the Existing 2028 Notes.</w:t>
      </w:r>
    </w:p>
    <w:p>
      <w:pPr>
        <w:spacing w:after="0" w:line="16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WML expects to receive net proceeds of approximately $765.9 million in the aggregate from the Offering, including a premium, after deducting discounts, commissions and estimated offering expenses payable by WML and excluding the accrued interest from August 26, 2020, to but not including the issue date of the Additional 2028 Notes, and to use the net proceeds to facilitate the repayment of a portion of the amounts outstanding under the Wynn Macau Credit Facilities. The following is a brief description of certain terms and conditions of the 2028 Indenture and the Additional 2028 Notes.</w:t>
      </w:r>
    </w:p>
    <w:p>
      <w:pPr>
        <w:spacing w:after="0" w:line="16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At any time prior to August 26, 2023, WML may use the net cash proceeds from certain equity offerings to redeem up to 35% of the aggregate principal amount of the Additional 2028 Notes at a redemption price equal to 105.625% of the aggregate principal amount of the Additional 2028 Notes, plus accrued and unpaid interest, if any. At any time prior to August 26, 2023, WML may redeem the Additional 2028 Notes in whole or in part at a redemption price equal to the greater of (a) 100% of the aggregate principal amount of the Additional 2028 Notes to be redeemed, or (b) a make-whole amount as determined by an independent investment banker in accordance with the terms of the 2028 Indenture, in either case, plus accrued and unpaid interest.</w:t>
      </w:r>
    </w:p>
    <w:p>
      <w:pPr>
        <w:spacing w:after="0" w:line="1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addition, on or after August 26, 2023, WML may redeem the Additional 2028 Notes in whole or in part at a premium decreasing annually from 102.813% of the applicable principal amount to 100.000%, plus accrued and unpaid interest. If WML undergoes a Change of Control (as defined in the 2028 Indenture), it must offer to repurchase the Additional 2028 Notes at a price equal to 101% of the aggregate principal amount thereof, plus accrued and unpaid interest. In addition, WML may redeem the Additional 2028 Notes, in whole but not in part, at a redemption price equal to 100% of the principal amount, plus accrued and unpaid interest, in response to any change in or amendment to certain tax laws or tax positions. Further, if a holder or beneficial owner of the Additional 2028 Notes fails to meet certain requirements imposed by any Gaming Authority (as defined in the 2028 Indenture), WML may require the holder or beneficial owner to dispose of or redeem its Additional 2028 Notes.</w:t>
      </w:r>
    </w:p>
    <w:p>
      <w:pPr>
        <w:spacing w:after="0" w:line="16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Additional 2028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Additional 2028 Notes will have the right to require WML to repurchase all or any part of such holder’s Additional 2028 Notes at a purchase price in cash equal to 100% of the principal amount thereof, plus accrued and unpaid interest.</w:t>
      </w:r>
    </w:p>
    <w:p>
      <w:pPr>
        <w:spacing w:after="0" w:line="16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Additional 2028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Additional 2028 Notes are not registered under the Securities Act of 1933, as amended (the “Securities Act”), and the Additional 2028 Notes are subject to restrictions on transferability and resale.</w:t>
      </w:r>
    </w:p>
    <w:p>
      <w:pPr>
        <w:spacing w:after="0" w:line="16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2028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2028 Indenture contain customary events of default, including, but not limited to: default for 30 days in the payment when due of interest on the Additional 2028 Notes; default in the payment when due of the principal of, or premium, if any, on the Additional 2028 Notes; failure to comply with any payment obligations relating to the repurchase by WML of the Additional 2028 Notes upon a change of control; failure to comply with certain covenants in the 2028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Additional 2028 Notes then outstanding will become due and payable immediately without further action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ind w:left="20"/>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Item 2.03</w:t>
      </w:r>
      <w:r>
        <w:rPr>
          <w:sz w:val="20"/>
          <w:szCs w:val="20"/>
          <w:color w:val="auto"/>
        </w:rPr>
        <w:tab/>
      </w:r>
      <w:r>
        <w:rPr>
          <w:rFonts w:ascii="Times New Roman" w:cs="Times New Roman" w:eastAsia="Times New Roman" w:hAnsi="Times New Roman"/>
          <w:sz w:val="14"/>
          <w:szCs w:val="14"/>
          <w:b w:val="1"/>
          <w:bCs w:val="1"/>
          <w:color w:val="auto"/>
        </w:rPr>
        <w:t>Creation of a Direct Financial Obligation.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information set forth in Item 1.01 is incorporated herein by reference.</w:t>
      </w:r>
    </w:p>
    <w:p>
      <w:pPr>
        <w:spacing w:after="0" w:line="102"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22, 2020, WML filed with the HKSE (1) a notice indicating that WML submitted an application to the HKSE for the listing of and permission to deal in the Additional 2028 Notes (the “Listing Notice”) and (2) an announcement regarding the closing of the issuance of the Additional 2028 Notes (the “Closing Announcement”). The Registrant owns approximately 72% of WML’s ordinary shares of common stock. The Listing Notice and Closing Announcement are furnished herewith as Exhibits 99.1 and 99.2, respectively. The information contained in this Item 7.01 and the exhibits attached to this Current Report on Form 8-K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2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580" w:type="dxa"/>
            <w:vAlign w:val="bottom"/>
          </w:tcPr>
          <w:p>
            <w:pPr>
              <w:spacing w:after="0"/>
              <w:rPr>
                <w:sz w:val="17"/>
                <w:szCs w:val="17"/>
                <w:color w:val="auto"/>
              </w:rPr>
            </w:pPr>
          </w:p>
        </w:tc>
        <w:tc>
          <w:tcPr>
            <w:tcW w:w="1012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31"/>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580" w:type="dxa"/>
            <w:vAlign w:val="bottom"/>
          </w:tcPr>
          <w:p>
            <w:pPr>
              <w:spacing w:after="0"/>
              <w:rPr>
                <w:sz w:val="20"/>
                <w:szCs w:val="20"/>
                <w:color w:val="auto"/>
              </w:rPr>
            </w:pPr>
          </w:p>
        </w:tc>
        <w:tc>
          <w:tcPr>
            <w:tcW w:w="10120" w:type="dxa"/>
            <w:vAlign w:val="bottom"/>
            <w:gridSpan w:val="3"/>
          </w:tcPr>
          <w:p>
            <w:pPr>
              <w:ind w:left="200"/>
              <w:spacing w:after="0"/>
              <w:rPr>
                <w:rFonts w:ascii="Times New Roman" w:cs="Times New Roman" w:eastAsia="Times New Roman" w:hAnsi="Times New Roman"/>
                <w:sz w:val="14"/>
                <w:szCs w:val="14"/>
                <w:u w:val="single" w:color="auto"/>
                <w:color w:val="0000FF"/>
              </w:rPr>
            </w:pPr>
            <w:hyperlink w:anchor="page5">
              <w:r>
                <w:rPr>
                  <w:rFonts w:ascii="Times New Roman" w:cs="Times New Roman" w:eastAsia="Times New Roman" w:hAnsi="Times New Roman"/>
                  <w:sz w:val="14"/>
                  <w:szCs w:val="14"/>
                  <w:u w:val="single" w:color="auto"/>
                  <w:color w:val="0000FF"/>
                </w:rPr>
                <w:t>Notice of Listing on The Stock Exchange of Hong Kong Limited, dated December 22, 2020</w:t>
              </w:r>
            </w:hyperlink>
          </w:p>
        </w:tc>
      </w:tr>
      <w:tr>
        <w:trPr>
          <w:trHeight w:val="184"/>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99.2</w:t>
            </w:r>
          </w:p>
        </w:tc>
        <w:tc>
          <w:tcPr>
            <w:tcW w:w="580" w:type="dxa"/>
            <w:vAlign w:val="bottom"/>
          </w:tcPr>
          <w:p>
            <w:pPr>
              <w:spacing w:after="0"/>
              <w:rPr>
                <w:sz w:val="16"/>
                <w:szCs w:val="16"/>
                <w:color w:val="auto"/>
              </w:rPr>
            </w:pPr>
          </w:p>
        </w:tc>
        <w:tc>
          <w:tcPr>
            <w:tcW w:w="10120" w:type="dxa"/>
            <w:vAlign w:val="bottom"/>
            <w:gridSpan w:val="3"/>
          </w:tcPr>
          <w:p>
            <w:pPr>
              <w:ind w:left="200"/>
              <w:spacing w:after="0"/>
              <w:rPr>
                <w:rFonts w:ascii="Times New Roman" w:cs="Times New Roman" w:eastAsia="Times New Roman" w:hAnsi="Times New Roman"/>
                <w:sz w:val="14"/>
                <w:szCs w:val="14"/>
                <w:u w:val="single" w:color="auto"/>
                <w:color w:val="0000FF"/>
              </w:rPr>
            </w:pPr>
            <w:hyperlink w:anchor="page8">
              <w:r>
                <w:rPr>
                  <w:rFonts w:ascii="Times New Roman" w:cs="Times New Roman" w:eastAsia="Times New Roman" w:hAnsi="Times New Roman"/>
                  <w:sz w:val="14"/>
                  <w:szCs w:val="14"/>
                  <w:u w:val="single" w:color="auto"/>
                  <w:color w:val="0000FF"/>
                </w:rPr>
                <w:t>Closing Announcement of Wynn Macau, Limited, dated December 22, 2020</w:t>
              </w:r>
            </w:hyperlink>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3" w:name="page4"/>
    <w:bookmarkEnd w:id="3"/>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1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WYNN RESORTS, LIMITED</w:t>
      </w:r>
    </w:p>
    <w:p>
      <w:pPr>
        <w:sectPr>
          <w:pgSz w:w="11900" w:h="16838" w:orient="portrait"/>
          <w:cols w:equalWidth="0" w:num="1">
            <w:col w:w="10640"/>
          </w:cols>
          <w:pgMar w:left="320" w:top="728" w:right="93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December 22, 2020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Craig S. Billings</w:t>
      </w:r>
    </w:p>
    <w:p>
      <w:pPr>
        <w:spacing w:after="0" w:line="23" w:lineRule="exact"/>
        <w:rPr>
          <w:sz w:val="20"/>
          <w:szCs w:val="20"/>
          <w:color w:val="auto"/>
        </w:rPr>
      </w:pPr>
    </w:p>
    <w:p>
      <w:pPr>
        <w:sectPr>
          <w:pgSz w:w="11900" w:h="16838" w:orient="portrait"/>
          <w:cols w:equalWidth="0" w:num="2">
            <w:col w:w="5760" w:space="720"/>
            <w:col w:w="4160"/>
          </w:cols>
          <w:pgMar w:left="320" w:top="728" w:right="939" w:bottom="1440" w:gutter="0" w:footer="0" w:header="0"/>
          <w:type w:val="continuous"/>
        </w:sectPr>
      </w:pPr>
    </w:p>
    <w:p>
      <w:pPr>
        <w:ind w:left="6560"/>
        <w:spacing w:after="0"/>
        <w:rPr>
          <w:sz w:val="20"/>
          <w:szCs w:val="20"/>
          <w:color w:val="auto"/>
        </w:rPr>
      </w:pPr>
      <w:r>
        <w:rPr>
          <w:rFonts w:ascii="Times New Roman" w:cs="Times New Roman" w:eastAsia="Times New Roman" w:hAnsi="Times New Roman"/>
          <w:sz w:val="14"/>
          <w:szCs w:val="14"/>
          <w:color w:val="auto"/>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-101600</wp:posOffset>
            </wp:positionV>
            <wp:extent cx="26339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4"/>
          <w:szCs w:val="14"/>
          <w:color w:val="auto"/>
        </w:rPr>
        <w:t>President and Chief Financial Officer</w:t>
      </w:r>
    </w:p>
    <w:p>
      <w:pPr>
        <w:spacing w:after="0" w:line="1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0640"/>
          </w:cols>
          <w:pgMar w:left="320" w:top="728" w:right="939"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2020-12-22T15:09:50Z</dcterms:created>
  <dcterms:modified xsi:type="dcterms:W3CDTF">2020-12-22T15:09:50Z</dcterms:modified>
</cp:coreProperties>
</file>