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99"/>
        <w:spacing w:after="0"/>
        <w:rPr>
          <w:sz w:val="20"/>
          <w:szCs w:val="20"/>
          <w:color w:val="auto"/>
        </w:rPr>
      </w:pPr>
      <w:r>
        <w:rPr>
          <w:rFonts w:ascii="Arial" w:cs="Arial" w:eastAsia="Arial" w:hAnsi="Arial"/>
          <w:sz w:val="20"/>
          <w:szCs w:val="20"/>
          <w:b w:val="1"/>
          <w:bCs w:val="1"/>
          <w:color w:val="auto"/>
        </w:rPr>
        <w:t>Washington, D.C. 20549</w:t>
      </w:r>
    </w:p>
    <w:p>
      <w:pPr>
        <w:spacing w:after="0" w:line="227" w:lineRule="exact"/>
        <w:rPr>
          <w:sz w:val="24"/>
          <w:szCs w:val="24"/>
          <w:color w:val="auto"/>
        </w:rPr>
      </w:pPr>
    </w:p>
    <w:p>
      <w:pPr>
        <w:ind w:left="4720"/>
        <w:spacing w:after="0"/>
        <w:rPr>
          <w:sz w:val="20"/>
          <w:szCs w:val="20"/>
          <w:color w:val="auto"/>
        </w:rPr>
      </w:pPr>
      <w:r>
        <w:rPr>
          <w:rFonts w:ascii="Arial" w:cs="Arial" w:eastAsia="Arial" w:hAnsi="Arial"/>
          <w:sz w:val="20"/>
          <w:szCs w:val="20"/>
          <w:color w:val="auto"/>
        </w:rPr>
        <w:t>____________________</w:t>
      </w:r>
    </w:p>
    <w:p>
      <w:pPr>
        <w:spacing w:after="0" w:line="237"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CURRENT REPORT</w:t>
      </w:r>
    </w:p>
    <w:p>
      <w:pPr>
        <w:spacing w:after="0" w:line="249" w:lineRule="exact"/>
        <w:rPr>
          <w:sz w:val="24"/>
          <w:szCs w:val="24"/>
          <w:color w:val="auto"/>
        </w:rPr>
      </w:pPr>
    </w:p>
    <w:p>
      <w:pPr>
        <w:ind w:left="4680"/>
        <w:spacing w:after="0"/>
        <w:rPr>
          <w:sz w:val="20"/>
          <w:szCs w:val="20"/>
          <w:color w:val="auto"/>
        </w:rPr>
      </w:pPr>
      <w:r>
        <w:rPr>
          <w:rFonts w:ascii="Arial" w:cs="Arial" w:eastAsia="Arial" w:hAnsi="Arial"/>
          <w:sz w:val="20"/>
          <w:szCs w:val="20"/>
          <w:color w:val="auto"/>
        </w:rPr>
        <w:t>_____________________</w:t>
      </w:r>
    </w:p>
    <w:p>
      <w:pPr>
        <w:spacing w:after="0" w:line="237"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Date of Report (Date of earliest event reported): November 1, 2011</w:t>
      </w:r>
    </w:p>
    <w:p>
      <w:pPr>
        <w:spacing w:after="0" w:line="260"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120"/>
          </w:cols>
          <w:pgMar w:left="240" w:top="711" w:right="539" w:bottom="1440" w:gutter="0" w:footer="0" w:header="0"/>
        </w:sectPr>
      </w:pP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6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040"/>
          </w:cols>
          <w:pgMar w:left="240" w:top="711" w:right="539" w:bottom="1440" w:gutter="0" w:footer="0" w:header="0"/>
          <w:type w:val="continuous"/>
        </w:sectPr>
      </w:pPr>
    </w:p>
    <w:p>
      <w:pPr>
        <w:spacing w:after="0" w:line="287"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Las Vegas, Nevada</w:t>
      </w:r>
    </w:p>
    <w:p>
      <w:pPr>
        <w:jc w:val="center"/>
        <w:ind w:right="208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194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580" w:space="720"/>
            <w:col w:w="2820"/>
          </w:cols>
          <w:pgMar w:left="240" w:top="711" w:right="539" w:bottom="1440" w:gutter="0" w:footer="0" w:header="0"/>
          <w:type w:val="continuous"/>
        </w:sectPr>
      </w:pPr>
    </w:p>
    <w:p>
      <w:pPr>
        <w:spacing w:after="0" w:line="44"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20"/>
          </w:cols>
          <w:pgMar w:left="240" w:top="711" w:right="539" w:bottom="1440" w:gutter="0" w:footer="0" w:header="0"/>
          <w:type w:val="continuous"/>
        </w:sectPr>
      </w:pPr>
    </w:p>
    <w:p>
      <w:pPr>
        <w:spacing w:after="0" w:line="267"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565785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711" w:right="539" w:bottom="1440" w:gutter="0" w:footer="0" w:header="0"/>
          <w:type w:val="continuous"/>
        </w:sectPr>
      </w:pPr>
    </w:p>
    <w:bookmarkStart w:id="1" w:name="page2"/>
    <w:bookmarkEnd w:id="1"/>
    <w:p>
      <w:pPr>
        <w:spacing w:after="0"/>
        <w:tabs>
          <w:tab w:leader="none" w:pos="13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On November 1, 2011, the Board of Directors of Wynn Resorts, Limited (the “Company”) declared a cash dividend of $5.00 per share on its outstanding common stock. This cash dividend will be payable on December 21, 2011 to stockholders of record on November 23, 2011. The Company’s press release, dated November 2, 2011, announcing the cash dividend, is filed herewith as Exhibit 99.1 and is incorporated herein by reference.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 w:type="dxa"/>
            <w:vAlign w:val="bottom"/>
          </w:tcPr>
          <w:p>
            <w:pPr>
              <w:spacing w:after="0"/>
              <w:rPr>
                <w:sz w:val="20"/>
                <w:szCs w:val="20"/>
                <w:color w:val="auto"/>
              </w:rPr>
            </w:pPr>
            <w:r>
              <w:rPr>
                <w:rFonts w:ascii="Arial" w:cs="Arial" w:eastAsia="Arial" w:hAnsi="Arial"/>
                <w:sz w:val="20"/>
                <w:szCs w:val="20"/>
                <w:b w:val="1"/>
                <w:bCs w:val="1"/>
                <w:color w:val="auto"/>
              </w:rPr>
              <w:t>Item 9.01.</w:t>
            </w:r>
          </w:p>
        </w:tc>
        <w:tc>
          <w:tcPr>
            <w:tcW w:w="100" w:type="dxa"/>
            <w:vAlign w:val="bottom"/>
          </w:tcPr>
          <w:p>
            <w:pPr>
              <w:spacing w:after="0"/>
              <w:rPr>
                <w:sz w:val="22"/>
                <w:szCs w:val="22"/>
                <w:color w:val="auto"/>
              </w:rPr>
            </w:pPr>
          </w:p>
        </w:tc>
        <w:tc>
          <w:tcPr>
            <w:tcW w:w="10380" w:type="dxa"/>
            <w:vAlign w:val="bottom"/>
            <w:gridSpan w:val="2"/>
          </w:tcPr>
          <w:p>
            <w:pPr>
              <w:ind w:left="300"/>
              <w:spacing w:after="0"/>
              <w:rPr>
                <w:sz w:val="20"/>
                <w:szCs w:val="20"/>
                <w:color w:val="auto"/>
              </w:rPr>
            </w:pPr>
            <w:r>
              <w:rPr>
                <w:rFonts w:ascii="Arial" w:cs="Arial" w:eastAsia="Arial" w:hAnsi="Arial"/>
                <w:sz w:val="20"/>
                <w:szCs w:val="20"/>
                <w:b w:val="1"/>
                <w:bCs w:val="1"/>
                <w:color w:val="auto"/>
              </w:rPr>
              <w:t>Financial Statements and Exhibits.</w:t>
            </w:r>
          </w:p>
        </w:tc>
      </w:tr>
      <w:tr>
        <w:trPr>
          <w:trHeight w:val="473"/>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20"/>
                <w:szCs w:val="20"/>
                <w:color w:val="auto"/>
              </w:rPr>
              <w:t>(d) Exhibits.</w:t>
            </w:r>
          </w:p>
        </w:tc>
      </w:tr>
      <w:tr>
        <w:trPr>
          <w:trHeight w:val="428"/>
        </w:trPr>
        <w:tc>
          <w:tcPr>
            <w:tcW w:w="11420" w:type="dxa"/>
            <w:vAlign w:val="bottom"/>
            <w:gridSpan w:val="4"/>
          </w:tcPr>
          <w:p>
            <w:pPr>
              <w:spacing w:after="0"/>
              <w:rPr>
                <w:sz w:val="20"/>
                <w:szCs w:val="20"/>
                <w:color w:val="auto"/>
              </w:rPr>
            </w:pPr>
            <w:r>
              <w:rPr>
                <w:rFonts w:ascii="Arial" w:cs="Arial" w:eastAsia="Arial" w:hAnsi="Arial"/>
                <w:sz w:val="20"/>
                <w:szCs w:val="20"/>
                <w:color w:val="auto"/>
              </w:rPr>
              <w:t>Exhibit No. Description</w:t>
            </w:r>
          </w:p>
        </w:tc>
      </w:tr>
      <w:tr>
        <w:trPr>
          <w:trHeight w:val="20"/>
        </w:trPr>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254"/>
        </w:trPr>
        <w:tc>
          <w:tcPr>
            <w:tcW w:w="940" w:type="dxa"/>
            <w:vAlign w:val="bottom"/>
          </w:tcPr>
          <w:p>
            <w:pPr>
              <w:spacing w:after="0"/>
              <w:rPr>
                <w:sz w:val="20"/>
                <w:szCs w:val="20"/>
                <w:color w:val="auto"/>
              </w:rPr>
            </w:pPr>
            <w:r>
              <w:rPr>
                <w:rFonts w:ascii="Arial" w:cs="Arial" w:eastAsia="Arial" w:hAnsi="Arial"/>
                <w:sz w:val="20"/>
                <w:szCs w:val="20"/>
                <w:color w:val="auto"/>
              </w:rPr>
              <w:t>99.1</w:t>
            </w:r>
          </w:p>
        </w:tc>
        <w:tc>
          <w:tcPr>
            <w:tcW w:w="100" w:type="dxa"/>
            <w:vAlign w:val="bottom"/>
          </w:tcPr>
          <w:p>
            <w:pPr>
              <w:spacing w:after="0"/>
              <w:rPr>
                <w:sz w:val="22"/>
                <w:szCs w:val="22"/>
                <w:color w:val="auto"/>
              </w:rPr>
            </w:pPr>
          </w:p>
        </w:tc>
        <w:tc>
          <w:tcPr>
            <w:tcW w:w="10380" w:type="dxa"/>
            <w:vAlign w:val="bottom"/>
            <w:gridSpan w:val="2"/>
          </w:tcPr>
          <w:p>
            <w:pPr>
              <w:spacing w:after="0"/>
              <w:rPr>
                <w:sz w:val="20"/>
                <w:szCs w:val="20"/>
                <w:color w:val="auto"/>
              </w:rPr>
            </w:pPr>
            <w:r>
              <w:rPr>
                <w:rFonts w:ascii="Arial" w:cs="Arial" w:eastAsia="Arial" w:hAnsi="Arial"/>
                <w:sz w:val="20"/>
                <w:szCs w:val="20"/>
                <w:color w:val="auto"/>
              </w:rPr>
              <w:t>Press Release, dated November 2, 2011, of Wynn Resorts, Limited.</w:t>
            </w:r>
          </w:p>
        </w:tc>
      </w:tr>
      <w:tr>
        <w:trPr>
          <w:trHeight w:val="898"/>
        </w:trPr>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9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 2011</w:t>
      </w:r>
    </w:p>
    <w:p>
      <w:pPr>
        <w:spacing w:after="0" w:line="243"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WYNN RESORTS, LIMITED</w:t>
      </w:r>
    </w:p>
    <w:p>
      <w:pPr>
        <w:spacing w:after="0" w:line="216" w:lineRule="exact"/>
        <w:rPr>
          <w:sz w:val="20"/>
          <w:szCs w:val="20"/>
          <w:color w:val="auto"/>
        </w:rPr>
      </w:pPr>
    </w:p>
    <w:p>
      <w:pPr>
        <w:ind w:left="6000"/>
        <w:spacing w:after="0"/>
        <w:tabs>
          <w:tab w:leader="none" w:pos="6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10160</wp:posOffset>
            </wp:positionV>
            <wp:extent cx="2590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73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Declares $5 Cash Dividend</w:t>
      </w:r>
    </w:p>
    <w:p>
      <w:pPr>
        <w:spacing w:after="0" w:line="200" w:lineRule="exact"/>
        <w:rPr>
          <w:sz w:val="20"/>
          <w:szCs w:val="20"/>
          <w:color w:val="auto"/>
        </w:rPr>
      </w:pPr>
    </w:p>
    <w:p>
      <w:pPr>
        <w:spacing w:after="0" w:line="304" w:lineRule="exact"/>
        <w:rPr>
          <w:sz w:val="20"/>
          <w:szCs w:val="20"/>
          <w:color w:val="auto"/>
        </w:rPr>
      </w:pPr>
    </w:p>
    <w:p>
      <w:pPr>
        <w:jc w:val="both"/>
        <w:ind w:right="640"/>
        <w:spacing w:after="0"/>
        <w:rPr>
          <w:sz w:val="20"/>
          <w:szCs w:val="20"/>
          <w:color w:val="auto"/>
        </w:rPr>
      </w:pPr>
      <w:r>
        <w:rPr>
          <w:rFonts w:ascii="Arial" w:cs="Arial" w:eastAsia="Arial" w:hAnsi="Arial"/>
          <w:sz w:val="18"/>
          <w:szCs w:val="18"/>
          <w:color w:val="auto"/>
        </w:rPr>
        <w:t>LAS VEGAS, Nov 02, 2011 (BUSINESS WIRE) -- Wynn Resorts, Limited (Nasdaq:WYNN), announced today that its Board of Directors declared a cash dividend of $5.00 per share on its outstanding common stock. This dividend will be payable on December 21, 2011, to stockholders of record on November 23, 2011. The stock will begin to trade ex-dividend on November 21, 2011.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3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This release contains forward-looking statements regarding payment of certain cash dividends by the Company. Such forward-looking information involves important risks and uncertainties that could significantly affect payment by the Company of the cash dividends.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payment by the Company of the cash dividends is included in the Company's Annual Report on Form 10-K for the year ended December 31, 2010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rPr>
          <w:sz w:val="20"/>
          <w:szCs w:val="20"/>
          <w:color w:val="auto"/>
        </w:rPr>
      </w:pPr>
      <w:r>
        <w:rPr>
          <w:rFonts w:ascii="Arial" w:cs="Arial" w:eastAsia="Arial" w:hAnsi="Arial"/>
          <w:sz w:val="18"/>
          <w:szCs w:val="18"/>
          <w:color w:val="auto"/>
        </w:rPr>
        <w:t>Samanta Stewart, 702-770-7555</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2019-12-10T22:34:09Z</dcterms:created>
  <dcterms:modified xsi:type="dcterms:W3CDTF">2019-12-10T22:34:09Z</dcterms:modified>
</cp:coreProperties>
</file>