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6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Nevada</w:t>
            </w:r>
          </w:p>
        </w:tc>
        <w:tc>
          <w:tcPr>
            <w:tcW w:w="380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60" w:type="dxa"/>
            <w:vAlign w:val="bottom"/>
          </w:tcPr>
          <w:p>
            <w:pPr>
              <w:jc w:val="right"/>
              <w:ind w:right="61"/>
              <w:spacing w:after="0"/>
              <w:rPr>
                <w:sz w:val="20"/>
                <w:szCs w:val="20"/>
                <w:color w:val="auto"/>
              </w:rPr>
            </w:pPr>
            <w:r>
              <w:rPr>
                <w:rFonts w:ascii="Arial" w:cs="Arial" w:eastAsia="Arial" w:hAnsi="Arial"/>
                <w:sz w:val="18"/>
                <w:szCs w:val="18"/>
                <w:b w:val="1"/>
                <w:bCs w:val="1"/>
                <w:color w:val="auto"/>
              </w:rPr>
              <w:t>46-0484987</w:t>
            </w:r>
          </w:p>
        </w:tc>
        <w:tc>
          <w:tcPr>
            <w:tcW w:w="0" w:type="dxa"/>
            <w:vAlign w:val="bottom"/>
          </w:tcPr>
          <w:p>
            <w:pPr>
              <w:spacing w:after="0"/>
              <w:rPr>
                <w:sz w:val="1"/>
                <w:szCs w:val="1"/>
                <w:color w:val="auto"/>
              </w:rPr>
            </w:pPr>
          </w:p>
        </w:tc>
      </w:tr>
      <w:tr>
        <w:trPr>
          <w:trHeight w:val="180"/>
        </w:trPr>
        <w:tc>
          <w:tcPr>
            <w:tcW w:w="26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ind w:left="1260"/>
              <w:spacing w:after="0"/>
              <w:rPr>
                <w:sz w:val="20"/>
                <w:szCs w:val="20"/>
                <w:color w:val="auto"/>
              </w:rPr>
            </w:pPr>
            <w:r>
              <w:rPr>
                <w:rFonts w:ascii="Arial" w:cs="Arial" w:eastAsia="Arial" w:hAnsi="Arial"/>
                <w:sz w:val="14"/>
                <w:szCs w:val="14"/>
                <w:b w:val="1"/>
                <w:bCs w:val="1"/>
                <w:color w:val="auto"/>
              </w:rPr>
              <w:t>(Commission</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64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of incorporation)</w:t>
            </w:r>
          </w:p>
        </w:tc>
        <w:tc>
          <w:tcPr>
            <w:tcW w:w="380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6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2640" w:type="dxa"/>
            <w:vAlign w:val="bottom"/>
          </w:tcPr>
          <w:p>
            <w:pPr>
              <w:jc w:val="center"/>
              <w:ind w:right="39"/>
              <w:spacing w:after="0"/>
              <w:rPr>
                <w:sz w:val="20"/>
                <w:szCs w:val="20"/>
                <w:color w:val="auto"/>
              </w:rPr>
            </w:pPr>
            <w:r>
              <w:rPr>
                <w:rFonts w:ascii="Arial" w:cs="Arial" w:eastAsia="Arial" w:hAnsi="Arial"/>
                <w:sz w:val="18"/>
                <w:szCs w:val="18"/>
                <w:b w:val="1"/>
                <w:bCs w:val="1"/>
                <w:color w:val="auto"/>
                <w:w w:val="88"/>
              </w:rPr>
              <w:t>3131 Las Vegas Boulevard South</w:t>
            </w:r>
          </w:p>
        </w:tc>
        <w:tc>
          <w:tcPr>
            <w:tcW w:w="38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800" w:type="dxa"/>
            <w:vAlign w:val="bottom"/>
          </w:tcPr>
          <w:p>
            <w:pPr>
              <w:spacing w:after="0"/>
              <w:rPr>
                <w:sz w:val="23"/>
                <w:szCs w:val="23"/>
                <w:color w:val="auto"/>
              </w:rPr>
            </w:pPr>
          </w:p>
        </w:tc>
        <w:tc>
          <w:tcPr>
            <w:tcW w:w="15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c>
          <w:tcPr>
            <w:tcW w:w="0" w:type="dxa"/>
            <w:vAlign w:val="bottom"/>
          </w:tcPr>
          <w:p>
            <w:pPr>
              <w:spacing w:after="0"/>
              <w:rPr>
                <w:sz w:val="1"/>
                <w:szCs w:val="1"/>
                <w:color w:val="auto"/>
              </w:rPr>
            </w:pPr>
          </w:p>
        </w:tc>
      </w:tr>
      <w:tr>
        <w:trPr>
          <w:trHeight w:val="218"/>
        </w:trPr>
        <w:tc>
          <w:tcPr>
            <w:tcW w:w="2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00" w:type="dxa"/>
            <w:vAlign w:val="bottom"/>
          </w:tcPr>
          <w:p>
            <w:pPr>
              <w:spacing w:after="0"/>
              <w:rPr>
                <w:sz w:val="18"/>
                <w:szCs w:val="18"/>
                <w:color w:val="auto"/>
              </w:rPr>
            </w:pPr>
          </w:p>
        </w:tc>
        <w:tc>
          <w:tcPr>
            <w:tcW w:w="1560" w:type="dxa"/>
            <w:vAlign w:val="bottom"/>
            <w:vMerge w:val="restart"/>
          </w:tcPr>
          <w:p>
            <w:pPr>
              <w:jc w:val="center"/>
              <w:ind w:left="3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2640" w:type="dxa"/>
            <w:vAlign w:val="bottom"/>
          </w:tcPr>
          <w:p>
            <w:pPr>
              <w:spacing w:after="0"/>
              <w:rPr>
                <w:sz w:val="24"/>
                <w:szCs w:val="24"/>
                <w:color w:val="auto"/>
              </w:rPr>
            </w:pPr>
          </w:p>
        </w:tc>
        <w:tc>
          <w:tcPr>
            <w:tcW w:w="3800" w:type="dxa"/>
            <w:vAlign w:val="bottom"/>
          </w:tcPr>
          <w:p>
            <w:pPr>
              <w:jc w:val="right"/>
              <w:ind w:right="1401"/>
              <w:spacing w:after="0"/>
              <w:rPr>
                <w:sz w:val="20"/>
                <w:szCs w:val="20"/>
                <w:color w:val="auto"/>
              </w:rPr>
            </w:pPr>
            <w:r>
              <w:rPr>
                <w:rFonts w:ascii="Arial" w:cs="Arial" w:eastAsia="Arial" w:hAnsi="Arial"/>
                <w:sz w:val="18"/>
                <w:szCs w:val="18"/>
                <w:b w:val="1"/>
                <w:bCs w:val="1"/>
                <w:color w:val="auto"/>
              </w:rPr>
              <w:t>(702) 770-7555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3800" w:type="dxa"/>
            <w:vAlign w:val="bottom"/>
          </w:tcPr>
          <w:p>
            <w:pPr>
              <w:jc w:val="center"/>
              <w:ind w:right="22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90805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80" w:type="dxa"/>
            <w:vAlign w:val="bottom"/>
          </w:tcPr>
          <w:p>
            <w:pPr>
              <w:spacing w:after="0"/>
              <w:rPr>
                <w:sz w:val="18"/>
                <w:szCs w:val="18"/>
                <w:color w:val="auto"/>
              </w:rPr>
            </w:pPr>
          </w:p>
        </w:tc>
        <w:tc>
          <w:tcPr>
            <w:tcW w:w="29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Trading Symbol(s)</w:t>
            </w:r>
          </w:p>
        </w:tc>
        <w:tc>
          <w:tcPr>
            <w:tcW w:w="5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91"/>
        </w:trPr>
        <w:tc>
          <w:tcPr>
            <w:tcW w:w="3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Common stock, par value $0.01</w:t>
            </w:r>
          </w:p>
        </w:tc>
        <w:tc>
          <w:tcPr>
            <w:tcW w:w="620" w:type="dxa"/>
            <w:vAlign w:val="bottom"/>
          </w:tcPr>
          <w:p>
            <w:pPr>
              <w:spacing w:after="0"/>
              <w:rPr>
                <w:sz w:val="24"/>
                <w:szCs w:val="24"/>
                <w:color w:val="auto"/>
              </w:rPr>
            </w:pPr>
          </w:p>
        </w:tc>
        <w:tc>
          <w:tcPr>
            <w:tcW w:w="2300" w:type="dxa"/>
            <w:vAlign w:val="bottom"/>
            <w:gridSpan w:val="2"/>
          </w:tcPr>
          <w:p>
            <w:pPr>
              <w:jc w:val="center"/>
              <w:ind w:right="900"/>
              <w:spacing w:after="0"/>
              <w:rPr>
                <w:sz w:val="20"/>
                <w:szCs w:val="20"/>
                <w:color w:val="auto"/>
              </w:rPr>
            </w:pPr>
            <w:r>
              <w:rPr>
                <w:rFonts w:ascii="Arial" w:cs="Arial" w:eastAsia="Arial" w:hAnsi="Arial"/>
                <w:sz w:val="18"/>
                <w:szCs w:val="18"/>
                <w:color w:val="auto"/>
              </w:rPr>
              <w:t>WYNN</w:t>
            </w:r>
          </w:p>
        </w:tc>
        <w:tc>
          <w:tcPr>
            <w:tcW w:w="880" w:type="dxa"/>
            <w:vAlign w:val="bottom"/>
          </w:tcPr>
          <w:p>
            <w:pPr>
              <w:spacing w:after="0"/>
              <w:rPr>
                <w:sz w:val="24"/>
                <w:szCs w:val="24"/>
                <w:color w:val="auto"/>
              </w:rPr>
            </w:pPr>
          </w:p>
        </w:tc>
        <w:tc>
          <w:tcPr>
            <w:tcW w:w="4300" w:type="dxa"/>
            <w:vAlign w:val="bottom"/>
            <w:gridSpan w:val="2"/>
          </w:tcPr>
          <w:p>
            <w:pPr>
              <w:jc w:val="center"/>
              <w:ind w:right="940"/>
              <w:spacing w:after="0"/>
              <w:rPr>
                <w:sz w:val="20"/>
                <w:szCs w:val="20"/>
                <w:color w:val="auto"/>
              </w:rPr>
            </w:pPr>
            <w:r>
              <w:rPr>
                <w:rFonts w:ascii="Arial" w:cs="Arial" w:eastAsia="Arial" w:hAnsi="Arial"/>
                <w:sz w:val="18"/>
                <w:szCs w:val="18"/>
                <w:color w:val="auto"/>
                <w:w w:val="90"/>
              </w:rPr>
              <w:t>Nasdaq Global Select Market</w:t>
            </w:r>
          </w:p>
        </w:tc>
      </w:tr>
      <w:tr>
        <w:trPr>
          <w:trHeight w:val="304"/>
        </w:trPr>
        <w:tc>
          <w:tcPr>
            <w:tcW w:w="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90"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16"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14d-2(b) under the Exchange Act (17 CFR 240.14d-2(b))</w:t>
      </w:r>
    </w:p>
    <w:p>
      <w:pPr>
        <w:spacing w:after="0" w:line="16"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8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August 6, 2019, Wynn Resorts, Limited issued a press release announcing its results of operations for the quarter ended June 30, 2019.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3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August 6, 2019, the Company announced a cash dividend of $1.00 per share, payable on August 27, 2019 to stockholders of record as of August 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5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August 6, 2019, of Wynn Resorts, Limited.</w:t>
              </w:r>
            </w:hyperlink>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Second Quarter 2019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 VEGAS, August 6, 2019 — Wynn Resorts, Limited (NASDAQ: WYNN) (the "Company") today reported financial results for the quarter ended June 30, 2019.</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were pleased to deliver year-over-year revenue growth at all of our properties in the second quarter, with particular strength in our core mass business in Macau and REVPAR in Las Vegas," said Matt Maddox, CEO of Wynn Resorts, Limited. "On the development front, we have made meaningful progress designing and planning the Crystal Pavilion in Macau, which we believe will be a 'must-see' tourism destination on Cotai. We also achieved a significant milestone during the quarter with the successful opening of Encore Boston Harbor, the East Coast’s first premium integrated resort, on June 23. Importantly, the opening of Encore Boston Harbor drives a reduction in our near-term capital expenditures and improvement in our discretionary free cash flow profile. We are also pleased to announce a $1.00 per share dividend for the quarter, consistent with our strategy of capital return to shareholders. We remain excited about the outlook for the Company and we will continue to focus on leveraging our premium-focused business model to drive long-term returns for shareholders."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revenues were $1.66 billion for the second quarter of 2019, an increase of 3.3%, or $52.9 million, from $1.61 billion for the second quarter of 2018. Operating revenues increased $8.3 million, $3.2 million, and $22.6 million at Wynn Palace, Wynn Macau, and our Las Vegas Operations, respectively, from the second quarter of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 U.S. generally accepted accounting principles ("GAAP") basis, net income attributable to Wynn Resorts, Limited was $94.6 million, or $0.88 per diluted share, for the second quarter of 2019, compared to $155.8 million, or $1.44 per diluted share, in the second quarter of 2018. The change was primarily due to an increase in pre-opening expenses related to the development of Encore Boston Harbor. Adjusted net income attributable to Wynn Resorts, Limited (1) was $153.9 million, or $1.44 per diluted share, for the second quarter of 2019, compared to $166.2 million, or $1.53 per diluted share, for the second quarter of 2018.</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Property EBITDA (2) was $480.6 million for the second quarter of 2019, an increase of 0.9%, or $4.2 million, from $476.4 million for the second quarter of 2018. Adjusted Property EBITDA increased $2.9 million and $13.2 million at Wynn Macau and our Las Vegas Operations, respectively, and decreased $12.1 million at Wynn Palace.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$1.00 per share, payable on August 27, 2019 to stockholders of record as of August 16,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revenues from Wynn Palace were $628.9 million for the second quarter of 2019, a 1.3% increase from $620.6 million for the second quarter of 2018. Adjusted Property EBITDA from Wynn Palace was $167.2 million for the second quarter of 2019, a 6.8% decrease from $179.3 million for the second quarter of 2018.</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Casino revenues from Wynn Palace were $528.5 million for the second quarter of 2019, a 0.7% increase from $525.0 million for the second quarter of 2018. Table games turnover in VIP operations was $13.39 billion, a 4.6% decrease from $14.03 billion for the second quarter of 2018. VIP table games win as a percentage of turnover was 3.02%, above the expected range of 2.7% to 3.0% and above the 3.00% experienced in the second quarter of 2018. Table drop in mass market operations was $1.27 billion, a 4.0% increase from $1.22 billion in the second quarter of 2018. Table games win in mass market operations was $296.9 million, a 5.8% increase from $280.6 million for the second quarter of 2018. Table games win percentage in mass market operations was 23.4%, above the 23.0% experienced in the second quarter of 2018. Slot machine handle was $937.8 million, a 0.3% decrease from $941.0 million for the second quarter of 2018. Slot machine win decreased 1.4% to $43.6 million for the second quarter of 2019, compared to $44.2 million for the second quarter of 2018.</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Non-casino revenues from Wynn Palace were $100.4 million for the second quarter of 2019, a 5.0% increase from $95.6 million for the second quarter of 2018. Room revenues were $43.2 million for the second quarter of 2019, a 6.0% increase from $40.7 million for the second quarter of 2018. Average daily rate ("ADR") was $265, a 4.1% increase from $254 for the second quarter of 2018. Occupancy increased to 97.4% for the second quarter of 2019, from 96.2% for the second quarter of 2018. Revenue per available room ("REVPAR") was $258, a 5.3% increase from $245 for the second quarter of 2018.</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Wynn Macau</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revenues from Wynn Macau were $546.5 million for the second quarter of 2019, a 0.6% increase from $543.3 million for the second quarter of 2018. Adjusted Property EBITDA was $175.9 million for the second quarter of 2019, a 1.7% increase from $172.9 million for the second quarter of 2018.</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Casino revenues from Wynn Macau were $481.2 million for the second quarter of 2019, a 1.7% increase from $473.3 million for the second quarter of 2018. Table games turnover in VIP operations was $9.28 billion, a 33.4% decrease from $13.93 billion for the second quarter of 2018. VIP table games win as a percentage of turnover was 3.30%, above the expected range of 2.7% to 3.0% and above the 2.56% experienced in the second quarter of 2018. Table drop in mass market operations was $1.35 billion, a 4.2% increase from $1.29 billion for the second quarter of 2018. Table games win in mass market operations was $279.1 million, a 10.7% increase from $252.0 million for the second quarter of 2018. Table games win percentage in mass market operations was 20.7%, above the 19.5% experienced in the second quarter of 2018. Slot machine handle was $925.8 million, a 3.9% decrease from $963.6 million for the second quarter of 2018. Slot machine win increased 5.9% to $42.8 million for the second quarter of 2019, compared to $40.4 million for the second quarter of 2018.</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Non-casino revenues from Wynn Macau were $65.3 million for the second quarter of 2019, a 6.8% decrease from $70.0 million for the second quarter of 2018. Room revenues were $26.5 million for the second quarter of 2019, a 2.2% decrease from $27.1 million for the second quarter of 2018. ADR was $281, a 3.2% increase from $272 for the second quarter of 2018. Occupancy decreased to 98.9% for the second quarter of 2019, from 99.4% for the same period of 2018. REVPAR was $278, a 2.6% increase from the second quarter of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revenues from our Las Vegas Operations were $464.1 million for the second quarter of 2019, a 5.1% increase from $441.6 million for the second quarter of 2018. Adjusted Property EBITDA from our Las Vegas Operations was $137.4 million, a 10.7% increase from $124.2 million for the second quarter of 2018.</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Casino revenues from our Las Vegas Operations were $119.8 million for the second quarter of 2019, a 17.7% increase from $101.7 million for the second quarter of 2018. Table games drop was $440.8 million, a 9.2% increase from $403.7 million for the second quarter of 2018. Table games win was $126.4 million, a 25.2% increase from $101.0 million for the second quarter of 2018. Table games win percentage was 28.7%, above the property’s expected range of 22% to 26% and above the 25.0% experienced in the second quarter of 2018. Slot machine handle was $811.6 million, a 4.3% increase from $778.4 million for the second quarter of 2018. Slot machine win increased 11.6% to $55.1 million, compared to $49.4 million for the second quarter of 2018.</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Non-casino revenues from our Las Vegas Operations were $344.4 million for the second quarter of 2019, a 1.3% increase from $339.8 million for the second quarter of 2018. Room revenues were $127.6 million for the second quarter of 2019, a 7.9% increase from $118.3 million for the second quarter of 2018. ADR was $333, a 6.4% increase from $313 in the second quarter of 2018. Occupancy increased to 90.1% for the second quarter of 2019, from 87.7% for the second quarter of 2018. REVPAR was $300, a 9.5% increase from $274 for the second quarter of 2018. Food and beverage revenues decreased 3.3%, to $165.2 million for the second quarter of 2019, compared to $170.9 million for the second quarter of 2018. Entertainment, retail and other revenues increased 1.8%, to $51.6 million for the second quarter of 2019, compared to $50.7 million in the second quarter of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Boston Harbor</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23, 2019, the Company opened Encore Boston Harbor, an integrated resort in Everett, Massachusetts. Encore Boston Harbor features a luxury hotel tower with 671 guest rooms and suites, approximately 210,000 square feet of casino space, 14 food and beverage outlets, one nightclub, approximately 71,000 square feet of meeting and convention space, approximately 7,000 square feet of retail space, and public attractions, including a waterfront park, floral displays, and water shuttle service to downtown Boston. During its eight days of operations in the second quarter of 2019, Encore Boston Harbor's operating revenues were $18.8 million and Adjusted Property EBITDA was $0.1 million. The results of Encore Boston Harbor are presented within Corporate and other for the second quarter of 2019, and will be reported as a separate segment beginning in the third quarter of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constructing an approximately 430,000 square foot meeting and convention facility at Wynn Las Vegas and are reconfiguring the Wynn Las Vegas golf course, which we closed in the fourth quarter of 2017. The facility will feature approximately 217,000 square feet of state-of-the-art meeting and convention space available for group reservations. Based on current designs, we estimate the total project budget to be approximately $425 million. As of June 30, 2019, we have incurred $246.6 million in total project</w:t>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costs. We expect to reopen the golf course in the fourth quarter of 2019 and open the additional meeting and convention space in the first quarter of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and restricted cash as of June 30, 2019 totaled $1.51 billion.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current and long-term debt outstanding at June 30, 2019 was $9.15 billion, comprised of $3.71 billion of Macau related debt, $3.11 billion of Wynn Las Vegas debt, $983 million of Wynn America debt, $739 million of Wynn Resorts debt, and $611 million of debt held by the retail joint venture which we consolidate.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hold a conference call to discuss its results, including the results of Wynn Las Vegas, LLC, on August 6, 2019 at 1:30 p.m. PT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 Interested parties are invited to join the call by accessing a live audio webcast at http://www.wynnresorts.com.</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August 8, 2019, the Company will make Wynn Las Vegas, LLC financial information for the quarter ended June 30, 2019 available to noteholders, prospective investors, broker-dealers and securities analysts. Please contact our investor relations office at 702-770-7555 or at investorrelations@wynnresorts.com, to obtain access to such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controversy, regulatory action, litigation and investigations related to Stephen A. Wynn and his separation from the Company, extensive regulation of our business, pending or future claims and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2018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8"/>
        <w:spacing w:after="0" w:line="270" w:lineRule="auto"/>
        <w:tabs>
          <w:tab w:leader="none" w:pos="282" w:val="left"/>
        </w:tabs>
        <w:numPr>
          <w:ilvl w:val="0"/>
          <w:numId w:val="1"/>
        </w:numPr>
        <w:rPr>
          <w:rFonts w:ascii="Arial" w:cs="Arial" w:eastAsia="Arial" w:hAnsi="Arial"/>
          <w:sz w:val="17"/>
          <w:szCs w:val="17"/>
          <w:color w:val="auto"/>
        </w:rPr>
      </w:pPr>
      <w:r>
        <w:rPr>
          <w:rFonts w:ascii="Arial" w:cs="Arial" w:eastAsia="Arial" w:hAnsi="Arial"/>
          <w:sz w:val="17"/>
          <w:szCs w:val="17"/>
          <w:color w:val="auto"/>
        </w:rPr>
        <w:t>"Adjusted net income attributable to Wynn Resorts, Limited" is net income (loss) attributable to Wynn Resorts, Limited before litigation settlement expense, nonrecurring regulatory expense, pre-opening expenses, property charges and other, change in derivatives fair value, change in Redemption Note fair value, gain on extinguishment of debt, foreign currency remeasurement loss, net of noncontrolling interests and income taxes calculated using the specific tax treatment applicable to the adjustments based on their respective jurisdictions. Adjusted net income (loss) attributable to Wynn Resorts, Limited and adjusted net income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earnings per share computed in accordance with GAAP, as an additional basis for assessing period-to-period results of our business. Adjusted net income (loss) attributable to Wynn Resorts, Limited and adjusted net income (loss) attributable to Wynn Resorts, Limited per diluted share may be different from the calculation methods used by other companies and, therefore, comparability may be limited.</w:t>
      </w:r>
    </w:p>
    <w:p>
      <w:pPr>
        <w:sectPr>
          <w:pgSz w:w="11900" w:h="16838" w:orient="portrait"/>
          <w:cols w:equalWidth="0" w:num="1">
            <w:col w:w="11420"/>
          </w:cols>
          <w:pgMar w:left="240" w:top="584" w:right="239" w:bottom="1440" w:gutter="0" w:footer="0" w:header="0"/>
        </w:sectPr>
      </w:pPr>
    </w:p>
    <w:bookmarkStart w:id="6" w:name="page7"/>
    <w:bookmarkEnd w:id="6"/>
    <w:p>
      <w:pPr>
        <w:jc w:val="both"/>
        <w:ind w:firstLine="8"/>
        <w:spacing w:after="0" w:line="285"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(loss) before interest, income taxes, depreciation and amortization, litigation settlement expense, pre-opening expenses, property charges and other, management and license fees, corporate expenses and other, stock-based compensation, gain on extinguishment of debt, change in derivatives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Limited to adjusted net income attributable to Wynn Resorts, Limited, (ii) operating income (loss) to Adjusted Property EBITDA, and (iii) net income (loss) attributable to Wynn Resorts, Limited to Adjusted Property EBITDA.</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32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Casino</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1,142,503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1,100,027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2,327,604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2,342,166</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198,807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376,361</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218,022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214,867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391,241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387,089</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200,956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215,386</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b w:val="1"/>
                <w:bCs w:val="1"/>
                <w:color w:val="auto"/>
              </w:rPr>
              <w:t>Total operating revenues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1,658,332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1,605,424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3,309,878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3,321,002</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Casino</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724,987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707,194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1,475,058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1,471,595</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129,854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126,872</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182,080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168,296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330,841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305,954</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94,619</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202,224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183,631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419,546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353,216</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463,557</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9,003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21,541</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140,269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137,870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276,826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274,227</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11,842</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1,439,616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1,325,852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2,835,986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3,122,724</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218,716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279,572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473,892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198,278</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6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14,081</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(93,149)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(89,898)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(186,329)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(188,125)</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(69,331)</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11,715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5,357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(10,177)</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Other income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(78,473)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(172,233)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(251,223)</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140,243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195,578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301,659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(52,945)</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120,747</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142,234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205,280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301,965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67,802</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(116,353)</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94,551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155,756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199,423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(48,551)</w:t>
            </w:r>
          </w:p>
        </w:tc>
      </w:tr>
      <w:tr>
        <w:trPr>
          <w:trHeight w:val="67"/>
        </w:trPr>
        <w:tc>
          <w:tcPr>
            <w:tcW w:w="60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60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income (loss) per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43"/>
        </w:trPr>
        <w:tc>
          <w:tcPr>
            <w:tcW w:w="6040" w:type="dxa"/>
            <w:vAlign w:val="bottom"/>
          </w:tcPr>
          <w:p>
            <w:pPr>
              <w:ind w:left="7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70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106,876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107,792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106,834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105,195</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105,195</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w:t>
            </w:r>
          </w:p>
        </w:tc>
      </w:tr>
    </w:tbl>
    <w:p>
      <w:pPr>
        <w:sectPr>
          <w:pgSz w:w="11900" w:h="16838" w:orient="portrait"/>
          <w:cols w:equalWidth="0" w:num="1">
            <w:col w:w="11380"/>
          </w:cols>
          <w:pgMar w:left="260" w:top="580" w:right="259" w:bottom="1440" w:gutter="0" w:footer="0" w:header="0"/>
        </w:sectPr>
      </w:pPr>
    </w:p>
    <w:bookmarkStart w:id="8" w:name="page9"/>
    <w:bookmarkEnd w:id="8"/>
    <w:p>
      <w:pPr>
        <w:jc w:val="center"/>
        <w:ind w:left="260" w:right="1740"/>
        <w:spacing w:after="0" w:line="263" w:lineRule="auto"/>
        <w:rPr>
          <w:sz w:val="20"/>
          <w:szCs w:val="20"/>
          <w:color w:val="auto"/>
        </w:rPr>
      </w:pPr>
      <w:r>
        <w:rPr>
          <w:rFonts w:ascii="Arial" w:cs="Arial" w:eastAsia="Arial" w:hAnsi="Arial"/>
          <w:sz w:val="18"/>
          <w:szCs w:val="18"/>
          <w:b w:val="1"/>
          <w:bCs w:val="1"/>
          <w:color w:val="auto"/>
        </w:rPr>
        <w:t>WYNN RESORTS, LIMITED AND SUBSIDIARIES RECONCILIATION OF NET INCOME (LOSS) ATTRIBUTABLE TO WYNN RESORTS, LIMITED TO ADJUSTED NET INCOME ATTRIBUTABLE TO WYNN RESORTS, LIMITED (in thousands, except per share data)</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0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94,551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199,423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(48,551)</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Litigation settlement expense</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463,557</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regulatory expense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2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69,883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11,196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97,596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21,541</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11,842</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Change in derivatives fair value</w:t>
            </w:r>
          </w:p>
        </w:tc>
        <w:tc>
          <w:tcPr>
            <w:tcW w:w="2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69,331</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(2,329)</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remeasurement (gain) loss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10,177</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Income tax impact on adjustments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(117,386)</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 impact 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Adjusted net income attributable to Wynn Resorts, Limited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153,905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166,208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326,489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403,180</w:t>
            </w:r>
          </w:p>
        </w:tc>
      </w:tr>
      <w:tr>
        <w:trPr>
          <w:trHeight w:val="67"/>
        </w:trPr>
        <w:tc>
          <w:tcPr>
            <w:tcW w:w="60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56"/>
        </w:trPr>
        <w:tc>
          <w:tcPr>
            <w:tcW w:w="6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w w:val="91"/>
              </w:rPr>
              <w:t>Adjusted net income attributable to Wynn Resorts, Limited per diluted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107,141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108,405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107,089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105,812</w:t>
            </w:r>
          </w:p>
        </w:tc>
      </w:tr>
      <w:tr>
        <w:trPr>
          <w:trHeight w:val="27"/>
        </w:trPr>
        <w:tc>
          <w:tcPr>
            <w:tcW w:w="6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ectPr>
          <w:pgSz w:w="11900" w:h="16838" w:orient="portrait"/>
          <w:cols w:equalWidth="0" w:num="1">
            <w:col w:w="11400"/>
          </w:cols>
          <w:pgMar w:left="240" w:top="580"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8"/>
              </w:rPr>
              <w:t>Three Months Ended June 30, 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3"/>
                <w:szCs w:val="13"/>
                <w:color w:val="auto"/>
              </w:rPr>
            </w:pPr>
          </w:p>
        </w:tc>
        <w:tc>
          <w:tcPr>
            <w:tcW w:w="114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0"/>
              </w:rPr>
              <w:t>Pre-opening</w:t>
            </w:r>
          </w:p>
        </w:tc>
        <w:tc>
          <w:tcPr>
            <w:tcW w:w="128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3"/>
              </w:rPr>
              <w:t>Depreciation and</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2"/>
              </w:rPr>
              <w:t>Property charges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Management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6"/>
                <w:szCs w:val="16"/>
                <w:color w:val="auto"/>
              </w:rPr>
            </w:pPr>
          </w:p>
        </w:tc>
        <w:tc>
          <w:tcPr>
            <w:tcW w:w="11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and license fees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EBITDA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76,044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66,227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(1,409)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23,628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1,447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1,228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167,165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128,264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21,924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19,649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175,873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Macau</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200,621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89,267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43,277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3,634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343,038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60,207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44,237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6,274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21,457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1,584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137,399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(42,112)</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69,883</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6,765</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(64,734)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26,070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4,272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218,716</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69,883</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140,269</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6,930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35,295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9,490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480,583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8"/>
              </w:rPr>
              <w:t>Three Months Ended June 30, 2018</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3"/>
                <w:szCs w:val="13"/>
                <w:color w:val="auto"/>
              </w:rPr>
            </w:pPr>
          </w:p>
        </w:tc>
        <w:tc>
          <w:tcPr>
            <w:tcW w:w="114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2"/>
              </w:rPr>
              <w:t>Pre-opening</w:t>
            </w:r>
          </w:p>
        </w:tc>
        <w:tc>
          <w:tcPr>
            <w:tcW w:w="128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3"/>
              </w:rPr>
              <w:t>Depreciation and</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Property</w:t>
            </w:r>
          </w:p>
        </w:tc>
        <w:tc>
          <w:tcPr>
            <w:tcW w:w="100" w:type="dxa"/>
            <w:vAlign w:val="bottom"/>
          </w:tcPr>
          <w:p>
            <w:pPr>
              <w:spacing w:after="0"/>
              <w:rPr>
                <w:sz w:val="13"/>
                <w:szCs w:val="13"/>
                <w:color w:val="auto"/>
              </w:rPr>
            </w:pP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Management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4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charges and</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expenses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94"/>
              </w:rPr>
              <w:t>and license fees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8"/>
              </w:rPr>
              <w:t>compensation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EBITDA</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82,501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64,457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5,633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23,663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991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179,265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126,268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21,604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172,928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Macau</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(3,176)</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1,105</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205,593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87,166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6,408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44,151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2,783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352,193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51,150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47,579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20,299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996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124,157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22,829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11,194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(64,450)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19,785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5,563</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279,572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11,196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137,870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8,791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29,579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9,342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476,350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Six Months Ended June 30, 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Pre-opening</w:t>
            </w:r>
          </w:p>
        </w:tc>
        <w:tc>
          <w:tcPr>
            <w:tcW w:w="13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Depreciation and</w:t>
            </w:r>
          </w:p>
        </w:tc>
        <w:tc>
          <w:tcPr>
            <w:tcW w:w="11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3"/>
              </w:rPr>
              <w:t>Property charges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Management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6"/>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1"/>
              </w:rPr>
              <w:t>expenses</w:t>
            </w:r>
          </w:p>
        </w:tc>
        <w:tc>
          <w:tcPr>
            <w:tcW w:w="140" w:type="dxa"/>
            <w:vAlign w:val="bottom"/>
          </w:tcPr>
          <w:p>
            <w:pPr>
              <w:spacing w:after="0"/>
              <w:rPr>
                <w:sz w:val="16"/>
                <w:szCs w:val="16"/>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80" w:type="dxa"/>
            <w:vAlign w:val="bottom"/>
          </w:tcPr>
          <w:p>
            <w:pPr>
              <w:spacing w:after="0"/>
              <w:rPr>
                <w:sz w:val="16"/>
                <w:szCs w:val="16"/>
                <w:color w:val="auto"/>
              </w:rPr>
            </w:pP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11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and license fees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EBITDA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20" w:type="dxa"/>
            <w:vAlign w:val="bottom"/>
          </w:tcPr>
          <w:p>
            <w:pPr>
              <w:ind w:left="140"/>
              <w:spacing w:after="0"/>
              <w:rPr>
                <w:sz w:val="20"/>
                <w:szCs w:val="20"/>
                <w:color w:val="auto"/>
              </w:rPr>
            </w:pPr>
            <w:r>
              <w:rPr>
                <w:rFonts w:ascii="Arial" w:cs="Arial" w:eastAsia="Arial" w:hAnsi="Arial"/>
                <w:sz w:val="14"/>
                <w:szCs w:val="14"/>
                <w:color w:val="auto"/>
              </w:rPr>
              <w:t>Wynn Palace</w:t>
            </w: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201,835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132,293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(289)</w:t>
            </w:r>
          </w:p>
        </w:tc>
        <w:tc>
          <w:tcPr>
            <w:tcW w:w="20" w:type="dxa"/>
            <w:vAlign w:val="bottom"/>
          </w:tcPr>
          <w:p>
            <w:pPr>
              <w:spacing w:after="0"/>
              <w:rPr>
                <w:sz w:val="22"/>
                <w:szCs w:val="22"/>
                <w:color w:val="auto"/>
              </w:rPr>
            </w:pP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50,848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2,731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2,333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389,751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246,661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43,836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38,635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339,762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(6,990)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441,506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178,362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2,173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89,483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7,712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729,513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99,131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88,827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6,784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40,178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7,605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3,176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245,701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(66,745)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97,596</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9,637</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747</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(129,661)</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79,962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8,610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473,892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97,596</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276,826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9,704</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97,844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19,498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975,360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w w:val="92"/>
              </w:rPr>
              <w:t>Six Months Ended June 30,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Pre-opening</w:t>
            </w:r>
          </w:p>
        </w:tc>
        <w:tc>
          <w:tcPr>
            <w:tcW w:w="13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3"/>
              </w:rPr>
              <w:t>Depreciation and</w:t>
            </w:r>
          </w:p>
        </w:tc>
        <w:tc>
          <w:tcPr>
            <w:tcW w:w="80" w:type="dxa"/>
            <w:vAlign w:val="bottom"/>
          </w:tcPr>
          <w:p>
            <w:pPr>
              <w:spacing w:after="0"/>
              <w:rPr>
                <w:sz w:val="13"/>
                <w:szCs w:val="13"/>
                <w:color w:val="auto"/>
              </w:rPr>
            </w:pPr>
          </w:p>
        </w:tc>
        <w:tc>
          <w:tcPr>
            <w:tcW w:w="104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Property</w:t>
            </w:r>
          </w:p>
        </w:tc>
        <w:tc>
          <w:tcPr>
            <w:tcW w:w="100" w:type="dxa"/>
            <w:vAlign w:val="bottom"/>
          </w:tcPr>
          <w:p>
            <w:pPr>
              <w:spacing w:after="0"/>
              <w:rPr>
                <w:sz w:val="13"/>
                <w:szCs w:val="13"/>
                <w:color w:val="auto"/>
              </w:rPr>
            </w:pPr>
          </w:p>
        </w:tc>
        <w:tc>
          <w:tcPr>
            <w:tcW w:w="1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Management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charges and</w:t>
            </w:r>
          </w:p>
        </w:tc>
        <w:tc>
          <w:tcPr>
            <w:tcW w:w="1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expenses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8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220" w:type="dxa"/>
            <w:vAlign w:val="bottom"/>
            <w:gridSpan w:val="5"/>
          </w:tcPr>
          <w:p>
            <w:pPr>
              <w:ind w:left="60"/>
              <w:spacing w:after="0"/>
              <w:rPr>
                <w:sz w:val="20"/>
                <w:szCs w:val="20"/>
                <w:color w:val="auto"/>
              </w:rPr>
            </w:pPr>
            <w:r>
              <w:rPr>
                <w:rFonts w:ascii="Arial" w:cs="Arial" w:eastAsia="Arial" w:hAnsi="Arial"/>
                <w:sz w:val="14"/>
                <w:szCs w:val="14"/>
                <w:b w:val="1"/>
                <w:bCs w:val="1"/>
                <w:color w:val="auto"/>
              </w:rPr>
              <w:t>and license fees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 (1)</w:t>
            </w:r>
          </w:p>
        </w:tc>
        <w:tc>
          <w:tcPr>
            <w:tcW w:w="140" w:type="dxa"/>
            <w:vAlign w:val="bottom"/>
          </w:tcPr>
          <w:p>
            <w:pPr>
              <w:spacing w:after="0"/>
              <w:rPr>
                <w:sz w:val="16"/>
                <w:szCs w:val="16"/>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EBITDA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20" w:type="dxa"/>
            <w:vAlign w:val="bottom"/>
          </w:tcPr>
          <w:p>
            <w:pPr>
              <w:ind w:left="100"/>
              <w:spacing w:after="0"/>
              <w:rPr>
                <w:sz w:val="20"/>
                <w:szCs w:val="20"/>
                <w:color w:val="auto"/>
              </w:rPr>
            </w:pPr>
            <w:r>
              <w:rPr>
                <w:rFonts w:ascii="Arial" w:cs="Arial" w:eastAsia="Arial" w:hAnsi="Arial"/>
                <w:sz w:val="14"/>
                <w:szCs w:val="14"/>
                <w:color w:val="auto"/>
              </w:rPr>
              <w:t>Wynn Palace</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201,972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128,881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6,660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47,888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3,472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391,176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1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Wynn Macau</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285,729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43,774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43,854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382,750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Macau</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(7,146)</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Macau Operations</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480,555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174,866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8,212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91,742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12,098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6,453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773,926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760" w:type="dxa"/>
            <w:vAlign w:val="bottom"/>
            <w:gridSpan w:val="2"/>
          </w:tcPr>
          <w:p>
            <w:pPr>
              <w:ind w:left="40"/>
              <w:spacing w:after="0"/>
              <w:rPr>
                <w:sz w:val="20"/>
                <w:szCs w:val="20"/>
                <w:color w:val="auto"/>
              </w:rPr>
            </w:pPr>
            <w:r>
              <w:rPr>
                <w:rFonts w:ascii="Arial" w:cs="Arial" w:eastAsia="Arial" w:hAnsi="Arial"/>
                <w:sz w:val="14"/>
                <w:szCs w:val="14"/>
                <w:color w:val="auto"/>
              </w:rPr>
              <w:t>Las Vegas Operations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123,024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93,362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40,338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6,650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1,613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266,753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(405,301)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21,533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5,999</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1,872</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(132,080)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499,397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8,580</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00" w:type="dxa"/>
            <w:vAlign w:val="bottom"/>
            <w:gridSpan w:val="2"/>
          </w:tcPr>
          <w:p>
            <w:pPr>
              <w:ind w:left="120"/>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198,278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21,541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274,227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11,842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518,145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16,646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1,040,679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Corporate expenses and other includes the litigation settlement expense of $463.6 million in the first quarter of 2018.</w:t>
      </w:r>
    </w:p>
    <w:p>
      <w:pPr>
        <w:sectPr>
          <w:pgSz w:w="11900" w:h="16838" w:orient="portrait"/>
          <w:cols w:equalWidth="0" w:num="1">
            <w:col w:w="11420"/>
          </w:cols>
          <w:pgMar w:left="240" w:top="58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NET INCOME (LOSS) ATTRIBUTABLE TO WYNN RESORTS, LIMITED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ADJUSTED PROPERTY EBITDA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0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94,551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199,423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(48,551)</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47,683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49,524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102,542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116,353</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463,557</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2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69,883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11,196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97,596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21,541</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140,269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137,870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276,826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274,227</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8,791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9,704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11,842</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54,588</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9,490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9,342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19,498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16,646</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(14,081)</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93,149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89,898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186,329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188,125</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69,331</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10,177</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(120,747)</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Adjusted Property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480,583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476,350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975,360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1,040,679</w:t>
            </w:r>
          </w:p>
        </w:tc>
      </w:tr>
      <w:tr>
        <w:trPr>
          <w:trHeight w:val="27"/>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796" w:right="259" w:bottom="1440" w:gutter="0" w:footer="0" w:header="0"/>
        </w:sectPr>
      </w:pPr>
    </w:p>
    <w:bookmarkStart w:id="12" w:name="page13"/>
    <w:bookmarkEnd w:id="12"/>
    <w:p>
      <w:pPr>
        <w:jc w:val="center"/>
        <w:ind w:left="280" w:right="282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86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60"/>
              <w:spacing w:after="0"/>
              <w:rPr>
                <w:sz w:val="20"/>
                <w:szCs w:val="20"/>
                <w:color w:val="auto"/>
              </w:rPr>
            </w:pPr>
            <w:r>
              <w:rPr>
                <w:rFonts w:ascii="Arial" w:cs="Arial" w:eastAsia="Arial" w:hAnsi="Arial"/>
                <w:sz w:val="18"/>
                <w:szCs w:val="18"/>
                <w:b w:val="1"/>
                <w:bCs w:val="1"/>
                <w:color w:val="auto"/>
              </w:rPr>
              <w:t>Wynn Palace: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115</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13,388,646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14,029,065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26,015,909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29,414,898</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404,408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420,181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897,592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820,072</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39,827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40,036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44,464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39,289</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211</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1,267,153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1,218,863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2,571,076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2,436,064</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296,852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280,568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612,320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590,728</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15,232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14,632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15,929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15,482</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1,065</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937,842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940,972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1,912,890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1,999,068</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43,567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94,968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99,949</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518</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96.5%</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253</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244</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4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920" w:type="dxa"/>
            <w:vAlign w:val="bottom"/>
          </w:tcPr>
          <w:p>
            <w:pPr>
              <w:ind w:left="120"/>
              <w:spacing w:after="0"/>
              <w:rPr>
                <w:sz w:val="20"/>
                <w:szCs w:val="20"/>
                <w:color w:val="auto"/>
              </w:rPr>
            </w:pPr>
            <w:r>
              <w:rPr>
                <w:rFonts w:ascii="Arial" w:cs="Arial" w:eastAsia="Arial" w:hAnsi="Arial"/>
                <w:sz w:val="18"/>
                <w:szCs w:val="18"/>
                <w:b w:val="1"/>
                <w:bCs w:val="1"/>
                <w:color w:val="auto"/>
              </w:rPr>
              <w:t>Wynn Macau:</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113</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9,275,628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13,928,463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19,469,660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31,015,918</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305,809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357,166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601,107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802,355</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30,560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35,044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29,824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39,295</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203</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1,347,435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1,293,154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2,699,128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2,615,969</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279,127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252,038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543,669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508,519</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14,929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13,577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14,608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13,808</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930</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925,784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963,635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1,720,151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1,966,454</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42,815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40,426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82,191</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488</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282</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279</w:t>
            </w:r>
          </w:p>
        </w:tc>
      </w:tr>
    </w:tbl>
    <w:p>
      <w:pPr>
        <w:sectPr>
          <w:pgSz w:w="11900" w:h="16838" w:orient="portrait"/>
          <w:cols w:equalWidth="0" w:num="1">
            <w:col w:w="11400"/>
          </w:cols>
          <w:pgMar w:left="240" w:top="580" w:right="259" w:bottom="1440" w:gutter="0" w:footer="0" w:header="0"/>
        </w:sectPr>
      </w:pPr>
    </w:p>
    <w:bookmarkStart w:id="13" w:name="page14"/>
    <w:bookmarkEnd w:id="13"/>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0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237</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440,766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403,730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844,839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940,311</w:t>
            </w:r>
          </w:p>
        </w:tc>
      </w:tr>
      <w:tr>
        <w:trPr>
          <w:trHeight w:val="243"/>
        </w:trPr>
        <w:tc>
          <w:tcPr>
            <w:tcW w:w="558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126,395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100,987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237,765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255,420</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558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5,832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5,517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5,950</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1,825</w:t>
            </w:r>
          </w:p>
        </w:tc>
      </w:tr>
      <w:tr>
        <w:trPr>
          <w:trHeight w:val="243"/>
        </w:trPr>
        <w:tc>
          <w:tcPr>
            <w:tcW w:w="558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811,639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778,447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1,600,949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1,522,580</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55,128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109,672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98,681</w:t>
            </w:r>
          </w:p>
        </w:tc>
      </w:tr>
      <w:tr>
        <w:trPr>
          <w:trHeight w:val="243"/>
        </w:trPr>
        <w:tc>
          <w:tcPr>
            <w:tcW w:w="558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299</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326</w:t>
            </w:r>
          </w:p>
        </w:tc>
      </w:tr>
      <w:tr>
        <w:trPr>
          <w:trHeight w:val="243"/>
        </w:trPr>
        <w:tc>
          <w:tcPr>
            <w:tcW w:w="558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280</w:t>
            </w:r>
          </w:p>
        </w:tc>
      </w:tr>
    </w:tbl>
    <w:p>
      <w:pPr>
        <w:spacing w:after="0" w:line="265" w:lineRule="exact"/>
        <w:rPr>
          <w:sz w:val="20"/>
          <w:szCs w:val="20"/>
          <w:color w:val="auto"/>
        </w:rPr>
      </w:pPr>
    </w:p>
    <w:p>
      <w:pPr>
        <w:ind w:left="260" w:right="20" w:hanging="252"/>
        <w:spacing w:after="0" w:line="250"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60" w:hanging="252"/>
        <w:spacing w:after="0" w:line="24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260" w:hanging="198"/>
        <w:spacing w:after="0"/>
        <w:tabs>
          <w:tab w:leader="none" w:pos="260" w:val="left"/>
        </w:tabs>
        <w:numPr>
          <w:ilvl w:val="1"/>
          <w:numId w:val="3"/>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spacing w:after="0" w:line="1" w:lineRule="exact"/>
        <w:rPr>
          <w:rFonts w:ascii="Arial" w:cs="Arial" w:eastAsia="Arial" w:hAnsi="Arial"/>
          <w:sz w:val="14"/>
          <w:szCs w:val="14"/>
          <w:color w:val="auto"/>
        </w:rPr>
      </w:pPr>
    </w:p>
    <w:p>
      <w:pPr>
        <w:ind w:left="260" w:hanging="198"/>
        <w:spacing w:after="0"/>
        <w:tabs>
          <w:tab w:leader="none" w:pos="260" w:val="left"/>
        </w:tabs>
        <w:numPr>
          <w:ilvl w:val="1"/>
          <w:numId w:val="3"/>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(5) REVPAR is revenue per available room and is calculated by dividing total room revenues including complimentaries (less service charges, if any) by total rooms available.</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investorrelations@wynnresorts.com</w:t>
      </w:r>
    </w:p>
    <w:sectPr>
      <w:pgSz w:w="11900" w:h="16838" w:orient="portrait"/>
      <w:cols w:equalWidth="0" w:num="1">
        <w:col w:w="10219"/>
      </w:cols>
      <w:pgMar w:left="24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1"/>
    </w:lvl>
    <w:lvl w:ilvl="1">
      <w:lvlJc w:val="left"/>
      <w:lvlText w:val="(%2)"/>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2019-12-28T08:10:55Z</dcterms:created>
  <dcterms:modified xsi:type="dcterms:W3CDTF">2019-12-28T08:10:55Z</dcterms:modified>
</cp:coreProperties>
</file>