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415925</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281305</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November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259715</wp:posOffset>
            </wp:positionV>
            <wp:extent cx="21183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140" w:type="dxa"/>
            <w:vAlign w:val="bottom"/>
          </w:tcPr>
          <w:p>
            <w:pPr>
              <w:jc w:val="center"/>
              <w:ind w:right="1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4460" w:type="dxa"/>
            <w:vAlign w:val="bottom"/>
            <w:gridSpan w:val="2"/>
          </w:tcPr>
          <w:p>
            <w:pPr>
              <w:jc w:val="right"/>
              <w:ind w:right="1304"/>
              <w:spacing w:after="0"/>
              <w:rPr>
                <w:sz w:val="20"/>
                <w:szCs w:val="20"/>
                <w:color w:val="auto"/>
              </w:rPr>
            </w:pPr>
            <w:r>
              <w:rPr>
                <w:rFonts w:ascii="Arial" w:cs="Arial" w:eastAsia="Arial" w:hAnsi="Arial"/>
                <w:sz w:val="18"/>
                <w:szCs w:val="18"/>
                <w:b w:val="1"/>
                <w:bCs w:val="1"/>
                <w:color w:val="auto"/>
              </w:rPr>
              <w:t>000-50028</w:t>
            </w:r>
          </w:p>
        </w:tc>
        <w:tc>
          <w:tcPr>
            <w:tcW w:w="1260" w:type="dxa"/>
            <w:vAlign w:val="bottom"/>
          </w:tcPr>
          <w:p>
            <w:pPr>
              <w:spacing w:after="0"/>
              <w:rPr>
                <w:sz w:val="20"/>
                <w:szCs w:val="20"/>
                <w:color w:val="auto"/>
              </w:rPr>
            </w:pPr>
          </w:p>
        </w:tc>
        <w:tc>
          <w:tcPr>
            <w:tcW w:w="1520" w:type="dxa"/>
            <w:vAlign w:val="bottom"/>
          </w:tcPr>
          <w:p>
            <w:pPr>
              <w:jc w:val="center"/>
              <w:ind w:left="322"/>
              <w:spacing w:after="0"/>
              <w:rPr>
                <w:sz w:val="20"/>
                <w:szCs w:val="20"/>
                <w:color w:val="auto"/>
              </w:rPr>
            </w:pPr>
            <w:r>
              <w:rPr>
                <w:rFonts w:ascii="Arial" w:cs="Arial" w:eastAsia="Arial" w:hAnsi="Arial"/>
                <w:sz w:val="18"/>
                <w:szCs w:val="18"/>
                <w:b w:val="1"/>
                <w:bCs w:val="1"/>
                <w:color w:val="auto"/>
                <w:w w:val="91"/>
              </w:rPr>
              <w:t>46-0484987</w:t>
            </w:r>
          </w:p>
        </w:tc>
        <w:tc>
          <w:tcPr>
            <w:tcW w:w="0" w:type="dxa"/>
            <w:vAlign w:val="bottom"/>
          </w:tcPr>
          <w:p>
            <w:pPr>
              <w:spacing w:after="0"/>
              <w:rPr>
                <w:sz w:val="1"/>
                <w:szCs w:val="1"/>
                <w:color w:val="auto"/>
              </w:rPr>
            </w:pPr>
          </w:p>
        </w:tc>
      </w:tr>
      <w:tr>
        <w:trPr>
          <w:trHeight w:val="180"/>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(State or other jurisdiction of</w:t>
            </w:r>
          </w:p>
        </w:tc>
        <w:tc>
          <w:tcPr>
            <w:tcW w:w="1120" w:type="dxa"/>
            <w:vAlign w:val="bottom"/>
          </w:tcPr>
          <w:p>
            <w:pPr>
              <w:spacing w:after="0"/>
              <w:rPr>
                <w:sz w:val="15"/>
                <w:szCs w:val="15"/>
                <w:color w:val="auto"/>
              </w:rPr>
            </w:pPr>
          </w:p>
        </w:tc>
        <w:tc>
          <w:tcPr>
            <w:tcW w:w="4600" w:type="dxa"/>
            <w:vAlign w:val="bottom"/>
            <w:gridSpan w:val="2"/>
            <w:vMerge w:val="restart"/>
          </w:tcPr>
          <w:p>
            <w:pPr>
              <w:jc w:val="center"/>
              <w:ind w:right="1460"/>
              <w:spacing w:after="0"/>
              <w:rPr>
                <w:sz w:val="20"/>
                <w:szCs w:val="20"/>
                <w:color w:val="auto"/>
              </w:rPr>
            </w:pPr>
            <w:r>
              <w:rPr>
                <w:rFonts w:ascii="Arial" w:cs="Arial" w:eastAsia="Arial" w:hAnsi="Arial"/>
                <w:sz w:val="14"/>
                <w:szCs w:val="14"/>
                <w:b w:val="1"/>
                <w:bCs w:val="1"/>
                <w:color w:val="auto"/>
                <w:w w:val="93"/>
              </w:rPr>
              <w:t>(Commission File Number)</w:t>
            </w:r>
          </w:p>
        </w:tc>
        <w:tc>
          <w:tcPr>
            <w:tcW w:w="1520" w:type="dxa"/>
            <w:vAlign w:val="bottom"/>
          </w:tcPr>
          <w:p>
            <w:pPr>
              <w:jc w:val="center"/>
              <w:ind w:left="32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14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incorporation or organization)</w:t>
            </w:r>
          </w:p>
        </w:tc>
        <w:tc>
          <w:tcPr>
            <w:tcW w:w="1120" w:type="dxa"/>
            <w:vAlign w:val="bottom"/>
          </w:tcPr>
          <w:p>
            <w:pPr>
              <w:spacing w:after="0"/>
              <w:rPr>
                <w:sz w:val="16"/>
                <w:szCs w:val="16"/>
                <w:color w:val="auto"/>
              </w:rPr>
            </w:pPr>
          </w:p>
        </w:tc>
        <w:tc>
          <w:tcPr>
            <w:tcW w:w="4600" w:type="dxa"/>
            <w:vAlign w:val="bottom"/>
            <w:gridSpan w:val="2"/>
            <w:vMerge w:val="continue"/>
          </w:tcPr>
          <w:p>
            <w:pPr>
              <w:spacing w:after="0"/>
              <w:rPr>
                <w:sz w:val="16"/>
                <w:szCs w:val="16"/>
                <w:color w:val="auto"/>
              </w:rPr>
            </w:pPr>
          </w:p>
        </w:tc>
        <w:tc>
          <w:tcPr>
            <w:tcW w:w="1520" w:type="dxa"/>
            <w:vAlign w:val="bottom"/>
          </w:tcPr>
          <w:p>
            <w:pPr>
              <w:jc w:val="center"/>
              <w:ind w:left="32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5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2140" w:type="dxa"/>
            <w:vAlign w:val="bottom"/>
          </w:tcPr>
          <w:p>
            <w:pPr>
              <w:spacing w:after="0"/>
              <w:rPr>
                <w:sz w:val="24"/>
                <w:szCs w:val="24"/>
                <w:color w:val="auto"/>
              </w:rPr>
            </w:pPr>
          </w:p>
        </w:tc>
        <w:tc>
          <w:tcPr>
            <w:tcW w:w="4460" w:type="dxa"/>
            <w:vAlign w:val="bottom"/>
            <w:gridSpan w:val="2"/>
          </w:tcPr>
          <w:p>
            <w:pPr>
              <w:jc w:val="center"/>
              <w:ind w:left="1054"/>
              <w:spacing w:after="0"/>
              <w:rPr>
                <w:sz w:val="20"/>
                <w:szCs w:val="20"/>
                <w:color w:val="auto"/>
              </w:rPr>
            </w:pPr>
            <w:r>
              <w:rPr>
                <w:rFonts w:ascii="Arial" w:cs="Arial" w:eastAsia="Arial" w:hAnsi="Arial"/>
                <w:sz w:val="18"/>
                <w:szCs w:val="18"/>
                <w:b w:val="1"/>
                <w:bCs w:val="1"/>
                <w:color w:val="auto"/>
                <w:w w:val="90"/>
              </w:rPr>
              <w:t>(702) 770-7555</w:t>
            </w: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6"/>
              </w:rPr>
              <w:t>N/A</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57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spacing w:after="0" w:line="5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November 18, 2015, Wynn Resorts, Limited issued a press release commenting on the anticipated opening date of the Wynn Palace project in the Cotai area of Macau. A copy of the press release is furnished herewith as Exhibit 99.1. The information in this Form 8-K and the exhibit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Exhibits.</w:t>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0" w:lineRule="exact"/>
        <w:rPr>
          <w:sz w:val="20"/>
          <w:szCs w:val="20"/>
          <w:color w:val="auto"/>
        </w:rPr>
      </w:pPr>
    </w:p>
    <w:p>
      <w:pPr>
        <w:sectPr>
          <w:pgSz w:w="11900" w:h="16838" w:orient="portrait"/>
          <w:cols w:equalWidth="0" w:num="2">
            <w:col w:w="2280" w:space="720"/>
            <w:col w:w="8400"/>
          </w:cols>
          <w:pgMar w:left="240" w:top="1440" w:right="259" w:bottom="1440" w:gutter="0" w:footer="0" w:header="0"/>
          <w:type w:val="continuous"/>
        </w:sectPr>
      </w:pP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November 18, 2015, of Wynn Resorts, Limited</w:t>
      </w:r>
    </w:p>
    <w:p>
      <w:pPr>
        <w:sectPr>
          <w:pgSz w:w="11900" w:h="16838" w:orient="portrait"/>
          <w:cols w:equalWidth="0" w:num="2">
            <w:col w:w="2280" w:space="720"/>
            <w:col w:w="8400"/>
          </w:cols>
          <w:pgMar w:left="240" w:top="1440" w:right="259" w:bottom="1440" w:gutter="0" w:footer="0" w:header="0"/>
          <w:type w:val="continuous"/>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420" w:val="left"/>
          <w:tab w:leader="none" w:pos="7320" w:val="left"/>
        </w:tabs>
        <w:rPr>
          <w:sz w:val="20"/>
          <w:szCs w:val="20"/>
          <w:color w:val="auto"/>
        </w:rPr>
      </w:pPr>
      <w:r>
        <w:rPr>
          <w:rFonts w:ascii="Arial" w:cs="Arial" w:eastAsia="Arial" w:hAnsi="Arial"/>
          <w:sz w:val="18"/>
          <w:szCs w:val="18"/>
          <w:color w:val="auto"/>
        </w:rPr>
        <w:t>Dated: November 18,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0780"/>
          </w:cols>
          <w:pgMar w:left="240" w:top="796" w:right="879" w:bottom="1440" w:gutter="0" w:footer="0" w:header="0"/>
        </w:sectPr>
      </w:pPr>
    </w:p>
    <w:bookmarkStart w:id="3" w:name="page4"/>
    <w:bookmarkEnd w:id="3"/>
    <w:p>
      <w:pPr>
        <w:ind w:left="45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719"/>
          </w:cols>
          <w:pgMar w:left="740" w:top="7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0" w:lineRule="exact"/>
        <w:rPr>
          <w:sz w:val="20"/>
          <w:szCs w:val="20"/>
          <w:color w:val="auto"/>
        </w:rPr>
      </w:pPr>
    </w:p>
    <w:p>
      <w:pPr>
        <w:sectPr>
          <w:pgSz w:w="11900" w:h="16838" w:orient="portrait"/>
          <w:cols w:equalWidth="0" w:num="2">
            <w:col w:w="1380" w:space="720"/>
            <w:col w:w="7619"/>
          </w:cols>
          <w:pgMar w:left="740" w:top="796" w:right="1440" w:bottom="1440" w:gutter="0" w:footer="0" w:header="0"/>
          <w:type w:val="continuous"/>
        </w:sectPr>
      </w:pPr>
    </w:p>
    <w:p>
      <w:pPr>
        <w:spacing w:after="0" w:line="1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Press Release, dated November 18, 2015, of Wynn Resorts, Limited</w:t>
      </w:r>
    </w:p>
    <w:p>
      <w:pPr>
        <w:sectPr>
          <w:pgSz w:w="11900" w:h="16838" w:orient="portrait"/>
          <w:cols w:equalWidth="0" w:num="2">
            <w:col w:w="1380" w:space="720"/>
            <w:col w:w="7619"/>
          </w:cols>
          <w:pgMar w:left="740" w:top="796" w:right="1440"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Announces Revised Wynn Palace Opening Date</w:t>
      </w:r>
    </w:p>
    <w:p>
      <w:pPr>
        <w:spacing w:after="0" w:line="23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LAS VEGAS – November 18, 2015 – Wynn Resorts, Limited (NASDAQ: WYNN) announced it was notified today by its general contractor, Leighton Holdings Limited, that the Wynn Palace project in the Cotai area of Macau will not be ready to open by the projected early completion date of March 25, 2016. The revised opening date for the project is currently June 25, 2016.</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2014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SOURCE: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Wynn Resorts, Limited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Mark Strawn, Vice President, Investor Relations</w:t>
      </w:r>
    </w:p>
    <w:p>
      <w:pPr>
        <w:spacing w:after="0"/>
        <w:rPr>
          <w:sz w:val="20"/>
          <w:szCs w:val="20"/>
          <w:color w:val="auto"/>
        </w:rPr>
      </w:pPr>
      <w:r>
        <w:rPr>
          <w:rFonts w:ascii="Arial" w:cs="Arial" w:eastAsia="Arial" w:hAnsi="Arial"/>
          <w:sz w:val="20"/>
          <w:szCs w:val="20"/>
          <w:color w:val="auto"/>
        </w:rPr>
        <w:t>702-770-7555</w:t>
      </w:r>
    </w:p>
    <w:p>
      <w:pPr>
        <w:spacing w:after="0"/>
        <w:rPr>
          <w:sz w:val="20"/>
          <w:szCs w:val="20"/>
          <w:color w:val="auto"/>
        </w:rPr>
      </w:pPr>
      <w:r>
        <w:rPr>
          <w:rFonts w:ascii="Arial" w:cs="Arial" w:eastAsia="Arial" w:hAnsi="Arial"/>
          <w:sz w:val="20"/>
          <w:szCs w:val="20"/>
          <w:color w:val="auto"/>
        </w:rPr>
        <w:t>investorrelations@wynnresorts.com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Michael Weaver, Senior Vice President, Marketing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702-770-7501</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2019-12-08T01:18:23Z</dcterms:created>
  <dcterms:modified xsi:type="dcterms:W3CDTF">2019-12-08T01:18:23Z</dcterms:modified>
</cp:coreProperties>
</file>