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22, 2026</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70" w:type="dxa"/>
        <w:jc w:val="left"/>
        <w:tblInd w:w="0" w:type="dxa"/>
        <w:tblLayout w:type="fixed"/>
        <w:tblCellMar>
          <w:top w:w="28" w:type="dxa"/>
          <w:left w:w="28" w:type="dxa"/>
          <w:bottom w:w="28" w:type="dxa"/>
          <w:right w:w="28" w:type="dxa"/>
        </w:tblCellMar>
      </w:tblPr>
      <w:tblGrid>
        <w:gridCol w:w="332"/>
        <w:gridCol w:w="291"/>
        <w:gridCol w:w="293"/>
        <w:gridCol w:w="1126"/>
        <w:gridCol w:w="1126"/>
        <w:gridCol w:w="160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Indenture for 6.875% Senior Notes due 2035</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22, 2026, Wynn Resorts, Limited (the “Company”) announced that Wynn Resorts Finance, LLC (“WRF”) and its subsidiary, Wynn Resorts Capital Corp. (“Wynn Resorts Capital” and, together with WRF, the “Issuers”), each an indirect wholly-owned subsidiary of the Company, issued $900 million aggregate principal amount of 6.875% Senior Notes due 2035 (the “Notes”). The Notes were issued pursuant to an indenture (the “Indenture”), dated as of September 22, 2026, among the Issuers, the guarantors party thereto (the “Guarantors”) and U.S. Bank Trust Company, National Association, as trustee (the “Trustee”). The Notes were offered and sold in reliance on exemptions from the registration requirements of the Securities Act of 1933, as amended. The Notes will mature on March 15, 2035. Interest is payable in cash semi-annually on March 15 and September 15 of each year, beginning on March 15, 2027.</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net proceeds from this offering, together with cash on hand, will be used to (i) redeem in full Wynn Las Vegas, LLC and Wynn Las Vegas Capital Corp.’s outstanding 5.250% Senior Notes due 2027 (the "2027 WLV Notes") and (ii) pay fees and expenses related to the issuance of the Notes and the redemption of the 2027 WLV Notes.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Notes are jointly and severally guaranteed by all of WRF’s domestic subsidiaries that guarantee the Issuers’ existing senior secured credit facilities, except Wynn Resorts Capital, which is the co-issuer of the Notes, the Issuers’ 5.125% senior notes due 2029, the Issuers’ 7.125% senior notes due 2031 and the Issuers' 6.250% senior notes due 2033.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Issuers may redeem the Notes, in whole or in part, at any time or from time to time prior to September 15, 2029 at a redemption price equal to 100% of the aggregate principal amount of the Notes to be redeemed, plus a “make-whole” amount set forth in the Indenture, plus accrued and unpaid interest, if any, to, but not including, the redemption date.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or after September 15, 2029, the Issuers may redeem the Notes, in whole or in part, at the redemption prices set forth in the Indenture plus accrued and unpaid interest. The Notes are subject to disposition and redemption requirements imposed by gaming laws and regulations of applicable gaming regulatory authorities.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covenants that limit the ability of the Issuers and the guarantors to, among other things, (1) enter into sale-leaseback transactions, (2) create or incur liens to secure debt, and (3) merge, consolidate or sell all or substantially all of the Issuers’ assets. These covenants are subject to exceptions and qualifications set forth in the Indenture.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of a change of control triggering event, the Issuers must offer to repurchase the Notes at a repurchase price equal to 101% of the aggregate principal amount thereof plus any accrued and unpaid interest, to, but not including, the repurchase date.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also contains customary events of default, including (1) failure to make required payments, (2) failure to comply with certain covenants, (3) failure to pay certain other indebtedness, (4) certain events of bankruptcy and insolvency, and (5) failure to pay certain judgments. An event of default under the Indenture allows either the Trustee or the holders of at least 25% in aggregate principal amount of the Notes, as applicable, issued under such Indenture to accelerate the amounts due under the Notes, or in the case of a bankruptcy or insolvency, will automatically cause the acceleration of the amounts due under the Notes.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Indenture is qualified in its entirety by reference to the full text of the Indenture, which is filed herewith as Exhibit 4.1 and incorporated herein by reference.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before="0" w:after="0"/>
        <w:jc w:val="left"/>
        <w:rPr/>
      </w:pPr>
      <w:r>
        <w:rPr/>
      </w:r>
    </w:p>
    <w:tbl>
      <w:tblPr>
        <w:tblW w:w="9990" w:type="dxa"/>
        <w:jc w:val="left"/>
        <w:tblInd w:w="0" w:type="dxa"/>
        <w:tblLayout w:type="fixed"/>
        <w:tblCellMar>
          <w:top w:w="28" w:type="dxa"/>
          <w:left w:w="28" w:type="dxa"/>
          <w:bottom w:w="28" w:type="dxa"/>
          <w:right w:w="28" w:type="dxa"/>
        </w:tblCellMar>
      </w:tblPr>
      <w:tblGrid>
        <w:gridCol w:w="342"/>
        <w:gridCol w:w="301"/>
        <w:gridCol w:w="303"/>
        <w:gridCol w:w="2636"/>
        <w:gridCol w:w="2636"/>
        <w:gridCol w:w="377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1-wrf2035seniornotesind.htm">
              <w:r>
                <w:rPr>
                  <w:rStyle w:val="InternetLink"/>
                  <w:rFonts w:ascii="Times New Roman;serif" w:hAnsi="Times New Roman;serif"/>
                  <w:b w:val="false"/>
                  <w:color w:val="0000FF"/>
                  <w:sz w:val="20"/>
                  <w:u w:val="single"/>
                </w:rPr>
                <w:t>Indenture, dated September 22, 2026, among the Issuers, the Guarantors named therein and the Trustee</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50" w:type="dxa"/>
        <w:jc w:val="left"/>
        <w:tblInd w:w="0" w:type="dxa"/>
        <w:tblLayout w:type="fixed"/>
        <w:tblCellMar>
          <w:top w:w="28" w:type="dxa"/>
          <w:left w:w="28" w:type="dxa"/>
          <w:bottom w:w="28" w:type="dxa"/>
          <w:right w:w="28" w:type="dxa"/>
        </w:tblCellMar>
      </w:tblPr>
      <w:tblGrid>
        <w:gridCol w:w="254"/>
        <w:gridCol w:w="224"/>
        <w:gridCol w:w="226"/>
        <w:gridCol w:w="574"/>
        <w:gridCol w:w="574"/>
        <w:gridCol w:w="576"/>
        <w:gridCol w:w="109"/>
        <w:gridCol w:w="109"/>
        <w:gridCol w:w="109"/>
        <w:gridCol w:w="134"/>
        <w:gridCol w:w="134"/>
        <w:gridCol w:w="136"/>
        <w:gridCol w:w="109"/>
        <w:gridCol w:w="109"/>
        <w:gridCol w:w="109"/>
        <w:gridCol w:w="1102"/>
        <w:gridCol w:w="1102"/>
        <w:gridCol w:w="1560"/>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September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4.1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RESORTS FINANCE,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RESORTS CAPITAL CORP.,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joint and several obligors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EBH HOLDINGS,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GROUP ASIA,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EVERETT PROPERTY,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AMERICA GROUP,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LAS VEGAS HOLDINGS,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LAS VEGAS,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MA,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SUNRISE,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WYNN LAS VEGAS CAPITAL CORP.,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guarantors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6.875% SENIOR NOTES DUE 2035</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INDENTURE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September 22, 2026</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Trustee</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w:t>
      </w:r>
    </w:p>
    <w:tbl>
      <w:tblPr>
        <w:tblW w:w="8176" w:type="dxa"/>
        <w:jc w:val="left"/>
        <w:tblInd w:w="0" w:type="dxa"/>
        <w:tblLayout w:type="fixed"/>
        <w:tblCellMar>
          <w:top w:w="28" w:type="dxa"/>
          <w:left w:w="28" w:type="dxa"/>
          <w:bottom w:w="28" w:type="dxa"/>
          <w:right w:w="28" w:type="dxa"/>
        </w:tblCellMar>
      </w:tblPr>
      <w:tblGrid>
        <w:gridCol w:w="2820"/>
        <w:gridCol w:w="2481"/>
        <w:gridCol w:w="2484"/>
        <w:gridCol w:w="114"/>
        <w:gridCol w:w="114"/>
        <w:gridCol w:w="163"/>
      </w:tblGrid>
      <w:tr>
        <w:trPr/>
        <w:tc>
          <w:tcPr>
            <w:tcW w:w="2820"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9931c8577bd4afcbc7ba7a668e045ff">
              <w:r>
                <w:rPr>
                  <w:rStyle w:val="InternetLink"/>
                  <w:rFonts w:ascii="Times New Roman;serif" w:hAnsi="Times New Roman;serif"/>
                  <w:b w:val="false"/>
                  <w:strike w:val="false"/>
                  <w:dstrike w:val="false"/>
                  <w:color w:val="000000"/>
                  <w:sz w:val="24"/>
                  <w:u w:val="none"/>
                  <w:effect w:val="none"/>
                </w:rPr>
                <w:t>ARTICLE 1.</w:t>
                <w:br/>
                <w:t xml:space="preserve">DEFINITIONS AND INCORPORATION BY REFERENCE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9931c8577bd4afcbc7ba7a668e045ff">
              <w:r>
                <w:rPr>
                  <w:rStyle w:val="InternetLink"/>
                  <w:rFonts w:ascii="Times New Roman;serif" w:hAnsi="Times New Roman;serif"/>
                  <w:b w:val="false"/>
                  <w:strike w:val="false"/>
                  <w:dstrike w:val="false"/>
                  <w:color w:val="000000"/>
                  <w:sz w:val="24"/>
                  <w:u w:val="none"/>
                  <w:effect w:val="none"/>
                </w:rPr>
                <w:t>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44cbb04fb854b1ca737ac9be2b4d744">
              <w:r>
                <w:rPr>
                  <w:rStyle w:val="InternetLink"/>
                  <w:rFonts w:ascii="Times New Roman;serif" w:hAnsi="Times New Roman;serif"/>
                  <w:b w:val="false"/>
                  <w:strike w:val="false"/>
                  <w:dstrike w:val="false"/>
                  <w:color w:val="000000"/>
                  <w:sz w:val="24"/>
                  <w:u w:val="none"/>
                  <w:effect w:val="none"/>
                </w:rPr>
                <w:t>Section 1.01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4cbb04fb854b1ca737ac9be2b4d744">
              <w:r>
                <w:rPr>
                  <w:rStyle w:val="InternetLink"/>
                  <w:rFonts w:ascii="Times New Roman;serif" w:hAnsi="Times New Roman;serif"/>
                  <w:b w:val="false"/>
                  <w:strike w:val="false"/>
                  <w:dstrike w:val="false"/>
                  <w:color w:val="000000"/>
                  <w:sz w:val="24"/>
                  <w:u w:val="none"/>
                  <w:effect w:val="none"/>
                </w:rPr>
                <w:t>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24dbc44f3ae4ef9bc28a49b11ee36f4">
              <w:r>
                <w:rPr>
                  <w:rStyle w:val="InternetLink"/>
                  <w:rFonts w:ascii="Times New Roman;serif" w:hAnsi="Times New Roman;serif"/>
                  <w:b w:val="false"/>
                  <w:strike w:val="false"/>
                  <w:dstrike w:val="false"/>
                  <w:color w:val="000000"/>
                  <w:sz w:val="24"/>
                  <w:u w:val="none"/>
                  <w:effect w:val="none"/>
                </w:rPr>
                <w:t>Section 1.02    Other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dbc44f3ae4ef9bc28a49b11ee36f4">
              <w:r>
                <w:rPr>
                  <w:rStyle w:val="InternetLink"/>
                  <w:rFonts w:ascii="Times New Roman;serif" w:hAnsi="Times New Roman;serif"/>
                  <w:b w:val="false"/>
                  <w:strike w:val="false"/>
                  <w:dstrike w:val="false"/>
                  <w:color w:val="000000"/>
                  <w:sz w:val="24"/>
                  <w:u w:val="none"/>
                  <w:effect w:val="none"/>
                </w:rPr>
                <w:t>29</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58af10aa1144d7c82ebd3954c5d7a58">
              <w:r>
                <w:rPr>
                  <w:rStyle w:val="InternetLink"/>
                  <w:rFonts w:ascii="Times New Roman;serif" w:hAnsi="Times New Roman;serif"/>
                  <w:b w:val="false"/>
                  <w:strike w:val="false"/>
                  <w:dstrike w:val="false"/>
                  <w:color w:val="000000"/>
                  <w:sz w:val="24"/>
                  <w:u w:val="none"/>
                  <w:effect w:val="none"/>
                </w:rPr>
                <w:t>Section 1.03    Rules of Construction.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f10aa1144d7c82ebd3954c5d7a58">
              <w:r>
                <w:rPr>
                  <w:rStyle w:val="InternetLink"/>
                  <w:rFonts w:ascii="Times New Roman;serif" w:hAnsi="Times New Roman;serif"/>
                  <w:b w:val="false"/>
                  <w:strike w:val="false"/>
                  <w:dstrike w:val="false"/>
                  <w:color w:val="000000"/>
                  <w:sz w:val="24"/>
                  <w:u w:val="none"/>
                  <w:effect w:val="none"/>
                </w:rPr>
                <w:t>30</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665e87fa0e405f96a79f7342fcac95">
              <w:r>
                <w:rPr>
                  <w:rStyle w:val="InternetLink"/>
                  <w:rFonts w:ascii="Times New Roman;serif" w:hAnsi="Times New Roman;serif"/>
                  <w:b w:val="false"/>
                  <w:strike w:val="false"/>
                  <w:dstrike w:val="false"/>
                  <w:color w:val="000000"/>
                  <w:sz w:val="24"/>
                  <w:u w:val="none"/>
                  <w:effect w:val="none"/>
                </w:rPr>
                <w:t>ARTICLE 2.</w:t>
                <w:br/>
                <w:t xml:space="preserve">THE NOTES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b665e87fa0e405f96a79f7342fcac95">
              <w:r>
                <w:rPr>
                  <w:rStyle w:val="InternetLink"/>
                  <w:rFonts w:ascii="Times New Roman;serif" w:hAnsi="Times New Roman;serif"/>
                  <w:b w:val="false"/>
                  <w:strike w:val="false"/>
                  <w:dstrike w:val="false"/>
                  <w:color w:val="000000"/>
                  <w:sz w:val="24"/>
                  <w:u w:val="none"/>
                  <w:effect w:val="none"/>
                </w:rPr>
                <w:t>30</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29a3dff3a7c4af89289fdf35649d7d4">
              <w:r>
                <w:rPr>
                  <w:rStyle w:val="InternetLink"/>
                  <w:rFonts w:ascii="Times New Roman;serif" w:hAnsi="Times New Roman;serif"/>
                  <w:b w:val="false"/>
                  <w:strike w:val="false"/>
                  <w:dstrike w:val="false"/>
                  <w:color w:val="000000"/>
                  <w:sz w:val="24"/>
                  <w:u w:val="none"/>
                  <w:effect w:val="none"/>
                </w:rPr>
                <w:t>Section 2.01    Form and Dating.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9a3dff3a7c4af89289fdf35649d7d4">
              <w:r>
                <w:rPr>
                  <w:rStyle w:val="InternetLink"/>
                  <w:rFonts w:ascii="Times New Roman;serif" w:hAnsi="Times New Roman;serif"/>
                  <w:b w:val="false"/>
                  <w:strike w:val="false"/>
                  <w:dstrike w:val="false"/>
                  <w:color w:val="000000"/>
                  <w:sz w:val="24"/>
                  <w:u w:val="none"/>
                  <w:effect w:val="none"/>
                </w:rPr>
                <w:t>30</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43e782bf42d44eb846f5be27f15c0c9">
              <w:r>
                <w:rPr>
                  <w:rStyle w:val="InternetLink"/>
                  <w:rFonts w:ascii="Times New Roman;serif" w:hAnsi="Times New Roman;serif"/>
                  <w:b w:val="false"/>
                  <w:strike w:val="false"/>
                  <w:dstrike w:val="false"/>
                  <w:color w:val="000000"/>
                  <w:sz w:val="24"/>
                  <w:u w:val="none"/>
                  <w:effect w:val="none"/>
                </w:rPr>
                <w:t>Section 2.02    Execution and Authentication.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3e782bf42d44eb846f5be27f15c0c9">
              <w:r>
                <w:rPr>
                  <w:rStyle w:val="InternetLink"/>
                  <w:rFonts w:ascii="Times New Roman;serif" w:hAnsi="Times New Roman;serif"/>
                  <w:b w:val="false"/>
                  <w:strike w:val="false"/>
                  <w:dstrike w:val="false"/>
                  <w:color w:val="000000"/>
                  <w:sz w:val="24"/>
                  <w:u w:val="none"/>
                  <w:effect w:val="none"/>
                </w:rPr>
                <w:t>32</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14e76f57866452ea0dd87a0e014c0a6">
              <w:r>
                <w:rPr>
                  <w:rStyle w:val="InternetLink"/>
                  <w:rFonts w:ascii="Times New Roman;serif" w:hAnsi="Times New Roman;serif"/>
                  <w:b w:val="false"/>
                  <w:strike w:val="false"/>
                  <w:dstrike w:val="false"/>
                  <w:color w:val="000000"/>
                  <w:sz w:val="24"/>
                  <w:u w:val="none"/>
                  <w:effect w:val="none"/>
                </w:rPr>
                <w:t>Section 2.03    Registrar and Paying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4e76f57866452ea0dd87a0e014c0a6">
              <w:r>
                <w:rPr>
                  <w:rStyle w:val="InternetLink"/>
                  <w:rFonts w:ascii="Times New Roman;serif" w:hAnsi="Times New Roman;serif"/>
                  <w:b w:val="false"/>
                  <w:strike w:val="false"/>
                  <w:dstrike w:val="false"/>
                  <w:color w:val="000000"/>
                  <w:sz w:val="24"/>
                  <w:u w:val="none"/>
                  <w:effect w:val="none"/>
                </w:rPr>
                <w:t>32</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bec2ec8277846528cc8160308fc552a">
              <w:r>
                <w:rPr>
                  <w:rStyle w:val="InternetLink"/>
                  <w:rFonts w:ascii="Times New Roman;serif" w:hAnsi="Times New Roman;serif"/>
                  <w:b w:val="false"/>
                  <w:strike w:val="false"/>
                  <w:dstrike w:val="false"/>
                  <w:color w:val="000000"/>
                  <w:sz w:val="24"/>
                  <w:u w:val="none"/>
                  <w:effect w:val="none"/>
                </w:rPr>
                <w:t>Section 2.04    Paying Agent to Hold Money in Trust.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ec2ec8277846528cc8160308fc552a">
              <w:r>
                <w:rPr>
                  <w:rStyle w:val="InternetLink"/>
                  <w:rFonts w:ascii="Times New Roman;serif" w:hAnsi="Times New Roman;serif"/>
                  <w:b w:val="false"/>
                  <w:strike w:val="false"/>
                  <w:dstrike w:val="false"/>
                  <w:color w:val="000000"/>
                  <w:sz w:val="24"/>
                  <w:u w:val="none"/>
                  <w:effect w:val="none"/>
                </w:rPr>
                <w:t>33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a8ce91c4e224e1da1c4fede9a77b87b">
              <w:r>
                <w:rPr>
                  <w:rStyle w:val="InternetLink"/>
                  <w:rFonts w:ascii="Times New Roman;serif" w:hAnsi="Times New Roman;serif"/>
                  <w:b w:val="false"/>
                  <w:strike w:val="false"/>
                  <w:dstrike w:val="false"/>
                  <w:color w:val="000000"/>
                  <w:sz w:val="24"/>
                  <w:u w:val="none"/>
                  <w:effect w:val="none"/>
                </w:rPr>
                <w:t>Section 2.05    Holder Lists.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8ce91c4e224e1da1c4fede9a77b87b">
              <w:r>
                <w:rPr>
                  <w:rStyle w:val="InternetLink"/>
                  <w:rFonts w:ascii="Times New Roman;serif" w:hAnsi="Times New Roman;serif"/>
                  <w:b w:val="false"/>
                  <w:strike w:val="false"/>
                  <w:dstrike w:val="false"/>
                  <w:color w:val="000000"/>
                  <w:sz w:val="24"/>
                  <w:u w:val="none"/>
                  <w:effect w:val="none"/>
                </w:rPr>
                <w:t>33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a45285083bd481696973216fe2d2d73">
              <w:r>
                <w:rPr>
                  <w:rStyle w:val="InternetLink"/>
                  <w:rFonts w:ascii="Times New Roman;serif" w:hAnsi="Times New Roman;serif"/>
                  <w:b w:val="false"/>
                  <w:strike w:val="false"/>
                  <w:dstrike w:val="false"/>
                  <w:color w:val="000000"/>
                  <w:sz w:val="24"/>
                  <w:u w:val="none"/>
                  <w:effect w:val="none"/>
                </w:rPr>
                <w:t>Section 2.06    Transfer and Exchange.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45285083bd481696973216fe2d2d73">
              <w:r>
                <w:rPr>
                  <w:rStyle w:val="InternetLink"/>
                  <w:rFonts w:ascii="Times New Roman;serif" w:hAnsi="Times New Roman;serif"/>
                  <w:b w:val="false"/>
                  <w:strike w:val="false"/>
                  <w:dstrike w:val="false"/>
                  <w:color w:val="000000"/>
                  <w:sz w:val="24"/>
                  <w:u w:val="none"/>
                  <w:effect w:val="none"/>
                </w:rPr>
                <w:t>33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2d72e085f7549bb90ac62f5aae11cf0">
              <w:r>
                <w:rPr>
                  <w:rStyle w:val="InternetLink"/>
                  <w:rFonts w:ascii="Times New Roman;serif" w:hAnsi="Times New Roman;serif"/>
                  <w:b w:val="false"/>
                  <w:strike w:val="false"/>
                  <w:dstrike w:val="false"/>
                  <w:color w:val="000000"/>
                  <w:sz w:val="24"/>
                  <w:u w:val="none"/>
                  <w:effect w:val="none"/>
                </w:rPr>
                <w:t>Section 2.07    Replacement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d72e085f7549bb90ac62f5aae11cf0">
              <w:r>
                <w:rPr>
                  <w:rStyle w:val="InternetLink"/>
                  <w:rFonts w:ascii="Times New Roman;serif" w:hAnsi="Times New Roman;serif"/>
                  <w:b w:val="false"/>
                  <w:strike w:val="false"/>
                  <w:dstrike w:val="false"/>
                  <w:color w:val="000000"/>
                  <w:sz w:val="24"/>
                  <w:u w:val="none"/>
                  <w:effect w:val="none"/>
                </w:rPr>
                <w:t>45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0459d8d9c174abca638b696e6bc4c6f">
              <w:r>
                <w:rPr>
                  <w:rStyle w:val="InternetLink"/>
                  <w:rFonts w:ascii="Times New Roman;serif" w:hAnsi="Times New Roman;serif"/>
                  <w:b w:val="false"/>
                  <w:strike w:val="false"/>
                  <w:dstrike w:val="false"/>
                  <w:color w:val="000000"/>
                  <w:sz w:val="24"/>
                  <w:u w:val="none"/>
                  <w:effect w:val="none"/>
                </w:rPr>
                <w:t>Section 2.08    Outstanding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459d8d9c174abca638b696e6bc4c6f">
              <w:r>
                <w:rPr>
                  <w:rStyle w:val="InternetLink"/>
                  <w:rFonts w:ascii="Times New Roman;serif" w:hAnsi="Times New Roman;serif"/>
                  <w:b w:val="false"/>
                  <w:strike w:val="false"/>
                  <w:dstrike w:val="false"/>
                  <w:color w:val="000000"/>
                  <w:sz w:val="24"/>
                  <w:u w:val="none"/>
                  <w:effect w:val="none"/>
                </w:rPr>
                <w:t>46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b4658e58f30454684c71c516a8c696e">
              <w:r>
                <w:rPr>
                  <w:rStyle w:val="InternetLink"/>
                  <w:rFonts w:ascii="Times New Roman;serif" w:hAnsi="Times New Roman;serif"/>
                  <w:b w:val="false"/>
                  <w:strike w:val="false"/>
                  <w:dstrike w:val="false"/>
                  <w:color w:val="000000"/>
                  <w:sz w:val="24"/>
                  <w:u w:val="none"/>
                  <w:effect w:val="none"/>
                </w:rPr>
                <w:t>Section 2.09    Treasury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4658e58f30454684c71c516a8c696e">
              <w:r>
                <w:rPr>
                  <w:rStyle w:val="InternetLink"/>
                  <w:rFonts w:ascii="Times New Roman;serif" w:hAnsi="Times New Roman;serif"/>
                  <w:b w:val="false"/>
                  <w:strike w:val="false"/>
                  <w:dstrike w:val="false"/>
                  <w:color w:val="000000"/>
                  <w:sz w:val="24"/>
                  <w:u w:val="none"/>
                  <w:effect w:val="none"/>
                </w:rPr>
                <w:t>46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f7cee53d5a14ad98b201e2a7948e9bd">
              <w:r>
                <w:rPr>
                  <w:rStyle w:val="InternetLink"/>
                  <w:rFonts w:ascii="Times New Roman;serif" w:hAnsi="Times New Roman;serif"/>
                  <w:b w:val="false"/>
                  <w:strike w:val="false"/>
                  <w:dstrike w:val="false"/>
                  <w:color w:val="000000"/>
                  <w:sz w:val="24"/>
                  <w:u w:val="none"/>
                  <w:effect w:val="none"/>
                </w:rPr>
                <w:t>Section 2.10    Temporary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7cee53d5a14ad98b201e2a7948e9bd">
              <w:r>
                <w:rPr>
                  <w:rStyle w:val="InternetLink"/>
                  <w:rFonts w:ascii="Times New Roman;serif" w:hAnsi="Times New Roman;serif"/>
                  <w:b w:val="false"/>
                  <w:strike w:val="false"/>
                  <w:dstrike w:val="false"/>
                  <w:color w:val="000000"/>
                  <w:sz w:val="24"/>
                  <w:u w:val="none"/>
                  <w:effect w:val="none"/>
                </w:rPr>
                <w:t>46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118b26d6d38428a9a94c12517c3a752">
              <w:r>
                <w:rPr>
                  <w:rStyle w:val="InternetLink"/>
                  <w:rFonts w:ascii="Times New Roman;serif" w:hAnsi="Times New Roman;serif"/>
                  <w:b w:val="false"/>
                  <w:strike w:val="false"/>
                  <w:dstrike w:val="false"/>
                  <w:color w:val="000000"/>
                  <w:sz w:val="24"/>
                  <w:u w:val="none"/>
                  <w:effect w:val="none"/>
                </w:rPr>
                <w:t>Section 2.11    Cancellation.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8b26d6d38428a9a94c12517c3a752">
              <w:r>
                <w:rPr>
                  <w:rStyle w:val="InternetLink"/>
                  <w:rFonts w:ascii="Times New Roman;serif" w:hAnsi="Times New Roman;serif"/>
                  <w:b w:val="false"/>
                  <w:strike w:val="false"/>
                  <w:dstrike w:val="false"/>
                  <w:color w:val="000000"/>
                  <w:sz w:val="24"/>
                  <w:u w:val="none"/>
                  <w:effect w:val="none"/>
                </w:rPr>
                <w:t>47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c283e962bad49e1b7695a45513a3b4b">
              <w:r>
                <w:rPr>
                  <w:rStyle w:val="InternetLink"/>
                  <w:rFonts w:ascii="Times New Roman;serif" w:hAnsi="Times New Roman;serif"/>
                  <w:b w:val="false"/>
                  <w:strike w:val="false"/>
                  <w:dstrike w:val="false"/>
                  <w:color w:val="000000"/>
                  <w:sz w:val="24"/>
                  <w:u w:val="none"/>
                  <w:effect w:val="none"/>
                </w:rPr>
                <w:t>Section 2.12    Defaulted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283e962bad49e1b7695a45513a3b4b">
              <w:r>
                <w:rPr>
                  <w:rStyle w:val="InternetLink"/>
                  <w:rFonts w:ascii="Times New Roman;serif" w:hAnsi="Times New Roman;serif"/>
                  <w:b w:val="false"/>
                  <w:strike w:val="false"/>
                  <w:dstrike w:val="false"/>
                  <w:color w:val="000000"/>
                  <w:sz w:val="24"/>
                  <w:u w:val="none"/>
                  <w:effect w:val="none"/>
                </w:rPr>
                <w:t>47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0d7e94ff78c64927950c20c7ddf57c21">
              <w:r>
                <w:rPr>
                  <w:rStyle w:val="InternetLink"/>
                  <w:rFonts w:ascii="Times New Roman;serif" w:hAnsi="Times New Roman;serif"/>
                  <w:b w:val="false"/>
                  <w:strike w:val="false"/>
                  <w:dstrike w:val="false"/>
                  <w:color w:val="000000"/>
                  <w:sz w:val="24"/>
                  <w:u w:val="none"/>
                  <w:effect w:val="none"/>
                </w:rPr>
                <w:t>Section 2.13    Issuance of Additional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7e94ff78c64927950c20c7ddf57c21">
              <w:r>
                <w:rPr>
                  <w:rStyle w:val="InternetLink"/>
                  <w:rFonts w:ascii="Times New Roman;serif" w:hAnsi="Times New Roman;serif"/>
                  <w:b w:val="false"/>
                  <w:strike w:val="false"/>
                  <w:dstrike w:val="false"/>
                  <w:color w:val="000000"/>
                  <w:sz w:val="24"/>
                  <w:u w:val="none"/>
                  <w:effect w:val="none"/>
                </w:rPr>
                <w:t>47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aa84fbb8e404e079fe2b900d5e1f332">
              <w:r>
                <w:rPr>
                  <w:rStyle w:val="InternetLink"/>
                  <w:rFonts w:ascii="Times New Roman;serif" w:hAnsi="Times New Roman;serif"/>
                  <w:b w:val="false"/>
                  <w:strike w:val="false"/>
                  <w:dstrike w:val="false"/>
                  <w:color w:val="000000"/>
                  <w:sz w:val="24"/>
                  <w:u w:val="none"/>
                  <w:effect w:val="none"/>
                </w:rPr>
                <w:t>ARTICLE 3.</w:t>
                <w:br/>
                <w:t xml:space="preserve">REDEMPTION AND PREPAYMENT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a84fbb8e404e079fe2b900d5e1f332">
              <w:r>
                <w:rPr>
                  <w:rStyle w:val="InternetLink"/>
                  <w:rFonts w:ascii="Times New Roman;serif" w:hAnsi="Times New Roman;serif"/>
                  <w:b w:val="false"/>
                  <w:strike w:val="false"/>
                  <w:dstrike w:val="false"/>
                  <w:color w:val="000000"/>
                  <w:sz w:val="24"/>
                  <w:u w:val="none"/>
                  <w:effect w:val="none"/>
                </w:rPr>
                <w:t>48</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2ac02105c22f4340897c695648194b4c">
              <w:r>
                <w:rPr>
                  <w:rStyle w:val="InternetLink"/>
                  <w:rFonts w:ascii="Times New Roman;serif" w:hAnsi="Times New Roman;serif"/>
                  <w:b w:val="false"/>
                  <w:strike w:val="false"/>
                  <w:dstrike w:val="false"/>
                  <w:color w:val="000000"/>
                  <w:sz w:val="24"/>
                  <w:u w:val="none"/>
                  <w:effect w:val="none"/>
                </w:rPr>
                <w:t>Section 3.01    Notices to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02105c22f4340897c695648194b4c">
              <w:r>
                <w:rPr>
                  <w:rStyle w:val="InternetLink"/>
                  <w:rFonts w:ascii="Times New Roman;serif" w:hAnsi="Times New Roman;serif"/>
                  <w:b w:val="false"/>
                  <w:strike w:val="false"/>
                  <w:dstrike w:val="false"/>
                  <w:color w:val="000000"/>
                  <w:sz w:val="24"/>
                  <w:u w:val="none"/>
                  <w:effect w:val="none"/>
                </w:rPr>
                <w:t>48</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9b58536c27e43c98804447c30380328">
              <w:r>
                <w:rPr>
                  <w:rStyle w:val="InternetLink"/>
                  <w:rFonts w:ascii="Times New Roman;serif" w:hAnsi="Times New Roman;serif"/>
                  <w:b w:val="false"/>
                  <w:strike w:val="false"/>
                  <w:dstrike w:val="false"/>
                  <w:color w:val="000000"/>
                  <w:sz w:val="24"/>
                  <w:u w:val="none"/>
                  <w:effect w:val="none"/>
                </w:rPr>
                <w:t>Section 3.02    Selection of Notes to Be Redeemed or Purchased.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b58536c27e43c98804447c30380328">
              <w:r>
                <w:rPr>
                  <w:rStyle w:val="InternetLink"/>
                  <w:rFonts w:ascii="Times New Roman;serif" w:hAnsi="Times New Roman;serif"/>
                  <w:b w:val="false"/>
                  <w:strike w:val="false"/>
                  <w:dstrike w:val="false"/>
                  <w:color w:val="000000"/>
                  <w:sz w:val="24"/>
                  <w:u w:val="none"/>
                  <w:effect w:val="none"/>
                </w:rPr>
                <w:t>48</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69b969e701343a0b7508f9593c6dfb6">
              <w:r>
                <w:rPr>
                  <w:rStyle w:val="InternetLink"/>
                  <w:rFonts w:ascii="Times New Roman;serif" w:hAnsi="Times New Roman;serif"/>
                  <w:b w:val="false"/>
                  <w:strike w:val="false"/>
                  <w:dstrike w:val="false"/>
                  <w:color w:val="000000"/>
                  <w:sz w:val="24"/>
                  <w:u w:val="none"/>
                  <w:effect w:val="none"/>
                </w:rPr>
                <w:t>Section 3.03    Notice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9b969e701343a0b7508f9593c6dfb6">
              <w:r>
                <w:rPr>
                  <w:rStyle w:val="InternetLink"/>
                  <w:rFonts w:ascii="Times New Roman;serif" w:hAnsi="Times New Roman;serif"/>
                  <w:b w:val="false"/>
                  <w:strike w:val="false"/>
                  <w:dstrike w:val="false"/>
                  <w:color w:val="000000"/>
                  <w:sz w:val="24"/>
                  <w:u w:val="none"/>
                  <w:effect w:val="none"/>
                </w:rPr>
                <w:t>49</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b673f84dc474631a8c2247bcadb196c">
              <w:r>
                <w:rPr>
                  <w:rStyle w:val="InternetLink"/>
                  <w:rFonts w:ascii="Times New Roman;serif" w:hAnsi="Times New Roman;serif"/>
                  <w:b w:val="false"/>
                  <w:strike w:val="false"/>
                  <w:dstrike w:val="false"/>
                  <w:color w:val="000000"/>
                  <w:sz w:val="24"/>
                  <w:u w:val="none"/>
                  <w:effect w:val="none"/>
                </w:rPr>
                <w:t>Section 3.04    Effect of Notice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673f84dc474631a8c2247bcadb196c">
              <w:r>
                <w:rPr>
                  <w:rStyle w:val="InternetLink"/>
                  <w:rFonts w:ascii="Times New Roman;serif" w:hAnsi="Times New Roman;serif"/>
                  <w:b w:val="false"/>
                  <w:strike w:val="false"/>
                  <w:dstrike w:val="false"/>
                  <w:color w:val="000000"/>
                  <w:sz w:val="24"/>
                  <w:u w:val="none"/>
                  <w:effect w:val="none"/>
                </w:rPr>
                <w:t>50</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d1dcba4541b4d6cb7f183cf79b7d7b7">
              <w:r>
                <w:rPr>
                  <w:rStyle w:val="InternetLink"/>
                  <w:rFonts w:ascii="Times New Roman;serif" w:hAnsi="Times New Roman;serif"/>
                  <w:b w:val="false"/>
                  <w:strike w:val="false"/>
                  <w:dstrike w:val="false"/>
                  <w:color w:val="000000"/>
                  <w:sz w:val="24"/>
                  <w:u w:val="none"/>
                  <w:effect w:val="none"/>
                </w:rPr>
                <w:t>Section 3.05    Deposit of Redemption or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1dcba4541b4d6cb7f183cf79b7d7b7">
              <w:r>
                <w:rPr>
                  <w:rStyle w:val="InternetLink"/>
                  <w:rFonts w:ascii="Times New Roman;serif" w:hAnsi="Times New Roman;serif"/>
                  <w:b w:val="false"/>
                  <w:strike w:val="false"/>
                  <w:dstrike w:val="false"/>
                  <w:color w:val="000000"/>
                  <w:sz w:val="24"/>
                  <w:u w:val="none"/>
                  <w:effect w:val="none"/>
                </w:rPr>
                <w:t>50</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a3a415a57c1468ba3df0ef45d86e50e">
              <w:r>
                <w:rPr>
                  <w:rStyle w:val="InternetLink"/>
                  <w:rFonts w:ascii="Times New Roman;serif" w:hAnsi="Times New Roman;serif"/>
                  <w:b w:val="false"/>
                  <w:strike w:val="false"/>
                  <w:dstrike w:val="false"/>
                  <w:color w:val="000000"/>
                  <w:sz w:val="24"/>
                  <w:u w:val="none"/>
                  <w:effect w:val="none"/>
                </w:rPr>
                <w:t>Section 3.06    Notes Redeemed or Purchased in Part.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a415a57c1468ba3df0ef45d86e50e">
              <w:r>
                <w:rPr>
                  <w:rStyle w:val="InternetLink"/>
                  <w:rFonts w:ascii="Times New Roman;serif" w:hAnsi="Times New Roman;serif"/>
                  <w:b w:val="false"/>
                  <w:strike w:val="false"/>
                  <w:dstrike w:val="false"/>
                  <w:color w:val="000000"/>
                  <w:sz w:val="24"/>
                  <w:u w:val="none"/>
                  <w:effect w:val="none"/>
                </w:rPr>
                <w:t>51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1faa22dd518f4c3a97c10fad9cf72879">
              <w:r>
                <w:rPr>
                  <w:rStyle w:val="InternetLink"/>
                  <w:rFonts w:ascii="Times New Roman;serif" w:hAnsi="Times New Roman;serif"/>
                  <w:b w:val="false"/>
                  <w:strike w:val="false"/>
                  <w:dstrike w:val="false"/>
                  <w:color w:val="000000"/>
                  <w:sz w:val="24"/>
                  <w:u w:val="none"/>
                  <w:effect w:val="none"/>
                </w:rPr>
                <w:t>Section 3.07    Optional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aa22dd518f4c3a97c10fad9cf72879">
              <w:r>
                <w:rPr>
                  <w:rStyle w:val="InternetLink"/>
                  <w:rFonts w:ascii="Times New Roman;serif" w:hAnsi="Times New Roman;serif"/>
                  <w:b w:val="false"/>
                  <w:strike w:val="false"/>
                  <w:dstrike w:val="false"/>
                  <w:color w:val="000000"/>
                  <w:sz w:val="24"/>
                  <w:u w:val="none"/>
                  <w:effect w:val="none"/>
                </w:rPr>
                <w:t>51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c9e47f4540048099b46d53cf6ddfa9c">
              <w:r>
                <w:rPr>
                  <w:rStyle w:val="InternetLink"/>
                  <w:rFonts w:ascii="Times New Roman;serif" w:hAnsi="Times New Roman;serif"/>
                  <w:b w:val="false"/>
                  <w:strike w:val="false"/>
                  <w:dstrike w:val="false"/>
                  <w:color w:val="000000"/>
                  <w:sz w:val="24"/>
                  <w:u w:val="none"/>
                  <w:effect w:val="none"/>
                </w:rPr>
                <w:t>Section 3.08    Mandatory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9e47f4540048099b46d53cf6ddfa9c">
              <w:r>
                <w:rPr>
                  <w:rStyle w:val="InternetLink"/>
                  <w:rFonts w:ascii="Times New Roman;serif" w:hAnsi="Times New Roman;serif"/>
                  <w:b w:val="false"/>
                  <w:strike w:val="false"/>
                  <w:dstrike w:val="false"/>
                  <w:color w:val="000000"/>
                  <w:sz w:val="24"/>
                  <w:u w:val="none"/>
                  <w:effect w:val="none"/>
                </w:rPr>
                <w:t>52</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21b69a46af342719b154c9932870be6">
              <w:r>
                <w:rPr>
                  <w:rStyle w:val="InternetLink"/>
                  <w:rFonts w:ascii="Times New Roman;serif" w:hAnsi="Times New Roman;serif"/>
                  <w:b w:val="false"/>
                  <w:strike w:val="false"/>
                  <w:dstrike w:val="false"/>
                  <w:color w:val="000000"/>
                  <w:sz w:val="24"/>
                  <w:u w:val="none"/>
                  <w:effect w:val="none"/>
                </w:rPr>
                <w:t>Section 3.09    Mandatory Disposition or Redemption Pursuant to Gaming Laws.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1b69a46af342719b154c9932870be6">
              <w:r>
                <w:rPr>
                  <w:rStyle w:val="InternetLink"/>
                  <w:rFonts w:ascii="Times New Roman;serif" w:hAnsi="Times New Roman;serif"/>
                  <w:b w:val="false"/>
                  <w:strike w:val="false"/>
                  <w:dstrike w:val="false"/>
                  <w:color w:val="000000"/>
                  <w:sz w:val="24"/>
                  <w:u w:val="none"/>
                  <w:effect w:val="none"/>
                </w:rPr>
                <w:t>52</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4d9a91e40c472a9f7b8a5baeb5c3f1">
              <w:r>
                <w:rPr>
                  <w:rStyle w:val="InternetLink"/>
                  <w:rFonts w:ascii="Times New Roman;serif" w:hAnsi="Times New Roman;serif"/>
                  <w:b w:val="false"/>
                  <w:strike w:val="false"/>
                  <w:dstrike w:val="false"/>
                  <w:color w:val="000000"/>
                  <w:sz w:val="24"/>
                  <w:u w:val="none"/>
                  <w:effect w:val="none"/>
                </w:rPr>
                <w:t>ARTICLE 4.</w:t>
                <w:br/>
                <w:t xml:space="preserve">COVENANTS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4d9a91e40c472a9f7b8a5baeb5c3f1">
              <w:r>
                <w:rPr>
                  <w:rStyle w:val="InternetLink"/>
                  <w:rFonts w:ascii="Times New Roman;serif" w:hAnsi="Times New Roman;serif"/>
                  <w:b w:val="false"/>
                  <w:strike w:val="false"/>
                  <w:dstrike w:val="false"/>
                  <w:color w:val="000000"/>
                  <w:sz w:val="24"/>
                  <w:u w:val="none"/>
                  <w:effect w:val="none"/>
                </w:rPr>
                <w:t>53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54ae12caae44fb392ea779579c9a050">
              <w:r>
                <w:rPr>
                  <w:rStyle w:val="InternetLink"/>
                  <w:rFonts w:ascii="Times New Roman;serif" w:hAnsi="Times New Roman;serif"/>
                  <w:b w:val="false"/>
                  <w:strike w:val="false"/>
                  <w:dstrike w:val="false"/>
                  <w:color w:val="000000"/>
                  <w:sz w:val="24"/>
                  <w:u w:val="none"/>
                  <w:effect w:val="none"/>
                </w:rPr>
                <w:t>Section 4.01    Payment of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4ae12caae44fb392ea779579c9a050">
              <w:r>
                <w:rPr>
                  <w:rStyle w:val="InternetLink"/>
                  <w:rFonts w:ascii="Times New Roman;serif" w:hAnsi="Times New Roman;serif"/>
                  <w:b w:val="false"/>
                  <w:strike w:val="false"/>
                  <w:dstrike w:val="false"/>
                  <w:color w:val="000000"/>
                  <w:sz w:val="24"/>
                  <w:u w:val="none"/>
                  <w:effect w:val="none"/>
                </w:rPr>
                <w:t>53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efaede289f544bbbde46fe267d5b16f">
              <w:r>
                <w:rPr>
                  <w:rStyle w:val="InternetLink"/>
                  <w:rFonts w:ascii="Times New Roman;serif" w:hAnsi="Times New Roman;serif"/>
                  <w:b w:val="false"/>
                  <w:strike w:val="false"/>
                  <w:dstrike w:val="false"/>
                  <w:color w:val="000000"/>
                  <w:sz w:val="24"/>
                  <w:u w:val="none"/>
                  <w:effect w:val="none"/>
                </w:rPr>
                <w:t xml:space="preserve">Section 4.02    Maintenance of Office or Agency.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faede289f544bbbde46fe267d5b16f">
              <w:r>
                <w:rPr>
                  <w:rStyle w:val="InternetLink"/>
                  <w:rFonts w:ascii="Times New Roman;serif" w:hAnsi="Times New Roman;serif"/>
                  <w:b w:val="false"/>
                  <w:strike w:val="false"/>
                  <w:dstrike w:val="false"/>
                  <w:color w:val="000000"/>
                  <w:sz w:val="24"/>
                  <w:u w:val="none"/>
                  <w:effect w:val="none"/>
                </w:rPr>
                <w:t>53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577ef9bcb9f4f7ca66479834680eec3">
              <w:r>
                <w:rPr>
                  <w:rStyle w:val="InternetLink"/>
                  <w:rFonts w:ascii="Times New Roman;serif" w:hAnsi="Times New Roman;serif"/>
                  <w:b w:val="false"/>
                  <w:strike w:val="false"/>
                  <w:dstrike w:val="false"/>
                  <w:color w:val="000000"/>
                  <w:sz w:val="24"/>
                  <w:u w:val="none"/>
                  <w:effect w:val="none"/>
                </w:rPr>
                <w:t xml:space="preserve">Section 4.03    Reports.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7ef9bcb9f4f7ca66479834680eec3">
              <w:r>
                <w:rPr>
                  <w:rStyle w:val="InternetLink"/>
                  <w:rFonts w:ascii="Times New Roman;serif" w:hAnsi="Times New Roman;serif"/>
                  <w:b w:val="false"/>
                  <w:strike w:val="false"/>
                  <w:dstrike w:val="false"/>
                  <w:color w:val="000000"/>
                  <w:sz w:val="24"/>
                  <w:u w:val="none"/>
                  <w:effect w:val="none"/>
                </w:rPr>
                <w:t>54</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0a3c0cf8a574a72b0b4b5599470cfa9">
              <w:r>
                <w:rPr>
                  <w:rStyle w:val="InternetLink"/>
                  <w:rFonts w:ascii="Times New Roman;serif" w:hAnsi="Times New Roman;serif"/>
                  <w:b w:val="false"/>
                  <w:strike w:val="false"/>
                  <w:dstrike w:val="false"/>
                  <w:color w:val="000000"/>
                  <w:sz w:val="24"/>
                  <w:u w:val="none"/>
                  <w:effect w:val="none"/>
                </w:rPr>
                <w:t xml:space="preserve">Section 4.04    Compliance Certificate.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3c0cf8a574a72b0b4b5599470cfa9">
              <w:r>
                <w:rPr>
                  <w:rStyle w:val="InternetLink"/>
                  <w:rFonts w:ascii="Times New Roman;serif" w:hAnsi="Times New Roman;serif"/>
                  <w:b w:val="false"/>
                  <w:strike w:val="false"/>
                  <w:dstrike w:val="false"/>
                  <w:color w:val="000000"/>
                  <w:sz w:val="24"/>
                  <w:u w:val="none"/>
                  <w:effect w:val="none"/>
                </w:rPr>
                <w:t>56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2e399378c3146b493d56d70f8158970">
              <w:r>
                <w:rPr>
                  <w:rStyle w:val="InternetLink"/>
                  <w:rFonts w:ascii="Times New Roman;serif" w:hAnsi="Times New Roman;serif"/>
                  <w:b w:val="false"/>
                  <w:strike w:val="false"/>
                  <w:dstrike w:val="false"/>
                  <w:color w:val="000000"/>
                  <w:sz w:val="24"/>
                  <w:u w:val="none"/>
                  <w:effect w:val="none"/>
                </w:rPr>
                <w:t xml:space="preserve">Section 4.05    Taxes.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e399378c3146b493d56d70f8158970">
              <w:r>
                <w:rPr>
                  <w:rStyle w:val="InternetLink"/>
                  <w:rFonts w:ascii="Times New Roman;serif" w:hAnsi="Times New Roman;serif"/>
                  <w:b w:val="false"/>
                  <w:strike w:val="false"/>
                  <w:dstrike w:val="false"/>
                  <w:color w:val="000000"/>
                  <w:sz w:val="24"/>
                  <w:u w:val="none"/>
                  <w:effect w:val="none"/>
                </w:rPr>
                <w:t>57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df975a3b7a747f9935cbefaefa49bcd">
              <w:r>
                <w:rPr>
                  <w:rStyle w:val="InternetLink"/>
                  <w:rFonts w:ascii="Times New Roman;serif" w:hAnsi="Times New Roman;serif"/>
                  <w:b w:val="false"/>
                  <w:strike w:val="false"/>
                  <w:dstrike w:val="false"/>
                  <w:color w:val="000000"/>
                  <w:sz w:val="24"/>
                  <w:u w:val="none"/>
                  <w:effect w:val="none"/>
                </w:rPr>
                <w:t xml:space="preserve">Section 4.06    Stay, Extension and Usury Laws.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f975a3b7a747f9935cbefaefa49bcd">
              <w:r>
                <w:rPr>
                  <w:rStyle w:val="InternetLink"/>
                  <w:rFonts w:ascii="Times New Roman;serif" w:hAnsi="Times New Roman;serif"/>
                  <w:b w:val="false"/>
                  <w:strike w:val="false"/>
                  <w:dstrike w:val="false"/>
                  <w:color w:val="000000"/>
                  <w:sz w:val="24"/>
                  <w:u w:val="none"/>
                  <w:effect w:val="none"/>
                </w:rPr>
                <w:t>57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d2342d8f7be4636900ada0233a8399d">
              <w:r>
                <w:rPr>
                  <w:rStyle w:val="InternetLink"/>
                  <w:rFonts w:ascii="Times New Roman;serif" w:hAnsi="Times New Roman;serif"/>
                  <w:b w:val="false"/>
                  <w:strike w:val="false"/>
                  <w:dstrike w:val="false"/>
                  <w:color w:val="000000"/>
                  <w:sz w:val="24"/>
                  <w:u w:val="none"/>
                  <w:effect w:val="none"/>
                </w:rPr>
                <w:t>Section 4.07    Limitation on Liens Securing Indebtedness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2342d8f7be4636900ada0233a8399d">
              <w:r>
                <w:rPr>
                  <w:rStyle w:val="InternetLink"/>
                  <w:rFonts w:ascii="Times New Roman;serif" w:hAnsi="Times New Roman;serif"/>
                  <w:b w:val="false"/>
                  <w:strike w:val="false"/>
                  <w:dstrike w:val="false"/>
                  <w:color w:val="000000"/>
                  <w:sz w:val="24"/>
                  <w:u w:val="none"/>
                  <w:effect w:val="none"/>
                </w:rPr>
                <w:t>57</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62"/>
        <w:gridCol w:w="3075"/>
        <w:gridCol w:w="3075"/>
        <w:gridCol w:w="114"/>
        <w:gridCol w:w="114"/>
        <w:gridCol w:w="165"/>
      </w:tblGrid>
      <w:tr>
        <w:trPr/>
        <w:tc>
          <w:tcPr>
            <w:tcW w:w="3662"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8d15207360048ef95e6269d277dcf2d">
              <w:r>
                <w:rPr>
                  <w:rStyle w:val="InternetLink"/>
                  <w:rFonts w:ascii="Times New Roman;serif" w:hAnsi="Times New Roman;serif"/>
                  <w:b w:val="false"/>
                  <w:strike w:val="false"/>
                  <w:dstrike w:val="false"/>
                  <w:color w:val="000000"/>
                  <w:sz w:val="24"/>
                  <w:u w:val="none"/>
                  <w:effect w:val="none"/>
                </w:rPr>
                <w:t xml:space="preserve">Section 4.08    Limitation on Sale and Leaseback Transactions.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d15207360048ef95e6269d277dcf2d">
              <w:r>
                <w:rPr>
                  <w:rStyle w:val="InternetLink"/>
                  <w:rFonts w:ascii="Times New Roman;serif" w:hAnsi="Times New Roman;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2dbb62ef55b4019ba0b87061e00fb24">
              <w:r>
                <w:rPr>
                  <w:rStyle w:val="InternetLink"/>
                  <w:rFonts w:ascii="Times New Roman;serif" w:hAnsi="Times New Roman;serif"/>
                  <w:b w:val="false"/>
                  <w:strike w:val="false"/>
                  <w:dstrike w:val="false"/>
                  <w:color w:val="000000"/>
                  <w:sz w:val="24"/>
                  <w:u w:val="none"/>
                  <w:effect w:val="none"/>
                </w:rPr>
                <w:t>Section 4.09    Exempted Liens and Sale and Leaseback Transactions.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dbb62ef55b4019ba0b87061e00fb24">
              <w:r>
                <w:rPr>
                  <w:rStyle w:val="InternetLink"/>
                  <w:rFonts w:ascii="Times New Roman;serif" w:hAnsi="Times New Roman;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4fdba53e7454405aeff02c0435d0743">
              <w:r>
                <w:rPr>
                  <w:rStyle w:val="InternetLink"/>
                  <w:rFonts w:ascii="Times New Roman;serif" w:hAnsi="Times New Roman;serif"/>
                  <w:b w:val="false"/>
                  <w:strike w:val="false"/>
                  <w:dstrike w:val="false"/>
                  <w:color w:val="000000"/>
                  <w:sz w:val="24"/>
                  <w:u w:val="none"/>
                  <w:effect w:val="none"/>
                </w:rPr>
                <w:t xml:space="preserve">Section 4.10    Corporate and Organizational Existence.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fdba53e7454405aeff02c0435d0743">
              <w:r>
                <w:rPr>
                  <w:rStyle w:val="InternetLink"/>
                  <w:rFonts w:ascii="Times New Roman;serif" w:hAnsi="Times New Roman;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b7146c47aa247afab3740c0c145d649">
              <w:r>
                <w:rPr>
                  <w:rStyle w:val="InternetLink"/>
                  <w:rFonts w:ascii="Times New Roman;serif" w:hAnsi="Times New Roman;serif"/>
                  <w:b w:val="false"/>
                  <w:strike w:val="false"/>
                  <w:dstrike w:val="false"/>
                  <w:color w:val="000000"/>
                  <w:sz w:val="24"/>
                  <w:u w:val="none"/>
                  <w:effect w:val="none"/>
                </w:rPr>
                <w:t xml:space="preserve">Section 4.11    Offer to Purchase Upon Change of Control.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7146c47aa247afab3740c0c145d649">
              <w:r>
                <w:rPr>
                  <w:rStyle w:val="InternetLink"/>
                  <w:rFonts w:ascii="Times New Roman;serif" w:hAnsi="Times New Roman;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e7ae77bc4f54ebe9037f65b3af1fa76">
              <w:r>
                <w:rPr>
                  <w:rStyle w:val="InternetLink"/>
                  <w:rFonts w:ascii="Times New Roman;serif" w:hAnsi="Times New Roman;serif"/>
                  <w:b w:val="false"/>
                  <w:strike w:val="false"/>
                  <w:dstrike w:val="false"/>
                  <w:color w:val="000000"/>
                  <w:sz w:val="24"/>
                  <w:u w:val="none"/>
                  <w:effect w:val="none"/>
                </w:rPr>
                <w:t>ARTICLE 5.</w:t>
                <w:br/>
                <w:t xml:space="preserve">SUCCESSORS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7ae77bc4f54ebe9037f65b3af1fa76">
              <w:r>
                <w:rPr>
                  <w:rStyle w:val="InternetLink"/>
                  <w:rFonts w:ascii="Times New Roman;serif" w:hAnsi="Times New Roman;serif"/>
                  <w:b w:val="false"/>
                  <w:strike w:val="false"/>
                  <w:dstrike w:val="false"/>
                  <w:color w:val="000000"/>
                  <w:sz w:val="24"/>
                  <w:u w:val="none"/>
                  <w:effect w:val="non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c3e41a0997e41fb963e7666fb0023ad">
              <w:r>
                <w:rPr>
                  <w:rStyle w:val="InternetLink"/>
                  <w:rFonts w:ascii="Times New Roman;serif" w:hAnsi="Times New Roman;serif"/>
                  <w:b w:val="false"/>
                  <w:strike w:val="false"/>
                  <w:dstrike w:val="false"/>
                  <w:color w:val="000000"/>
                  <w:sz w:val="24"/>
                  <w:u w:val="none"/>
                  <w:effect w:val="none"/>
                </w:rPr>
                <w:t>Section 5.01    Merger, Consolidation, or Sale of Assets.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e41a0997e41fb963e7666fb0023ad">
              <w:r>
                <w:rPr>
                  <w:rStyle w:val="InternetLink"/>
                  <w:rFonts w:ascii="Times New Roman;serif" w:hAnsi="Times New Roman;serif"/>
                  <w:b w:val="false"/>
                  <w:strike w:val="false"/>
                  <w:dstrike w:val="false"/>
                  <w:color w:val="000000"/>
                  <w:sz w:val="24"/>
                  <w:u w:val="none"/>
                  <w:effect w:val="non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a5a687c2aac425092f456afe01c81d5">
              <w:r>
                <w:rPr>
                  <w:rStyle w:val="InternetLink"/>
                  <w:rFonts w:ascii="Times New Roman;serif" w:hAnsi="Times New Roman;serif"/>
                  <w:b w:val="false"/>
                  <w:strike w:val="false"/>
                  <w:dstrike w:val="false"/>
                  <w:color w:val="000000"/>
                  <w:sz w:val="24"/>
                  <w:u w:val="none"/>
                  <w:effect w:val="none"/>
                </w:rPr>
                <w:t>Section 5.02    Successor Corporation Substituted.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5a687c2aac425092f456afe01c81d5">
              <w:r>
                <w:rPr>
                  <w:rStyle w:val="InternetLink"/>
                  <w:rFonts w:ascii="Times New Roman;serif" w:hAnsi="Times New Roman;serif"/>
                  <w:b w:val="false"/>
                  <w:strike w:val="false"/>
                  <w:dstrike w:val="false"/>
                  <w:color w:val="000000"/>
                  <w:sz w:val="24"/>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747aa94ad8c46e397ea965ab66e58f6">
              <w:r>
                <w:rPr>
                  <w:rStyle w:val="InternetLink"/>
                  <w:rFonts w:ascii="Times New Roman;serif" w:hAnsi="Times New Roman;serif"/>
                  <w:b w:val="false"/>
                  <w:strike w:val="false"/>
                  <w:dstrike w:val="false"/>
                  <w:color w:val="000000"/>
                  <w:sz w:val="24"/>
                  <w:u w:val="none"/>
                  <w:effect w:val="none"/>
                </w:rPr>
                <w:t>ARTICLE 6.</w:t>
                <w:br/>
                <w:t xml:space="preserve">DEFAULTS AND REMEDIES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47aa94ad8c46e397ea965ab66e58f6">
              <w:r>
                <w:rPr>
                  <w:rStyle w:val="InternetLink"/>
                  <w:rFonts w:ascii="Times New Roman;serif" w:hAnsi="Times New Roman;serif"/>
                  <w:b w:val="false"/>
                  <w:strike w:val="false"/>
                  <w:dstrike w:val="false"/>
                  <w:color w:val="000000"/>
                  <w:sz w:val="24"/>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02db4231184244b3bb7e0735e32271bd">
              <w:r>
                <w:rPr>
                  <w:rStyle w:val="InternetLink"/>
                  <w:rFonts w:ascii="Times New Roman;serif" w:hAnsi="Times New Roman;serif"/>
                  <w:b w:val="false"/>
                  <w:strike w:val="false"/>
                  <w:dstrike w:val="false"/>
                  <w:color w:val="000000"/>
                  <w:sz w:val="24"/>
                  <w:u w:val="none"/>
                  <w:effect w:val="none"/>
                </w:rPr>
                <w:t>Section 6.01    Events of Default.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db4231184244b3bb7e0735e32271bd">
              <w:r>
                <w:rPr>
                  <w:rStyle w:val="InternetLink"/>
                  <w:rFonts w:ascii="Times New Roman;serif" w:hAnsi="Times New Roman;serif"/>
                  <w:b w:val="false"/>
                  <w:strike w:val="false"/>
                  <w:dstrike w:val="false"/>
                  <w:color w:val="000000"/>
                  <w:sz w:val="24"/>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094a485bd254e8daefbc494d01a210d">
              <w:r>
                <w:rPr>
                  <w:rStyle w:val="InternetLink"/>
                  <w:rFonts w:ascii="Times New Roman;serif" w:hAnsi="Times New Roman;serif"/>
                  <w:b w:val="false"/>
                  <w:strike w:val="false"/>
                  <w:dstrike w:val="false"/>
                  <w:color w:val="000000"/>
                  <w:sz w:val="24"/>
                  <w:u w:val="none"/>
                  <w:effect w:val="none"/>
                </w:rPr>
                <w:t>Section 6.02    Acceleration.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4a485bd254e8daefbc494d01a210d">
              <w:r>
                <w:rPr>
                  <w:rStyle w:val="InternetLink"/>
                  <w:rFonts w:ascii="Times New Roman;serif" w:hAnsi="Times New Roman;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80e3b06615945a6972bbfc8c9cec669">
              <w:r>
                <w:rPr>
                  <w:rStyle w:val="InternetLink"/>
                  <w:rFonts w:ascii="Times New Roman;serif" w:hAnsi="Times New Roman;serif"/>
                  <w:b w:val="false"/>
                  <w:strike w:val="false"/>
                  <w:dstrike w:val="false"/>
                  <w:color w:val="000000"/>
                  <w:sz w:val="24"/>
                  <w:u w:val="none"/>
                  <w:effect w:val="none"/>
                </w:rPr>
                <w:t>Section 6.03    Other Remedies.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0e3b06615945a6972bbfc8c9cec669">
              <w:r>
                <w:rPr>
                  <w:rStyle w:val="InternetLink"/>
                  <w:rFonts w:ascii="Times New Roman;serif" w:hAnsi="Times New Roman;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45f8cb7b5844811940fbbb83be15dec">
              <w:r>
                <w:rPr>
                  <w:rStyle w:val="InternetLink"/>
                  <w:rFonts w:ascii="Times New Roman;serif" w:hAnsi="Times New Roman;serif"/>
                  <w:b w:val="false"/>
                  <w:strike w:val="false"/>
                  <w:dstrike w:val="false"/>
                  <w:color w:val="000000"/>
                  <w:sz w:val="24"/>
                  <w:u w:val="none"/>
                  <w:effect w:val="none"/>
                </w:rPr>
                <w:t>Section 6.04    Waiver of Past Defaults.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5f8cb7b5844811940fbbb83be15dec">
              <w:r>
                <w:rPr>
                  <w:rStyle w:val="InternetLink"/>
                  <w:rFonts w:ascii="Times New Roman;serif" w:hAnsi="Times New Roman;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c24cbc787104d818880cb884fd1ac58">
              <w:r>
                <w:rPr>
                  <w:rStyle w:val="InternetLink"/>
                  <w:rFonts w:ascii="Times New Roman;serif" w:hAnsi="Times New Roman;serif"/>
                  <w:b w:val="false"/>
                  <w:strike w:val="false"/>
                  <w:dstrike w:val="false"/>
                  <w:color w:val="000000"/>
                  <w:sz w:val="24"/>
                  <w:u w:val="none"/>
                  <w:effect w:val="none"/>
                </w:rPr>
                <w:t>Section 6.05    Control by Majority.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24cbc787104d818880cb884fd1ac58">
              <w:r>
                <w:rPr>
                  <w:rStyle w:val="InternetLink"/>
                  <w:rFonts w:ascii="Times New Roman;serif" w:hAnsi="Times New Roman;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9ac53e5f3be24f47a8248ceefabdabc9">
              <w:r>
                <w:rPr>
                  <w:rStyle w:val="InternetLink"/>
                  <w:rFonts w:ascii="Times New Roman;serif" w:hAnsi="Times New Roman;serif"/>
                  <w:b w:val="false"/>
                  <w:strike w:val="false"/>
                  <w:dstrike w:val="false"/>
                  <w:color w:val="000000"/>
                  <w:sz w:val="24"/>
                  <w:u w:val="none"/>
                  <w:effect w:val="none"/>
                </w:rPr>
                <w:t>Section 6.06    Limitation on Suits.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c53e5f3be24f47a8248ceefabdabc9">
              <w:r>
                <w:rPr>
                  <w:rStyle w:val="InternetLink"/>
                  <w:rFonts w:ascii="Times New Roman;serif" w:hAnsi="Times New Roman;serif"/>
                  <w:b w:val="false"/>
                  <w:strike w:val="false"/>
                  <w:dstrike w:val="false"/>
                  <w:color w:val="000000"/>
                  <w:sz w:val="24"/>
                  <w:u w:val="none"/>
                  <w:effect w:val="none"/>
                </w:rPr>
                <w:t>66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964cf248c5d4aeaa3ac8624bfbae79a">
              <w:r>
                <w:rPr>
                  <w:rStyle w:val="InternetLink"/>
                  <w:rFonts w:ascii="Times New Roman;serif" w:hAnsi="Times New Roman;serif"/>
                  <w:b w:val="false"/>
                  <w:strike w:val="false"/>
                  <w:dstrike w:val="false"/>
                  <w:color w:val="000000"/>
                  <w:sz w:val="24"/>
                  <w:u w:val="none"/>
                  <w:effect w:val="none"/>
                </w:rPr>
                <w:t>Section 6.07    Rights of Holders of Notes to Receive Payment.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64cf248c5d4aeaa3ac8624bfbae79a">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a8710634e344f3fb88e027f8eab4a65">
              <w:r>
                <w:rPr>
                  <w:rStyle w:val="InternetLink"/>
                  <w:rFonts w:ascii="Times New Roman;serif" w:hAnsi="Times New Roman;serif"/>
                  <w:b w:val="false"/>
                  <w:strike w:val="false"/>
                  <w:dstrike w:val="false"/>
                  <w:color w:val="000000"/>
                  <w:sz w:val="24"/>
                  <w:u w:val="none"/>
                  <w:effect w:val="none"/>
                </w:rPr>
                <w:t>Section 6.08    Collection Suit by Trustee.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8710634e344f3fb88e027f8eab4a65">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528d9b689d64eb1815d16f958183581">
              <w:r>
                <w:rPr>
                  <w:rStyle w:val="InternetLink"/>
                  <w:rFonts w:ascii="Times New Roman;serif" w:hAnsi="Times New Roman;serif"/>
                  <w:b w:val="false"/>
                  <w:strike w:val="false"/>
                  <w:dstrike w:val="false"/>
                  <w:color w:val="000000"/>
                  <w:sz w:val="24"/>
                  <w:u w:val="none"/>
                  <w:effect w:val="none"/>
                </w:rPr>
                <w:t>Section 6.09    Trustee May File Proofs of Claim.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28d9b689d64eb1815d16f958183581">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2b4c5c718a4348a1b40c36a2365acf83">
              <w:r>
                <w:rPr>
                  <w:rStyle w:val="InternetLink"/>
                  <w:rFonts w:ascii="Times New Roman;serif" w:hAnsi="Times New Roman;serif"/>
                  <w:b w:val="false"/>
                  <w:strike w:val="false"/>
                  <w:dstrike w:val="false"/>
                  <w:color w:val="000000"/>
                  <w:sz w:val="24"/>
                  <w:u w:val="none"/>
                  <w:effect w:val="none"/>
                </w:rPr>
                <w:t>Section 6.10    Priorities.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4c5c718a4348a1b40c36a2365acf83">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05f01ea4783345f3a3ea3727e3d220b4">
              <w:r>
                <w:rPr>
                  <w:rStyle w:val="InternetLink"/>
                  <w:rFonts w:ascii="Times New Roman;serif" w:hAnsi="Times New Roman;serif"/>
                  <w:b w:val="false"/>
                  <w:strike w:val="false"/>
                  <w:dstrike w:val="false"/>
                  <w:color w:val="000000"/>
                  <w:sz w:val="24"/>
                  <w:u w:val="none"/>
                  <w:effect w:val="none"/>
                </w:rPr>
                <w:t>Section 6.11    Undertaking for Costs.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f01ea4783345f3a3ea3727e3d220b4">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6b6e48781f43ae932a88b45ce40bdb">
              <w:r>
                <w:rPr>
                  <w:rStyle w:val="InternetLink"/>
                  <w:rFonts w:ascii="Times New Roman;serif" w:hAnsi="Times New Roman;serif"/>
                  <w:b w:val="false"/>
                  <w:strike w:val="false"/>
                  <w:dstrike w:val="false"/>
                  <w:color w:val="000000"/>
                  <w:sz w:val="24"/>
                  <w:u w:val="none"/>
                  <w:effect w:val="none"/>
                </w:rPr>
                <w:t>ARTICLE 7.</w:t>
                <w:br/>
                <w:t xml:space="preserve">TRUSTEE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6b6e48781f43ae932a88b45ce40bdb">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16d435f12d2644b48b2771742afbf546">
              <w:r>
                <w:rPr>
                  <w:rStyle w:val="InternetLink"/>
                  <w:rFonts w:ascii="Times New Roman;serif" w:hAnsi="Times New Roman;serif"/>
                  <w:b w:val="false"/>
                  <w:strike w:val="false"/>
                  <w:dstrike w:val="false"/>
                  <w:color w:val="000000"/>
                  <w:sz w:val="24"/>
                  <w:u w:val="none"/>
                  <w:effect w:val="none"/>
                </w:rPr>
                <w:t>Section 7.01    Duties of Trustee.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d435f12d2644b48b2771742afbf546">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71d01839494b4618b1d9e5e827e30dc3">
              <w:r>
                <w:rPr>
                  <w:rStyle w:val="InternetLink"/>
                  <w:rFonts w:ascii="Times New Roman;serif" w:hAnsi="Times New Roman;serif"/>
                  <w:b w:val="false"/>
                  <w:strike w:val="false"/>
                  <w:dstrike w:val="false"/>
                  <w:color w:val="000000"/>
                  <w:sz w:val="24"/>
                  <w:u w:val="none"/>
                  <w:effect w:val="none"/>
                </w:rPr>
                <w:t>Section 7.02    Rights of Trustee.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d01839494b4618b1d9e5e827e30dc3">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67cbd8cc7a14e46956454bc3d51b03e">
              <w:r>
                <w:rPr>
                  <w:rStyle w:val="InternetLink"/>
                  <w:rFonts w:ascii="Times New Roman;serif" w:hAnsi="Times New Roman;serif"/>
                  <w:b w:val="false"/>
                  <w:strike w:val="false"/>
                  <w:dstrike w:val="false"/>
                  <w:color w:val="000000"/>
                  <w:sz w:val="24"/>
                  <w:u w:val="none"/>
                  <w:effect w:val="none"/>
                </w:rPr>
                <w:t>Section 7.03    Individual Rights of Trustee.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cbd8cc7a14e46956454bc3d51b03e">
              <w:r>
                <w:rPr>
                  <w:rStyle w:val="InternetLink"/>
                  <w:rFonts w:ascii="Times New Roman;serif" w:hAnsi="Times New Roman;serif"/>
                  <w:b w:val="false"/>
                  <w:strike w:val="false"/>
                  <w:dstrike w:val="false"/>
                  <w:color w:val="000000"/>
                  <w:sz w:val="24"/>
                  <w:u w:val="none"/>
                  <w:effect w:val="none"/>
                </w:rPr>
                <w:t>71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686a5664ac8457a9c7d406f736cdd44">
              <w:r>
                <w:rPr>
                  <w:rStyle w:val="InternetLink"/>
                  <w:rFonts w:ascii="Times New Roman;serif" w:hAnsi="Times New Roman;serif"/>
                  <w:b w:val="false"/>
                  <w:strike w:val="false"/>
                  <w:dstrike w:val="false"/>
                  <w:color w:val="000000"/>
                  <w:sz w:val="24"/>
                  <w:u w:val="none"/>
                  <w:effect w:val="none"/>
                </w:rPr>
                <w:t>Section 7.04    Trustee’s Disclaimer.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86a5664ac8457a9c7d406f736cdd44">
              <w:r>
                <w:rPr>
                  <w:rStyle w:val="InternetLink"/>
                  <w:rFonts w:ascii="Times New Roman;serif" w:hAnsi="Times New Roman;serif"/>
                  <w:b w:val="false"/>
                  <w:strike w:val="false"/>
                  <w:dstrike w:val="false"/>
                  <w:color w:val="000000"/>
                  <w:sz w:val="24"/>
                  <w:u w:val="none"/>
                  <w:effect w:val="none"/>
                </w:rPr>
                <w:t>71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c48f938875347e08003c2e8f57862a2">
              <w:r>
                <w:rPr>
                  <w:rStyle w:val="InternetLink"/>
                  <w:rFonts w:ascii="Times New Roman;serif" w:hAnsi="Times New Roman;serif"/>
                  <w:b w:val="false"/>
                  <w:strike w:val="false"/>
                  <w:dstrike w:val="false"/>
                  <w:color w:val="000000"/>
                  <w:sz w:val="24"/>
                  <w:u w:val="none"/>
                  <w:effect w:val="none"/>
                </w:rPr>
                <w:t>Section 7.05    Notice of Defaults.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48f938875347e08003c2e8f57862a2">
              <w:r>
                <w:rPr>
                  <w:rStyle w:val="InternetLink"/>
                  <w:rFonts w:ascii="Times New Roman;serif" w:hAnsi="Times New Roman;serif"/>
                  <w:b w:val="false"/>
                  <w:strike w:val="false"/>
                  <w:dstrike w:val="false"/>
                  <w:color w:val="000000"/>
                  <w:sz w:val="24"/>
                  <w:u w:val="none"/>
                  <w:effect w:val="none"/>
                </w:rPr>
                <w:t>71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9eb5d56f5ac4eadb5de6165eea3266c">
              <w:r>
                <w:rPr>
                  <w:rStyle w:val="InternetLink"/>
                  <w:rFonts w:ascii="Times New Roman;serif" w:hAnsi="Times New Roman;serif"/>
                  <w:b w:val="false"/>
                  <w:strike w:val="false"/>
                  <w:dstrike w:val="false"/>
                  <w:color w:val="000000"/>
                  <w:sz w:val="24"/>
                  <w:u w:val="none"/>
                  <w:effect w:val="none"/>
                </w:rPr>
                <w:t>Section 7.06    Compensation and Indemnity.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eb5d56f5ac4eadb5de6165eea3266c">
              <w:r>
                <w:rPr>
                  <w:rStyle w:val="InternetLink"/>
                  <w:rFonts w:ascii="Times New Roman;serif" w:hAnsi="Times New Roman;serif"/>
                  <w:b w:val="false"/>
                  <w:strike w:val="false"/>
                  <w:dstrike w:val="false"/>
                  <w:color w:val="000000"/>
                  <w:sz w:val="24"/>
                  <w:u w:val="none"/>
                  <w:effect w:val="none"/>
                </w:rPr>
                <w:t>71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1a0989cae4d4d6d9ce3eea4b56d7198">
              <w:r>
                <w:rPr>
                  <w:rStyle w:val="InternetLink"/>
                  <w:rFonts w:ascii="Times New Roman;serif" w:hAnsi="Times New Roman;serif"/>
                  <w:b w:val="false"/>
                  <w:strike w:val="false"/>
                  <w:dstrike w:val="false"/>
                  <w:color w:val="000000"/>
                  <w:sz w:val="24"/>
                  <w:u w:val="none"/>
                  <w:effect w:val="none"/>
                </w:rPr>
                <w:t>Section 7.07    Replacement of Trustee.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0989cae4d4d6d9ce3eea4b56d7198">
              <w:r>
                <w:rPr>
                  <w:rStyle w:val="InternetLink"/>
                  <w:rFonts w:ascii="Times New Roman;serif" w:hAnsi="Times New Roman;serif"/>
                  <w:b w:val="false"/>
                  <w:strike w:val="false"/>
                  <w:dstrike w:val="false"/>
                  <w:color w:val="000000"/>
                  <w:sz w:val="24"/>
                  <w:u w:val="none"/>
                  <w:effect w:val="none"/>
                </w:rPr>
                <w:t>72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81843f8c4fa488292180697bf20bf0a">
              <w:r>
                <w:rPr>
                  <w:rStyle w:val="InternetLink"/>
                  <w:rFonts w:ascii="Times New Roman;serif" w:hAnsi="Times New Roman;serif"/>
                  <w:b w:val="false"/>
                  <w:strike w:val="false"/>
                  <w:dstrike w:val="false"/>
                  <w:color w:val="000000"/>
                  <w:sz w:val="24"/>
                  <w:u w:val="none"/>
                  <w:effect w:val="none"/>
                </w:rPr>
                <w:t>Section 7.08    Successor Trustee by Merger, etc.</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1843f8c4fa488292180697bf20bf0a">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84845ba5df74826aaf5eedd7a951f65">
              <w:r>
                <w:rPr>
                  <w:rStyle w:val="InternetLink"/>
                  <w:rFonts w:ascii="Times New Roman;serif" w:hAnsi="Times New Roman;serif"/>
                  <w:b w:val="false"/>
                  <w:strike w:val="false"/>
                  <w:dstrike w:val="false"/>
                  <w:color w:val="000000"/>
                  <w:sz w:val="24"/>
                  <w:u w:val="none"/>
                  <w:effect w:val="none"/>
                </w:rPr>
                <w:t>Section 7.09    Eligibility; Disqualification; Conflicting Interests.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4845ba5df74826aaf5eedd7a951f65">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5d767859a624db9943d559dac28da96">
              <w:r>
                <w:rPr>
                  <w:rStyle w:val="InternetLink"/>
                  <w:rFonts w:ascii="Times New Roman;serif" w:hAnsi="Times New Roman;serif"/>
                  <w:b w:val="false"/>
                  <w:strike w:val="false"/>
                  <w:dstrike w:val="false"/>
                  <w:color w:val="000000"/>
                  <w:sz w:val="24"/>
                  <w:u w:val="none"/>
                  <w:effect w:val="none"/>
                </w:rPr>
                <w:t>Section 7.10    Preferential Collection of Claims Against the Issuers.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767859a624db9943d559dac28da96">
              <w:r>
                <w:rPr>
                  <w:rStyle w:val="InternetLink"/>
                  <w:rFonts w:ascii="Times New Roman;serif" w:hAnsi="Times New Roman;serif"/>
                  <w:b w:val="false"/>
                  <w:strike w:val="false"/>
                  <w:dstrike w:val="false"/>
                  <w:color w:val="000000"/>
                  <w:sz w:val="24"/>
                  <w:u w:val="none"/>
                  <w:effect w:val="none"/>
                </w:rPr>
                <w:t>74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1a55e756cd4f68a93dc9c3b3e55298">
              <w:r>
                <w:rPr>
                  <w:rStyle w:val="InternetLink"/>
                  <w:rFonts w:ascii="Times New Roman;serif" w:hAnsi="Times New Roman;serif"/>
                  <w:b w:val="false"/>
                  <w:strike w:val="false"/>
                  <w:dstrike w:val="false"/>
                  <w:color w:val="000000"/>
                  <w:sz w:val="24"/>
                  <w:u w:val="none"/>
                  <w:effect w:val="none"/>
                </w:rPr>
                <w:t>ARTICLE 8.</w:t>
                <w:br/>
                <w:t xml:space="preserve">LEGAL DEFEASANCE AND COVENANT DEFEASANCE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1a55e756cd4f68a93dc9c3b3e55298">
              <w:r>
                <w:rPr>
                  <w:rStyle w:val="InternetLink"/>
                  <w:rFonts w:ascii="Times New Roman;serif" w:hAnsi="Times New Roman;serif"/>
                  <w:b w:val="false"/>
                  <w:strike w:val="false"/>
                  <w:dstrike w:val="false"/>
                  <w:color w:val="000000"/>
                  <w:sz w:val="24"/>
                  <w:u w:val="none"/>
                  <w:effect w:val="none"/>
                </w:rPr>
                <w:t>74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4947120179d40d0b2a02c0810a9f4e4">
              <w:r>
                <w:rPr>
                  <w:rStyle w:val="InternetLink"/>
                  <w:rFonts w:ascii="Times New Roman;serif" w:hAnsi="Times New Roman;serif"/>
                  <w:b w:val="false"/>
                  <w:strike w:val="false"/>
                  <w:dstrike w:val="false"/>
                  <w:color w:val="000000"/>
                  <w:sz w:val="24"/>
                  <w:u w:val="none"/>
                  <w:effect w:val="none"/>
                </w:rPr>
                <w:t>Section 8.01    Option to Effect Legal Defeasance or Covenant Defeasance.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947120179d40d0b2a02c0810a9f4e4">
              <w:r>
                <w:rPr>
                  <w:rStyle w:val="InternetLink"/>
                  <w:rFonts w:ascii="Times New Roman;serif" w:hAnsi="Times New Roman;serif"/>
                  <w:b w:val="false"/>
                  <w:strike w:val="false"/>
                  <w:dstrike w:val="false"/>
                  <w:color w:val="000000"/>
                  <w:sz w:val="24"/>
                  <w:u w:val="none"/>
                  <w:effect w:val="none"/>
                </w:rPr>
                <w:t>74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4fe9e5614b2456197c7d0bff71e1c83">
              <w:r>
                <w:rPr>
                  <w:rStyle w:val="InternetLink"/>
                  <w:rFonts w:ascii="Times New Roman;serif" w:hAnsi="Times New Roman;serif"/>
                  <w:b w:val="false"/>
                  <w:strike w:val="false"/>
                  <w:dstrike w:val="false"/>
                  <w:color w:val="000000"/>
                  <w:sz w:val="24"/>
                  <w:u w:val="none"/>
                  <w:effect w:val="none"/>
                </w:rPr>
                <w:t>Section 8.02    Legal Defeasance and Discharge.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fe9e5614b2456197c7d0bff71e1c83">
              <w:r>
                <w:rPr>
                  <w:rStyle w:val="InternetLink"/>
                  <w:rFonts w:ascii="Times New Roman;serif" w:hAnsi="Times New Roman;serif"/>
                  <w:b w:val="false"/>
                  <w:strike w:val="false"/>
                  <w:dstrike w:val="false"/>
                  <w:color w:val="000000"/>
                  <w:sz w:val="24"/>
                  <w:u w:val="none"/>
                  <w:effect w:val="none"/>
                </w:rPr>
                <w:t>74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18aebc7d6404ed79eb89e704e4876d3">
              <w:r>
                <w:rPr>
                  <w:rStyle w:val="InternetLink"/>
                  <w:rFonts w:ascii="Times New Roman;serif" w:hAnsi="Times New Roman;serif"/>
                  <w:b w:val="false"/>
                  <w:strike w:val="false"/>
                  <w:dstrike w:val="false"/>
                  <w:color w:val="000000"/>
                  <w:sz w:val="24"/>
                  <w:u w:val="none"/>
                  <w:effect w:val="none"/>
                </w:rPr>
                <w:t>Section 8.03    Covenant Defeasance.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8aebc7d6404ed79eb89e704e4876d3">
              <w:r>
                <w:rPr>
                  <w:rStyle w:val="InternetLink"/>
                  <w:rFonts w:ascii="Times New Roman;serif" w:hAnsi="Times New Roman;serif"/>
                  <w:b w:val="false"/>
                  <w:strike w:val="false"/>
                  <w:dstrike w:val="false"/>
                  <w:color w:val="000000"/>
                  <w:sz w:val="24"/>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5beb2d245424897a2b86c40cf641233">
              <w:r>
                <w:rPr>
                  <w:rStyle w:val="InternetLink"/>
                  <w:rFonts w:ascii="Times New Roman;serif" w:hAnsi="Times New Roman;serif"/>
                  <w:b w:val="false"/>
                  <w:strike w:val="false"/>
                  <w:dstrike w:val="false"/>
                  <w:color w:val="000000"/>
                  <w:sz w:val="24"/>
                  <w:u w:val="none"/>
                  <w:effect w:val="none"/>
                </w:rPr>
                <w:t>Section 8.04    Conditions to Legal or Covenant Defeasance.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beb2d245424897a2b86c40cf641233">
              <w:r>
                <w:rPr>
                  <w:rStyle w:val="InternetLink"/>
                  <w:rFonts w:ascii="Times New Roman;serif" w:hAnsi="Times New Roman;serif"/>
                  <w:b w:val="false"/>
                  <w:strike w:val="false"/>
                  <w:dstrike w:val="false"/>
                  <w:color w:val="000000"/>
                  <w:sz w:val="24"/>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4e6072860d6455d9b7d7bb6b355a035">
              <w:r>
                <w:rPr>
                  <w:rStyle w:val="InternetLink"/>
                  <w:rFonts w:ascii="Times New Roman;serif" w:hAnsi="Times New Roman;serif"/>
                  <w:b w:val="false"/>
                  <w:strike w:val="false"/>
                  <w:dstrike w:val="false"/>
                  <w:color w:val="000000"/>
                  <w:sz w:val="24"/>
                  <w:u w:val="none"/>
                  <w:effect w:val="none"/>
                </w:rPr>
                <w:t>Section 8.05    Deposited Money and Government Securities to be Held in Trust; Other Miscellaneous Provisions.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e6072860d6455d9b7d7bb6b355a035">
              <w:r>
                <w:rPr>
                  <w:rStyle w:val="InternetLink"/>
                  <w:rFonts w:ascii="Times New Roman;serif" w:hAnsi="Times New Roman;serif"/>
                  <w:b w:val="false"/>
                  <w:strike w:val="false"/>
                  <w:dstrike w:val="false"/>
                  <w:color w:val="000000"/>
                  <w:sz w:val="24"/>
                  <w:u w:val="none"/>
                  <w:effect w:val="none"/>
                </w:rPr>
                <w:t>77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7c005fad14540788a1d87ca610c6bef">
              <w:r>
                <w:rPr>
                  <w:rStyle w:val="InternetLink"/>
                  <w:rFonts w:ascii="Times New Roman;serif" w:hAnsi="Times New Roman;serif"/>
                  <w:b w:val="false"/>
                  <w:strike w:val="false"/>
                  <w:dstrike w:val="false"/>
                  <w:color w:val="000000"/>
                  <w:sz w:val="24"/>
                  <w:u w:val="none"/>
                  <w:effect w:val="none"/>
                </w:rPr>
                <w:t>Section 8.06    Repayment to Issuers.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c005fad14540788a1d87ca610c6bef">
              <w:r>
                <w:rPr>
                  <w:rStyle w:val="InternetLink"/>
                  <w:rFonts w:ascii="Times New Roman;serif" w:hAnsi="Times New Roman;serif"/>
                  <w:b w:val="false"/>
                  <w:strike w:val="false"/>
                  <w:dstrike w:val="false"/>
                  <w:color w:val="000000"/>
                  <w:sz w:val="24"/>
                  <w:u w:val="none"/>
                  <w:effect w:val="none"/>
                </w:rPr>
                <w:t>77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dd07546f33d4bfda8735661112d3c90">
              <w:r>
                <w:rPr>
                  <w:rStyle w:val="InternetLink"/>
                  <w:rFonts w:ascii="Times New Roman;serif" w:hAnsi="Times New Roman;serif"/>
                  <w:b w:val="false"/>
                  <w:strike w:val="false"/>
                  <w:dstrike w:val="false"/>
                  <w:color w:val="000000"/>
                  <w:sz w:val="24"/>
                  <w:u w:val="none"/>
                  <w:effect w:val="none"/>
                </w:rPr>
                <w:t>Section 8.07    Reinstatement.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d07546f33d4bfda8735661112d3c90">
              <w:r>
                <w:rPr>
                  <w:rStyle w:val="InternetLink"/>
                  <w:rFonts w:ascii="Times New Roman;serif" w:hAnsi="Times New Roman;serif"/>
                  <w:b w:val="false"/>
                  <w:strike w:val="false"/>
                  <w:dstrike w:val="false"/>
                  <w:color w:val="000000"/>
                  <w:sz w:val="24"/>
                  <w:u w:val="none"/>
                  <w:effect w:val="none"/>
                </w:rPr>
                <w:t>77</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9286" w:type="dxa"/>
        <w:jc w:val="left"/>
        <w:tblInd w:w="0" w:type="dxa"/>
        <w:tblLayout w:type="fixed"/>
        <w:tblCellMar>
          <w:top w:w="28" w:type="dxa"/>
          <w:left w:w="28" w:type="dxa"/>
          <w:bottom w:w="28" w:type="dxa"/>
          <w:right w:w="28" w:type="dxa"/>
        </w:tblCellMar>
      </w:tblPr>
      <w:tblGrid>
        <w:gridCol w:w="3225"/>
        <w:gridCol w:w="2833"/>
        <w:gridCol w:w="2837"/>
        <w:gridCol w:w="114"/>
        <w:gridCol w:w="114"/>
        <w:gridCol w:w="163"/>
      </w:tblGrid>
      <w:tr>
        <w:trPr/>
        <w:tc>
          <w:tcPr>
            <w:tcW w:w="3225"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a48f9053724f25be7b33d690f4d5d1">
              <w:r>
                <w:rPr>
                  <w:rStyle w:val="InternetLink"/>
                  <w:rFonts w:ascii="Times New Roman;serif" w:hAnsi="Times New Roman;serif"/>
                  <w:b w:val="false"/>
                  <w:strike w:val="false"/>
                  <w:dstrike w:val="false"/>
                  <w:color w:val="000000"/>
                  <w:sz w:val="24"/>
                  <w:u w:val="none"/>
                  <w:effect w:val="none"/>
                </w:rPr>
                <w:t>ARTICLE 9.</w:t>
                <w:br/>
                <w:t xml:space="preserve">AMENDMENT, SUPPLEMENT AND WAIVER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aa48f9053724f25be7b33d690f4d5d1">
              <w:r>
                <w:rPr>
                  <w:rStyle w:val="InternetLink"/>
                  <w:rFonts w:ascii="Times New Roman;serif" w:hAnsi="Times New Roman;serif"/>
                  <w:b w:val="false"/>
                  <w:strike w:val="false"/>
                  <w:dstrike w:val="false"/>
                  <w:color w:val="000000"/>
                  <w:sz w:val="24"/>
                  <w:u w:val="none"/>
                  <w:effect w:val="none"/>
                </w:rPr>
                <w:t>78</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8e96e5c1a7047da86137b2256525cc3">
              <w:r>
                <w:rPr>
                  <w:rStyle w:val="InternetLink"/>
                  <w:rFonts w:ascii="Times New Roman;serif" w:hAnsi="Times New Roman;serif"/>
                  <w:b w:val="false"/>
                  <w:strike w:val="false"/>
                  <w:dstrike w:val="false"/>
                  <w:color w:val="000000"/>
                  <w:sz w:val="24"/>
                  <w:u w:val="none"/>
                  <w:effect w:val="none"/>
                </w:rPr>
                <w:t>Section 9.01    Without Consent of Holders of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e96e5c1a7047da86137b2256525cc3">
              <w:r>
                <w:rPr>
                  <w:rStyle w:val="InternetLink"/>
                  <w:rFonts w:ascii="Times New Roman;serif" w:hAnsi="Times New Roman;serif"/>
                  <w:b w:val="false"/>
                  <w:strike w:val="false"/>
                  <w:dstrike w:val="false"/>
                  <w:color w:val="000000"/>
                  <w:sz w:val="24"/>
                  <w:u w:val="none"/>
                  <w:effect w:val="none"/>
                </w:rPr>
                <w:t>78</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b112f873f91486e8bb946ef58462e1c">
              <w:r>
                <w:rPr>
                  <w:rStyle w:val="InternetLink"/>
                  <w:rFonts w:ascii="Times New Roman;serif" w:hAnsi="Times New Roman;serif"/>
                  <w:b w:val="false"/>
                  <w:strike w:val="false"/>
                  <w:dstrike w:val="false"/>
                  <w:color w:val="000000"/>
                  <w:sz w:val="24"/>
                  <w:u w:val="none"/>
                  <w:effect w:val="none"/>
                </w:rPr>
                <w:t>Section 9.02    With Consent of Holders of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112f873f91486e8bb946ef58462e1c">
              <w:r>
                <w:rPr>
                  <w:rStyle w:val="InternetLink"/>
                  <w:rFonts w:ascii="Times New Roman;serif" w:hAnsi="Times New Roman;serif"/>
                  <w:b w:val="false"/>
                  <w:strike w:val="false"/>
                  <w:dstrike w:val="false"/>
                  <w:color w:val="000000"/>
                  <w:sz w:val="24"/>
                  <w:u w:val="none"/>
                  <w:effect w:val="none"/>
                </w:rPr>
                <w:t>79</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1d625b62e56a4b898432e6e6b7ad6eae">
              <w:r>
                <w:rPr>
                  <w:rStyle w:val="InternetLink"/>
                  <w:rFonts w:ascii="Times New Roman;serif" w:hAnsi="Times New Roman;serif"/>
                  <w:b w:val="false"/>
                  <w:strike w:val="false"/>
                  <w:dstrike w:val="false"/>
                  <w:color w:val="000000"/>
                  <w:sz w:val="24"/>
                  <w:u w:val="none"/>
                  <w:effect w:val="none"/>
                </w:rPr>
                <w:t>Section 9.03    Revocation and Effect of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25b62e56a4b898432e6e6b7ad6eae">
              <w:r>
                <w:rPr>
                  <w:rStyle w:val="InternetLink"/>
                  <w:rFonts w:ascii="Times New Roman;serif" w:hAnsi="Times New Roman;serif"/>
                  <w:b w:val="false"/>
                  <w:strike w:val="false"/>
                  <w:dstrike w:val="false"/>
                  <w:color w:val="000000"/>
                  <w:sz w:val="24"/>
                  <w:u w:val="none"/>
                  <w:effect w:val="none"/>
                </w:rPr>
                <w:t>80</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dfd003a009841eaadd4d5867d0665e9">
              <w:r>
                <w:rPr>
                  <w:rStyle w:val="InternetLink"/>
                  <w:rFonts w:ascii="Times New Roman;serif" w:hAnsi="Times New Roman;serif"/>
                  <w:b w:val="false"/>
                  <w:strike w:val="false"/>
                  <w:dstrike w:val="false"/>
                  <w:color w:val="000000"/>
                  <w:sz w:val="24"/>
                  <w:u w:val="none"/>
                  <w:effect w:val="none"/>
                </w:rPr>
                <w:t>Section 9.04    Notation on or Exchange of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fd003a009841eaadd4d5867d0665e9">
              <w:r>
                <w:rPr>
                  <w:rStyle w:val="InternetLink"/>
                  <w:rFonts w:ascii="Times New Roman;serif" w:hAnsi="Times New Roman;serif"/>
                  <w:b w:val="false"/>
                  <w:strike w:val="false"/>
                  <w:dstrike w:val="false"/>
                  <w:color w:val="000000"/>
                  <w:sz w:val="24"/>
                  <w:u w:val="none"/>
                  <w:effect w:val="none"/>
                </w:rPr>
                <w:t>81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3d9c8a037db4c61b6d9666b7e9b880b">
              <w:r>
                <w:rPr>
                  <w:rStyle w:val="InternetLink"/>
                  <w:rFonts w:ascii="Times New Roman;serif" w:hAnsi="Times New Roman;serif"/>
                  <w:b w:val="false"/>
                  <w:strike w:val="false"/>
                  <w:dstrike w:val="false"/>
                  <w:color w:val="000000"/>
                  <w:sz w:val="24"/>
                  <w:u w:val="none"/>
                  <w:effect w:val="none"/>
                </w:rPr>
                <w:t>Section 9.05    Trustee to Sign Amendments,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9c8a037db4c61b6d9666b7e9b880b">
              <w:r>
                <w:rPr>
                  <w:rStyle w:val="InternetLink"/>
                  <w:rFonts w:ascii="Times New Roman;serif" w:hAnsi="Times New Roman;serif"/>
                  <w:b w:val="false"/>
                  <w:strike w:val="false"/>
                  <w:dstrike w:val="false"/>
                  <w:color w:val="000000"/>
                  <w:sz w:val="24"/>
                  <w:u w:val="none"/>
                  <w:effect w:val="none"/>
                </w:rPr>
                <w:t>81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6d4f00e7124861814451b6ea6baca1">
              <w:r>
                <w:rPr>
                  <w:rStyle w:val="InternetLink"/>
                  <w:rFonts w:ascii="Times New Roman;serif" w:hAnsi="Times New Roman;serif"/>
                  <w:b w:val="false"/>
                  <w:strike w:val="false"/>
                  <w:dstrike w:val="false"/>
                  <w:color w:val="000000"/>
                  <w:sz w:val="24"/>
                  <w:u w:val="none"/>
                  <w:effect w:val="none"/>
                </w:rPr>
                <w:t>ARTICLE 10.</w:t>
                <w:br/>
                <w:t>[RESERVED]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6d4f00e7124861814451b6ea6baca1">
              <w:r>
                <w:rPr>
                  <w:rStyle w:val="InternetLink"/>
                  <w:rFonts w:ascii="Times New Roman;serif" w:hAnsi="Times New Roman;serif"/>
                  <w:b w:val="false"/>
                  <w:strike w:val="false"/>
                  <w:dstrike w:val="false"/>
                  <w:color w:val="000000"/>
                  <w:sz w:val="24"/>
                  <w:u w:val="none"/>
                  <w:effect w:val="none"/>
                </w:rPr>
                <w:t>81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dff9c21f597444e879831b69a8dc990">
              <w:r>
                <w:rPr>
                  <w:rStyle w:val="InternetLink"/>
                  <w:rFonts w:ascii="Times New Roman;serif" w:hAnsi="Times New Roman;serif"/>
                  <w:b w:val="false"/>
                  <w:strike w:val="false"/>
                  <w:dstrike w:val="false"/>
                  <w:color w:val="000000"/>
                  <w:sz w:val="24"/>
                  <w:u w:val="none"/>
                  <w:effect w:val="none"/>
                </w:rPr>
                <w:t>ARTICLE 11.</w:t>
                <w:br/>
                <w:t xml:space="preserve">NOTE GUARANTEES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dff9c21f597444e879831b69a8dc990">
              <w:r>
                <w:rPr>
                  <w:rStyle w:val="InternetLink"/>
                  <w:rFonts w:ascii="Times New Roman;serif" w:hAnsi="Times New Roman;serif"/>
                  <w:b w:val="false"/>
                  <w:strike w:val="false"/>
                  <w:dstrike w:val="false"/>
                  <w:color w:val="000000"/>
                  <w:sz w:val="24"/>
                  <w:u w:val="none"/>
                  <w:effect w:val="none"/>
                </w:rPr>
                <w:t>81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50053dee6dd4c438c5fa9fae7bc44db">
              <w:r>
                <w:rPr>
                  <w:rStyle w:val="InternetLink"/>
                  <w:rFonts w:ascii="Times New Roman;serif" w:hAnsi="Times New Roman;serif"/>
                  <w:b w:val="false"/>
                  <w:strike w:val="false"/>
                  <w:dstrike w:val="false"/>
                  <w:color w:val="000000"/>
                  <w:sz w:val="24"/>
                  <w:u w:val="none"/>
                  <w:effect w:val="none"/>
                </w:rPr>
                <w:t>Section 11.01    Note Guarantee.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0053dee6dd4c438c5fa9fae7bc44db">
              <w:r>
                <w:rPr>
                  <w:rStyle w:val="InternetLink"/>
                  <w:rFonts w:ascii="Times New Roman;serif" w:hAnsi="Times New Roman;serif"/>
                  <w:b w:val="false"/>
                  <w:strike w:val="false"/>
                  <w:dstrike w:val="false"/>
                  <w:color w:val="000000"/>
                  <w:sz w:val="24"/>
                  <w:u w:val="none"/>
                  <w:effect w:val="none"/>
                </w:rPr>
                <w:t>81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af560ed256514d39be9fc5494d9b9dcf">
              <w:r>
                <w:rPr>
                  <w:rStyle w:val="InternetLink"/>
                  <w:rFonts w:ascii="Times New Roman;serif" w:hAnsi="Times New Roman;serif"/>
                  <w:b w:val="false"/>
                  <w:strike w:val="false"/>
                  <w:dstrike w:val="false"/>
                  <w:color w:val="000000"/>
                  <w:sz w:val="24"/>
                  <w:u w:val="none"/>
                  <w:effect w:val="none"/>
                </w:rPr>
                <w:t>Section 11.02    Limitation on Guarantor Liability.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560ed256514d39be9fc5494d9b9dcf">
              <w:r>
                <w:rPr>
                  <w:rStyle w:val="InternetLink"/>
                  <w:rFonts w:ascii="Times New Roman;serif" w:hAnsi="Times New Roman;serif"/>
                  <w:b w:val="false"/>
                  <w:strike w:val="false"/>
                  <w:dstrike w:val="false"/>
                  <w:color w:val="000000"/>
                  <w:sz w:val="24"/>
                  <w:u w:val="none"/>
                  <w:effect w:val="none"/>
                </w:rPr>
                <w:t>83</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e5a5ed33e981417d8ead17b74d736a9a">
              <w:r>
                <w:rPr>
                  <w:rStyle w:val="InternetLink"/>
                  <w:rFonts w:ascii="Times New Roman;serif" w:hAnsi="Times New Roman;serif"/>
                  <w:b w:val="false"/>
                  <w:strike w:val="false"/>
                  <w:dstrike w:val="false"/>
                  <w:color w:val="000000"/>
                  <w:sz w:val="24"/>
                  <w:u w:val="none"/>
                  <w:effect w:val="none"/>
                </w:rPr>
                <w:t>Section 11.03    Execution and Delivery of Note Guarantee.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a5ed33e981417d8ead17b74d736a9a">
              <w:r>
                <w:rPr>
                  <w:rStyle w:val="InternetLink"/>
                  <w:rFonts w:ascii="Times New Roman;serif" w:hAnsi="Times New Roman;serif"/>
                  <w:b w:val="false"/>
                  <w:strike w:val="false"/>
                  <w:dstrike w:val="false"/>
                  <w:color w:val="000000"/>
                  <w:sz w:val="24"/>
                  <w:u w:val="none"/>
                  <w:effect w:val="none"/>
                </w:rPr>
                <w:t>83</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c3fbee1664d4251a8523e0a1584c1be">
              <w:r>
                <w:rPr>
                  <w:rStyle w:val="InternetLink"/>
                  <w:rFonts w:ascii="Times New Roman;serif" w:hAnsi="Times New Roman;serif"/>
                  <w:b w:val="false"/>
                  <w:strike w:val="false"/>
                  <w:dstrike w:val="false"/>
                  <w:color w:val="000000"/>
                  <w:sz w:val="24"/>
                  <w:u w:val="none"/>
                  <w:effect w:val="none"/>
                </w:rPr>
                <w:t>Section 11.04    Guarantors May Consolidate, etc., on Certain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3fbee1664d4251a8523e0a1584c1be">
              <w:r>
                <w:rPr>
                  <w:rStyle w:val="InternetLink"/>
                  <w:rFonts w:ascii="Times New Roman;serif" w:hAnsi="Times New Roman;serif"/>
                  <w:b w:val="false"/>
                  <w:strike w:val="false"/>
                  <w:dstrike w:val="false"/>
                  <w:color w:val="000000"/>
                  <w:sz w:val="24"/>
                  <w:u w:val="none"/>
                  <w:effect w:val="none"/>
                </w:rPr>
                <w:t>83</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08733e8036294bf0875f85fad3e8ac91">
              <w:r>
                <w:rPr>
                  <w:rStyle w:val="InternetLink"/>
                  <w:rFonts w:ascii="Times New Roman;serif" w:hAnsi="Times New Roman;serif"/>
                  <w:b w:val="false"/>
                  <w:strike w:val="false"/>
                  <w:dstrike w:val="false"/>
                  <w:color w:val="000000"/>
                  <w:sz w:val="24"/>
                  <w:u w:val="none"/>
                  <w:effect w:val="none"/>
                </w:rPr>
                <w:t xml:space="preserve">Section 11.05    Release of Guarantees.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733e8036294bf0875f85fad3e8ac91">
              <w:r>
                <w:rPr>
                  <w:rStyle w:val="InternetLink"/>
                  <w:rFonts w:ascii="Times New Roman;serif" w:hAnsi="Times New Roman;serif"/>
                  <w:b w:val="false"/>
                  <w:strike w:val="false"/>
                  <w:dstrike w:val="false"/>
                  <w:color w:val="000000"/>
                  <w:sz w:val="24"/>
                  <w:u w:val="none"/>
                  <w:effect w:val="none"/>
                </w:rPr>
                <w:t>84</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096b25a1c20452c8d1f65dd742dd70e">
              <w:r>
                <w:rPr>
                  <w:rStyle w:val="InternetLink"/>
                  <w:rFonts w:ascii="Times New Roman;serif" w:hAnsi="Times New Roman;serif"/>
                  <w:b w:val="false"/>
                  <w:strike w:val="false"/>
                  <w:dstrike w:val="false"/>
                  <w:color w:val="000000"/>
                  <w:sz w:val="24"/>
                  <w:u w:val="none"/>
                  <w:effect w:val="none"/>
                </w:rPr>
                <w:t xml:space="preserve">Section 11.06    Additional Note Guarantees.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6b25a1c20452c8d1f65dd742dd70e">
              <w:r>
                <w:rPr>
                  <w:rStyle w:val="InternetLink"/>
                  <w:rFonts w:ascii="Times New Roman;serif" w:hAnsi="Times New Roman;serif"/>
                  <w:b w:val="false"/>
                  <w:strike w:val="false"/>
                  <w:dstrike w:val="false"/>
                  <w:color w:val="000000"/>
                  <w:sz w:val="24"/>
                  <w:u w:val="none"/>
                  <w:effect w:val="none"/>
                </w:rPr>
                <w:t>85</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87dcdee9fa64fbcbcfee492775c7752">
              <w:r>
                <w:rPr>
                  <w:rStyle w:val="InternetLink"/>
                  <w:rFonts w:ascii="Times New Roman;serif" w:hAnsi="Times New Roman;serif"/>
                  <w:b w:val="false"/>
                  <w:strike w:val="false"/>
                  <w:dstrike w:val="false"/>
                  <w:color w:val="000000"/>
                  <w:sz w:val="24"/>
                  <w:u w:val="none"/>
                  <w:effect w:val="none"/>
                </w:rPr>
                <w:t>ARTICLE 12.</w:t>
                <w:br/>
                <w:t xml:space="preserve">SATISFACTION AND DISCHARGE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87dcdee9fa64fbcbcfee492775c7752">
              <w:r>
                <w:rPr>
                  <w:rStyle w:val="InternetLink"/>
                  <w:rFonts w:ascii="Times New Roman;serif" w:hAnsi="Times New Roman;serif"/>
                  <w:b w:val="false"/>
                  <w:strike w:val="false"/>
                  <w:dstrike w:val="false"/>
                  <w:color w:val="000000"/>
                  <w:sz w:val="24"/>
                  <w:u w:val="none"/>
                  <w:effect w:val="none"/>
                </w:rPr>
                <w:t>85</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4b5309ca3c7c4f1f82c1be1edae44651">
              <w:r>
                <w:rPr>
                  <w:rStyle w:val="InternetLink"/>
                  <w:rFonts w:ascii="Times New Roman;serif" w:hAnsi="Times New Roman;serif"/>
                  <w:b w:val="false"/>
                  <w:strike w:val="false"/>
                  <w:dstrike w:val="false"/>
                  <w:color w:val="000000"/>
                  <w:sz w:val="24"/>
                  <w:u w:val="none"/>
                  <w:effect w:val="none"/>
                </w:rPr>
                <w:t>Section 12.01    Satisfaction and Discharge.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5309ca3c7c4f1f82c1be1edae44651">
              <w:r>
                <w:rPr>
                  <w:rStyle w:val="InternetLink"/>
                  <w:rFonts w:ascii="Times New Roman;serif" w:hAnsi="Times New Roman;serif"/>
                  <w:b w:val="false"/>
                  <w:strike w:val="false"/>
                  <w:dstrike w:val="false"/>
                  <w:color w:val="000000"/>
                  <w:sz w:val="24"/>
                  <w:u w:val="none"/>
                  <w:effect w:val="none"/>
                </w:rPr>
                <w:t>85</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b965a2b3b97b4a06a21c2c7c897144dc">
              <w:r>
                <w:rPr>
                  <w:rStyle w:val="InternetLink"/>
                  <w:rFonts w:ascii="Times New Roman;serif" w:hAnsi="Times New Roman;serif"/>
                  <w:b w:val="false"/>
                  <w:strike w:val="false"/>
                  <w:dstrike w:val="false"/>
                  <w:color w:val="000000"/>
                  <w:sz w:val="24"/>
                  <w:u w:val="none"/>
                  <w:effect w:val="none"/>
                </w:rPr>
                <w:t>Section 12.02    Application of Trust Money.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65a2b3b97b4a06a21c2c7c897144dc">
              <w:r>
                <w:rPr>
                  <w:rStyle w:val="InternetLink"/>
                  <w:rFonts w:ascii="Times New Roman;serif" w:hAnsi="Times New Roman;serif"/>
                  <w:b w:val="false"/>
                  <w:strike w:val="false"/>
                  <w:dstrike w:val="false"/>
                  <w:color w:val="000000"/>
                  <w:sz w:val="24"/>
                  <w:u w:val="none"/>
                  <w:effect w:val="none"/>
                </w:rPr>
                <w:t>86</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c52a095cd449599d525f0f7f300152">
              <w:r>
                <w:rPr>
                  <w:rStyle w:val="InternetLink"/>
                  <w:rFonts w:ascii="Times New Roman;serif" w:hAnsi="Times New Roman;serif"/>
                  <w:b w:val="false"/>
                  <w:strike w:val="false"/>
                  <w:dstrike w:val="false"/>
                  <w:color w:val="000000"/>
                  <w:sz w:val="24"/>
                  <w:u w:val="none"/>
                  <w:effect w:val="none"/>
                </w:rPr>
                <w:t>ARTICLE 13.</w:t>
                <w:br/>
                <w:t xml:space="preserve">JOINT AND SEVERAL LIABILITY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0c52a095cd449599d525f0f7f300152">
              <w:r>
                <w:rPr>
                  <w:rStyle w:val="InternetLink"/>
                  <w:rFonts w:ascii="Times New Roman;serif" w:hAnsi="Times New Roman;serif"/>
                  <w:b w:val="false"/>
                  <w:strike w:val="false"/>
                  <w:dstrike w:val="false"/>
                  <w:color w:val="000000"/>
                  <w:sz w:val="24"/>
                  <w:u w:val="none"/>
                  <w:effect w:val="none"/>
                </w:rPr>
                <w:t>86</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5ab267360c1c4d56a758c059ec777e7d">
              <w:r>
                <w:rPr>
                  <w:rStyle w:val="InternetLink"/>
                  <w:rFonts w:ascii="Times New Roman;serif" w:hAnsi="Times New Roman;serif"/>
                  <w:b w:val="false"/>
                  <w:strike w:val="false"/>
                  <w:dstrike w:val="false"/>
                  <w:color w:val="000000"/>
                  <w:sz w:val="24"/>
                  <w:u w:val="none"/>
                  <w:effect w:val="none"/>
                </w:rPr>
                <w:t>Section 13.01    Joint and Several Liability.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b267360c1c4d56a758c059ec777e7d">
              <w:r>
                <w:rPr>
                  <w:rStyle w:val="InternetLink"/>
                  <w:rFonts w:ascii="Times New Roman;serif" w:hAnsi="Times New Roman;serif"/>
                  <w:b w:val="false"/>
                  <w:strike w:val="false"/>
                  <w:dstrike w:val="false"/>
                  <w:color w:val="000000"/>
                  <w:sz w:val="24"/>
                  <w:u w:val="none"/>
                  <w:effect w:val="none"/>
                </w:rPr>
                <w:t>86</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3da9824fbe14730bc00363fe686b855">
              <w:r>
                <w:rPr>
                  <w:rStyle w:val="InternetLink"/>
                  <w:rFonts w:ascii="Times New Roman;serif" w:hAnsi="Times New Roman;serif"/>
                  <w:b w:val="false"/>
                  <w:strike w:val="false"/>
                  <w:dstrike w:val="false"/>
                  <w:color w:val="000000"/>
                  <w:sz w:val="24"/>
                  <w:u w:val="none"/>
                  <w:effect w:val="none"/>
                </w:rPr>
                <w:t>ARTICLE 14.</w:t>
                <w:br/>
                <w:t xml:space="preserve">MISCELLANEOUS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da9824fbe14730bc00363fe686b855">
              <w:r>
                <w:rPr>
                  <w:rStyle w:val="InternetLink"/>
                  <w:rFonts w:ascii="Times New Roman;serif" w:hAnsi="Times New Roman;serif"/>
                  <w:b w:val="false"/>
                  <w:strike w:val="false"/>
                  <w:dstrike w:val="false"/>
                  <w:color w:val="000000"/>
                  <w:sz w:val="24"/>
                  <w:u w:val="none"/>
                  <w:effect w:val="none"/>
                </w:rPr>
                <w:t>88</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ef49595054743af855d287dac82a05f">
              <w:r>
                <w:rPr>
                  <w:rStyle w:val="InternetLink"/>
                  <w:rFonts w:ascii="Times New Roman;serif" w:hAnsi="Times New Roman;serif"/>
                  <w:b w:val="false"/>
                  <w:strike w:val="false"/>
                  <w:dstrike w:val="false"/>
                  <w:color w:val="000000"/>
                  <w:sz w:val="24"/>
                  <w:u w:val="none"/>
                  <w:effect w:val="none"/>
                </w:rPr>
                <w:t>Section 14.01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f49595054743af855d287dac82a05f">
              <w:r>
                <w:rPr>
                  <w:rStyle w:val="InternetLink"/>
                  <w:rFonts w:ascii="Times New Roman;serif" w:hAnsi="Times New Roman;serif"/>
                  <w:b w:val="false"/>
                  <w:strike w:val="false"/>
                  <w:dstrike w:val="false"/>
                  <w:color w:val="000000"/>
                  <w:sz w:val="24"/>
                  <w:u w:val="none"/>
                  <w:effect w:val="none"/>
                </w:rPr>
                <w:t>88</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d9ea087be794451bb1cdf88825c5ee29">
              <w:r>
                <w:rPr>
                  <w:rStyle w:val="InternetLink"/>
                  <w:rFonts w:ascii="Times New Roman;serif" w:hAnsi="Times New Roman;serif"/>
                  <w:b w:val="false"/>
                  <w:strike w:val="false"/>
                  <w:dstrike w:val="false"/>
                  <w:color w:val="000000"/>
                  <w:sz w:val="24"/>
                  <w:u w:val="none"/>
                  <w:effect w:val="none"/>
                </w:rPr>
                <w:t>Section 14.02    Certificate and Opinion as to Conditions Precedent.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ea087be794451bb1cdf88825c5ee29">
              <w:r>
                <w:rPr>
                  <w:rStyle w:val="InternetLink"/>
                  <w:rFonts w:ascii="Times New Roman;serif" w:hAnsi="Times New Roman;serif"/>
                  <w:b w:val="false"/>
                  <w:strike w:val="false"/>
                  <w:dstrike w:val="false"/>
                  <w:color w:val="000000"/>
                  <w:sz w:val="24"/>
                  <w:u w:val="none"/>
                  <w:effect w:val="none"/>
                </w:rPr>
                <w:t>90</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0ef98317d2447959e529c3448d0c513">
              <w:r>
                <w:rPr>
                  <w:rStyle w:val="InternetLink"/>
                  <w:rFonts w:ascii="Times New Roman;serif" w:hAnsi="Times New Roman;serif"/>
                  <w:b w:val="false"/>
                  <w:strike w:val="false"/>
                  <w:dstrike w:val="false"/>
                  <w:color w:val="000000"/>
                  <w:sz w:val="24"/>
                  <w:u w:val="none"/>
                  <w:effect w:val="none"/>
                </w:rPr>
                <w:t>Section 14.03    Statements Required in Certificate or Opinion.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ef98317d2447959e529c3448d0c513">
              <w:r>
                <w:rPr>
                  <w:rStyle w:val="InternetLink"/>
                  <w:rFonts w:ascii="Times New Roman;serif" w:hAnsi="Times New Roman;serif"/>
                  <w:b w:val="false"/>
                  <w:strike w:val="false"/>
                  <w:dstrike w:val="false"/>
                  <w:color w:val="000000"/>
                  <w:sz w:val="24"/>
                  <w:u w:val="none"/>
                  <w:effect w:val="none"/>
                </w:rPr>
                <w:t>90</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f30738d5730143a49563e4bd35466993">
              <w:r>
                <w:rPr>
                  <w:rStyle w:val="InternetLink"/>
                  <w:rFonts w:ascii="Times New Roman;serif" w:hAnsi="Times New Roman;serif"/>
                  <w:b w:val="false"/>
                  <w:strike w:val="false"/>
                  <w:dstrike w:val="false"/>
                  <w:color w:val="000000"/>
                  <w:sz w:val="24"/>
                  <w:u w:val="none"/>
                  <w:effect w:val="none"/>
                </w:rPr>
                <w:t>Section 14.04    Rules by Trustee and Agents.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0738d5730143a49563e4bd35466993">
              <w:r>
                <w:rPr>
                  <w:rStyle w:val="InternetLink"/>
                  <w:rFonts w:ascii="Times New Roman;serif" w:hAnsi="Times New Roman;serif"/>
                  <w:b w:val="false"/>
                  <w:strike w:val="false"/>
                  <w:dstrike w:val="false"/>
                  <w:color w:val="000000"/>
                  <w:sz w:val="24"/>
                  <w:u w:val="none"/>
                  <w:effect w:val="none"/>
                </w:rPr>
                <w:t>90</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c1ddeab96fba442e996d686f3eb03d3d">
              <w:r>
                <w:rPr>
                  <w:rStyle w:val="InternetLink"/>
                  <w:rFonts w:ascii="Times New Roman;serif" w:hAnsi="Times New Roman;serif"/>
                  <w:b w:val="false"/>
                  <w:strike w:val="false"/>
                  <w:dstrike w:val="false"/>
                  <w:color w:val="000000"/>
                  <w:sz w:val="24"/>
                  <w:u w:val="none"/>
                  <w:effect w:val="none"/>
                </w:rPr>
                <w:t>Section 14.05    No Personal Liability of Directors, Officers, Employees and Equity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deab96fba442e996d686f3eb03d3d">
              <w:r>
                <w:rPr>
                  <w:rStyle w:val="InternetLink"/>
                  <w:rFonts w:ascii="Times New Roman;serif" w:hAnsi="Times New Roman;serif"/>
                  <w:b w:val="false"/>
                  <w:strike w:val="false"/>
                  <w:dstrike w:val="false"/>
                  <w:color w:val="000000"/>
                  <w:sz w:val="24"/>
                  <w:u w:val="none"/>
                  <w:effect w:val="none"/>
                </w:rPr>
                <w:t>90</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6d39542a6b624b548c78cc2b75562e16">
              <w:r>
                <w:rPr>
                  <w:rStyle w:val="InternetLink"/>
                  <w:rFonts w:ascii="Times New Roman;serif" w:hAnsi="Times New Roman;serif"/>
                  <w:b w:val="false"/>
                  <w:strike w:val="false"/>
                  <w:dstrike w:val="false"/>
                  <w:color w:val="000000"/>
                  <w:sz w:val="24"/>
                  <w:u w:val="none"/>
                  <w:effect w:val="none"/>
                </w:rPr>
                <w:t>Section 14.06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39542a6b624b548c78cc2b75562e16">
              <w:r>
                <w:rPr>
                  <w:rStyle w:val="InternetLink"/>
                  <w:rFonts w:ascii="Times New Roman;serif" w:hAnsi="Times New Roman;serif"/>
                  <w:b w:val="false"/>
                  <w:strike w:val="false"/>
                  <w:dstrike w:val="false"/>
                  <w:color w:val="000000"/>
                  <w:sz w:val="24"/>
                  <w:u w:val="none"/>
                  <w:effect w:val="none"/>
                </w:rPr>
                <w:t>91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8c2498f6ae6e40b99c9a5b06aaf010de">
              <w:r>
                <w:rPr>
                  <w:rStyle w:val="InternetLink"/>
                  <w:rFonts w:ascii="Times New Roman;serif" w:hAnsi="Times New Roman;serif"/>
                  <w:b w:val="false"/>
                  <w:strike w:val="false"/>
                  <w:dstrike w:val="false"/>
                  <w:color w:val="000000"/>
                  <w:sz w:val="24"/>
                  <w:u w:val="none"/>
                  <w:effect w:val="none"/>
                </w:rPr>
                <w:t>Section 14.07    No Adverse Interpretation of Other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2498f6ae6e40b99c9a5b06aaf010de">
              <w:r>
                <w:rPr>
                  <w:rStyle w:val="InternetLink"/>
                  <w:rFonts w:ascii="Times New Roman;serif" w:hAnsi="Times New Roman;serif"/>
                  <w:b w:val="false"/>
                  <w:strike w:val="false"/>
                  <w:dstrike w:val="false"/>
                  <w:color w:val="000000"/>
                  <w:sz w:val="24"/>
                  <w:u w:val="none"/>
                  <w:effect w:val="none"/>
                </w:rPr>
                <w:t>91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48629b21ad24d39aa708bb8860d4794">
              <w:r>
                <w:rPr>
                  <w:rStyle w:val="InternetLink"/>
                  <w:rFonts w:ascii="Times New Roman;serif" w:hAnsi="Times New Roman;serif"/>
                  <w:b w:val="false"/>
                  <w:strike w:val="false"/>
                  <w:dstrike w:val="false"/>
                  <w:color w:val="000000"/>
                  <w:sz w:val="24"/>
                  <w:u w:val="none"/>
                  <w:effect w:val="none"/>
                </w:rPr>
                <w:t>Section 14.08    Successors.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629b21ad24d39aa708bb8860d4794">
              <w:r>
                <w:rPr>
                  <w:rStyle w:val="InternetLink"/>
                  <w:rFonts w:ascii="Times New Roman;serif" w:hAnsi="Times New Roman;serif"/>
                  <w:b w:val="false"/>
                  <w:strike w:val="false"/>
                  <w:dstrike w:val="false"/>
                  <w:color w:val="000000"/>
                  <w:sz w:val="24"/>
                  <w:u w:val="none"/>
                  <w:effect w:val="none"/>
                </w:rPr>
                <w:t>91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2d50fc97586b4f0391e03f7aee18289c">
              <w:r>
                <w:rPr>
                  <w:rStyle w:val="InternetLink"/>
                  <w:rFonts w:ascii="Times New Roman;serif" w:hAnsi="Times New Roman;serif"/>
                  <w:b w:val="false"/>
                  <w:strike w:val="false"/>
                  <w:dstrike w:val="false"/>
                  <w:color w:val="000000"/>
                  <w:sz w:val="24"/>
                  <w:u w:val="none"/>
                  <w:effect w:val="none"/>
                </w:rPr>
                <w:t>Section 14.09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50fc97586b4f0391e03f7aee18289c">
              <w:r>
                <w:rPr>
                  <w:rStyle w:val="InternetLink"/>
                  <w:rFonts w:ascii="Times New Roman;serif" w:hAnsi="Times New Roman;serif"/>
                  <w:b w:val="false"/>
                  <w:strike w:val="false"/>
                  <w:dstrike w:val="false"/>
                  <w:color w:val="000000"/>
                  <w:sz w:val="24"/>
                  <w:u w:val="none"/>
                  <w:effect w:val="none"/>
                </w:rPr>
                <w:t>91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1bf38da6eb1e4e24900ae79a92606da5">
              <w:r>
                <w:rPr>
                  <w:rStyle w:val="InternetLink"/>
                  <w:rFonts w:ascii="Times New Roman;serif" w:hAnsi="Times New Roman;serif"/>
                  <w:b w:val="false"/>
                  <w:strike w:val="false"/>
                  <w:dstrike w:val="false"/>
                  <w:color w:val="000000"/>
                  <w:sz w:val="24"/>
                  <w:u w:val="none"/>
                  <w:effect w:val="none"/>
                </w:rPr>
                <w:t>Section 14.10    Counterpart Originals.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f38da6eb1e4e24900ae79a92606da5">
              <w:r>
                <w:rPr>
                  <w:rStyle w:val="InternetLink"/>
                  <w:rFonts w:ascii="Times New Roman;serif" w:hAnsi="Times New Roman;serif"/>
                  <w:b w:val="false"/>
                  <w:strike w:val="false"/>
                  <w:dstrike w:val="false"/>
                  <w:color w:val="000000"/>
                  <w:sz w:val="24"/>
                  <w:u w:val="none"/>
                  <w:effect w:val="none"/>
                </w:rPr>
                <w:t>91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hyperlink w:anchor="i366f294b86dd4a33a2f2f60dad6359a4">
              <w:r>
                <w:rPr>
                  <w:rStyle w:val="InternetLink"/>
                  <w:rFonts w:ascii="Times New Roman;serif" w:hAnsi="Times New Roman;serif"/>
                  <w:b w:val="false"/>
                  <w:strike w:val="false"/>
                  <w:dstrike w:val="false"/>
                  <w:color w:val="000000"/>
                  <w:sz w:val="24"/>
                  <w:u w:val="none"/>
                  <w:effect w:val="none"/>
                </w:rPr>
                <w:t>Section 14.11    Table of Contents, Headings,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6f294b86dd4a33a2f2f60dad6359a4">
              <w:r>
                <w:rPr>
                  <w:rStyle w:val="InternetLink"/>
                  <w:rFonts w:ascii="Times New Roman;serif" w:hAnsi="Times New Roman;serif"/>
                  <w:b w:val="false"/>
                  <w:strike w:val="false"/>
                  <w:dstrike w:val="false"/>
                  <w:color w:val="000000"/>
                  <w:sz w:val="24"/>
                  <w:u w:val="none"/>
                  <w:effect w:val="non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 A-1    FORM OF NOTE</w:t>
        <w:br/>
        <w:t>Exhibit A-2    FORM OF REGULATION S TEMPORARY GLOBAL NOTE</w:t>
        <w:br/>
        <w:t>Exhibit B    FORM OF CERTIFICATE OF TRANSFER</w:t>
        <w:br/>
        <w:t>Exhibit C    FORM OF CERTIFICATE OF EXCHANGE</w:t>
        <w:br/>
        <w:t>Exhibit D    FORM OF CERTIFICATE FROM ACQUIRING INSTITUTIONAL                 ACCREDITED INVESTOR</w:t>
        <w:br/>
        <w:t>Exhibit E    FORM OF NOTATION OF GUARANTEE</w:t>
        <w:br/>
        <w:t>Exhibit F    FORM OF SUPPLEMENTAL INDENTURE TO BE DELIVERED BY                 SUBSEQUENT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INDENTURE dated as of September 22, 2026 among Wynn Resorts Finance, LLC, a Nevada limited liability company (“</w:t>
      </w:r>
      <w:r>
        <w:rPr>
          <w:rFonts w:ascii="Times New Roman;serif" w:hAnsi="Times New Roman;serif"/>
          <w:b w:val="false"/>
          <w:i/>
          <w:color w:val="000000"/>
          <w:sz w:val="24"/>
          <w:u w:val="single"/>
        </w:rPr>
        <w:t>Wynn Resorts Finance</w:t>
      </w:r>
      <w:r>
        <w:rPr>
          <w:color w:val="000000"/>
        </w:rPr>
        <w:t>”</w:t>
      </w:r>
      <w:r>
        <w:rPr>
          <w:rFonts w:ascii="Times New Roman;serif" w:hAnsi="Times New Roman;serif"/>
          <w:b w:val="false"/>
          <w:color w:val="000000"/>
          <w:sz w:val="24"/>
        </w:rPr>
        <w:t>) and Wynn Resorts Capital Corp., a Nevada corporation (“</w:t>
      </w:r>
      <w:r>
        <w:rPr>
          <w:rFonts w:ascii="Times New Roman;serif" w:hAnsi="Times New Roman;serif"/>
          <w:b w:val="false"/>
          <w:i/>
          <w:color w:val="000000"/>
          <w:sz w:val="24"/>
          <w:u w:val="single"/>
        </w:rPr>
        <w:t>Wynn Resorts Capital</w:t>
      </w:r>
      <w:r>
        <w:rPr>
          <w:rFonts w:ascii="Times New Roman;serif" w:hAnsi="Times New Roman;serif"/>
          <w:b w:val="false"/>
          <w:color w:val="000000"/>
          <w:sz w:val="24"/>
        </w:rPr>
        <w:t>,” 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as joint and several obligors, and EBH Holdings, LLC, a Nevada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Times New Roman;serif" w:hAnsi="Times New Roman;serif"/>
          <w:b w:val="false"/>
          <w:i/>
          <w:color w:val="000000"/>
          <w:sz w:val="24"/>
          <w:u w:val="single"/>
        </w:rPr>
        <w:t>Initial Guarantors</w:t>
      </w:r>
      <w:r>
        <w:rPr>
          <w:color w:val="000000"/>
        </w:rPr>
        <w:t>”</w:t>
      </w:r>
      <w:r>
        <w:rPr>
          <w:rFonts w:ascii="Times New Roman;serif" w:hAnsi="Times New Roman;serif"/>
          <w:b w:val="false"/>
          <w:color w:val="000000"/>
          <w:sz w:val="24"/>
        </w:rPr>
        <w:t>) and U.S. Bank Trust Company, National Association, as trustee (the “</w:t>
      </w:r>
      <w:r>
        <w:rPr>
          <w:rFonts w:ascii="Times New Roman;serif" w:hAnsi="Times New Roman;serif"/>
          <w:b w:val="false"/>
          <w:i/>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Issuers, the Initial Guarantors and the Trustee agree as follows for the benefit of each other and for the equal and ratable benefit of the Holders (as defined) of the 6.875% Senior Notes due 2035 (the “</w:t>
      </w:r>
      <w:r>
        <w:rPr>
          <w:rFonts w:ascii="Times New Roman;serif" w:hAnsi="Times New Roman;serif"/>
          <w:b w:val="false"/>
          <w:i/>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bookmarkStart w:id="0" w:name="i49931c8577bd4afcbc7ba7a668e045ff"/>
      <w:bookmarkEnd w:id="0"/>
      <w:r>
        <w:rPr>
          <w:rFonts w:ascii="Times New Roman;serif" w:hAnsi="Times New Roman;serif"/>
          <w:b/>
          <w:color w:val="000000"/>
          <w:sz w:val="24"/>
        </w:rPr>
        <w:t>ARTICLE 1.</w:t>
        <w:br/>
        <w:t xml:space="preserve">DEFINITIONS AND INCORPORATION BY REFERENCE </w:t>
      </w:r>
    </w:p>
    <w:p>
      <w:pPr>
        <w:pStyle w:val="TextBody"/>
        <w:bidi w:val="0"/>
        <w:spacing w:lineRule="auto" w:line="288" w:before="0" w:after="240"/>
        <w:ind w:left="0" w:right="0" w:hanging="720"/>
        <w:jc w:val="both"/>
        <w:rPr/>
      </w:pPr>
      <w:bookmarkStart w:id="1" w:name="i744cbb04fb854b1ca737ac9be2b4d744"/>
      <w:bookmarkEnd w:id="1"/>
      <w:r>
        <w:rPr>
          <w:rFonts w:ascii="Times New Roman;serif" w:hAnsi="Times New Roman;serif"/>
          <w:b w:val="false"/>
          <w:color w:val="000000"/>
          <w:sz w:val="24"/>
        </w:rPr>
        <w:t>Section 1.01    </w:t>
      </w:r>
      <w:r>
        <w:rPr>
          <w:rFonts w:ascii="Times New Roman;serif" w:hAnsi="Times New Roman;serif"/>
          <w:b w:val="false"/>
          <w:i/>
          <w:color w:val="000000"/>
          <w:sz w:val="24"/>
        </w:rPr>
        <w:t>Definitions.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144A Global Note</w:t>
      </w:r>
      <w:r>
        <w:rPr>
          <w:color w:val="000000"/>
        </w:rPr>
        <w:t xml:space="preserve">” </w:t>
      </w:r>
      <w:r>
        <w:rPr>
          <w:rFonts w:ascii="Times New Roman;serif" w:hAnsi="Times New Roman;serif"/>
          <w:b w:val="false"/>
          <w:color w:val="000000"/>
          <w:sz w:val="24"/>
        </w:rPr>
        <w:t xml:space="preserve">means a Global Note substantially in the form of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2027 LV Notes</w:t>
      </w:r>
      <w:r>
        <w:rPr>
          <w:color w:val="000000"/>
        </w:rPr>
        <w:t xml:space="preserve">” </w:t>
      </w:r>
      <w:r>
        <w:rPr>
          <w:rFonts w:ascii="Times New Roman;serif" w:hAnsi="Times New Roman;serif"/>
          <w:b w:val="false"/>
          <w:color w:val="000000"/>
          <w:sz w:val="24"/>
        </w:rPr>
        <w:t>means the 5.250% Senior Notes due 2027 issued by Wynn Las Vegas.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2029 WRF Notes</w:t>
      </w:r>
      <w:r>
        <w:rPr>
          <w:color w:val="000000"/>
        </w:rPr>
        <w:t xml:space="preserve">” </w:t>
      </w:r>
      <w:r>
        <w:rPr>
          <w:rFonts w:ascii="Times New Roman;serif" w:hAnsi="Times New Roman;serif"/>
          <w:b w:val="false"/>
          <w:color w:val="000000"/>
          <w:sz w:val="24"/>
        </w:rPr>
        <w:t>means the 5.125% Senior Notes due 2029 issued by the Issuers.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2029 WRF Notes Issue Date</w:t>
      </w:r>
      <w:r>
        <w:rPr>
          <w:color w:val="000000"/>
        </w:rPr>
        <w:t xml:space="preserve">” </w:t>
      </w:r>
      <w:r>
        <w:rPr>
          <w:rFonts w:ascii="Times New Roman;serif" w:hAnsi="Times New Roman;serif"/>
          <w:b w:val="false"/>
          <w:color w:val="000000"/>
          <w:sz w:val="24"/>
        </w:rPr>
        <w:t>means September 20, 2019.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2031 WRF Notes</w:t>
      </w:r>
      <w:r>
        <w:rPr>
          <w:color w:val="000000"/>
        </w:rPr>
        <w:t xml:space="preserve">” </w:t>
      </w:r>
      <w:r>
        <w:rPr>
          <w:rFonts w:ascii="Times New Roman;serif" w:hAnsi="Times New Roman;serif"/>
          <w:b w:val="false"/>
          <w:color w:val="000000"/>
          <w:sz w:val="24"/>
        </w:rPr>
        <w:t xml:space="preserve">means the 7.125% Senior Notes due 2031 issued by the Issuers.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2033 WRF Notes</w:t>
      </w:r>
      <w:r>
        <w:rPr>
          <w:color w:val="000000"/>
        </w:rPr>
        <w:t xml:space="preserve">” </w:t>
      </w:r>
      <w:r>
        <w:rPr>
          <w:rFonts w:ascii="Times New Roman;serif" w:hAnsi="Times New Roman;serif"/>
          <w:b w:val="false"/>
          <w:color w:val="000000"/>
          <w:sz w:val="24"/>
        </w:rPr>
        <w:t xml:space="preserve">means the 6.250% Senior Notes due 2033 issued by the Issuers.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Act of Terrorism</w:t>
      </w:r>
      <w:r>
        <w:rPr>
          <w:color w:val="000000"/>
        </w:rPr>
        <w:t xml:space="preserve">” </w:t>
      </w:r>
      <w:r>
        <w:rPr>
          <w:rFonts w:ascii="Times New Roman;serif" w:hAnsi="Times New Roman;serif"/>
          <w:b w:val="false"/>
          <w:color w:val="000000"/>
          <w:sz w:val="24"/>
        </w:rPr>
        <w:t xml:space="preserve">means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 (b) explosive or firearm, with intent to endanger,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directly or indirectly, the safety of one or more individuals or to cause substantial damage to property, and (iv) a credible threat, attempt, or conspiracy to do any of the foregoing.</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means Additional Notes (other than the Initial Notes) issued under this Indenture in accordance with Section 2.13 hereof, as part of the same series as the Initial Notes. Any Additional Notes shall vote on all matters as one class with the Initial Notes being issued on the Issue Date, including, without limitation, waivers, amendments and redemptions.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Adjusted Treasury Rate</w:t>
      </w:r>
      <w:r>
        <w:rPr>
          <w:color w:val="000000"/>
        </w:rPr>
        <w:t xml:space="preserve">” </w:t>
      </w:r>
      <w:r>
        <w:rPr>
          <w:rFonts w:ascii="Times New Roman;serif" w:hAnsi="Times New Roman;serif"/>
          <w:b w:val="false"/>
          <w:color w:val="000000"/>
          <w:sz w:val="24"/>
        </w:rPr>
        <w:t>means, with respect to any redemption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Adjusted Treasury Rate shall be calculated on the third Business Day preceding the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 xml:space="preserve">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Agent</w:t>
      </w:r>
      <w:r>
        <w:rPr>
          <w:color w:val="000000"/>
        </w:rPr>
        <w:t xml:space="preserve">” </w:t>
      </w:r>
      <w:r>
        <w:rPr>
          <w:rFonts w:ascii="Times New Roman;serif" w:hAnsi="Times New Roman;serif"/>
          <w:b w:val="false"/>
          <w:color w:val="000000"/>
          <w:sz w:val="24"/>
        </w:rPr>
        <w:t>means any Registrar, Paying Agent or additional paying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Allocable Overhead</w:t>
      </w:r>
      <w:r>
        <w:rPr>
          <w:color w:val="000000"/>
        </w:rPr>
        <w:t xml:space="preserve">” </w:t>
      </w:r>
      <w:r>
        <w:rPr>
          <w:rFonts w:ascii="Times New Roman;serif" w:hAnsi="Times New Roman;serif"/>
          <w:b w:val="false"/>
          <w:color w:val="000000"/>
          <w:sz w:val="24"/>
        </w:rPr>
        <w:t xml:space="preserve">means, at any time with respect to each Qualifying Project, an amount equal to (1) the amount of corporate or other organizational overhead expenses of, and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actually incurred by, an Issuer or any Guarantor calculated in good faith on a consolidated basis, after the elimination of intercompany transactions, in accordance with US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an Issuer, any Guarantor and/or any of their respective Affiliates, any payment in respect of Allocable Overhead shall not include any fee, profit or similar component and shall represent only the payment or reimbursement of actual costs and expenses.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00"/>
        <w:ind w:left="0" w:right="0" w:firstLine="720"/>
        <w:jc w:val="left"/>
        <w:rPr/>
      </w:pPr>
      <w:r>
        <w:rPr>
          <w:color w:val="000000"/>
        </w:rPr>
        <w:t>“</w:t>
      </w:r>
      <w:r>
        <w:rPr>
          <w:rFonts w:ascii="Times New Roman;serif" w:hAnsi="Times New Roman;serif"/>
          <w:b w:val="false"/>
          <w:i/>
          <w:color w:val="000000"/>
          <w:sz w:val="24"/>
        </w:rPr>
        <w:t>Applicable Premium</w:t>
      </w:r>
      <w:r>
        <w:rPr>
          <w:color w:val="000000"/>
        </w:rPr>
        <w:t xml:space="preserve">” </w:t>
      </w:r>
      <w:r>
        <w:rPr>
          <w:rFonts w:ascii="Times New Roman;serif" w:hAnsi="Times New Roman;serif"/>
          <w:b w:val="false"/>
          <w:color w:val="000000"/>
          <w:sz w:val="24"/>
        </w:rPr>
        <w:t>means, with respect to a Note on any date of redemption, the greater of:</w:t>
      </w:r>
    </w:p>
    <w:p>
      <w:pPr>
        <w:pStyle w:val="TextBody"/>
        <w:bidi w:val="0"/>
        <w:spacing w:lineRule="auto" w:line="288" w:before="0" w:after="2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1.0% of the principal amount of such Note, and</w:t>
      </w:r>
    </w:p>
    <w:p>
      <w:pPr>
        <w:pStyle w:val="TextBody"/>
        <w:bidi w:val="0"/>
        <w:spacing w:lineRule="auto" w:line="288" w:before="0" w:after="2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the excess, if any, of (a) the present value as of such date of redemption of (i) the redemption price of such Note on September 15, 2029 (such redemption price as set forth above), plus (ii) all required interest payments due on such Note through September 15, 2029 (excluding accrued but unpaid interest to the applicable date of redemption), computed using a discount rate equal to the Treasury Rate as of such date of redemption plus 50 basis points, over (b) the then-outstanding principal amount of such Note.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Applicable Procedures</w:t>
      </w:r>
      <w:r>
        <w:rPr>
          <w:color w:val="000000"/>
        </w:rPr>
        <w:t xml:space="preserve">” </w:t>
      </w:r>
      <w:r>
        <w:rPr>
          <w:rFonts w:ascii="Times New Roman;serif" w:hAnsi="Times New Roman;serif"/>
          <w:b w:val="false"/>
          <w:color w:val="000000"/>
          <w:sz w:val="24"/>
        </w:rPr>
        <w:t>means, with respect to any transfer or exchange of or for beneficial interests in any Global Note, the rules and procedures of the Depositary that apply to such transfer or exchange.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Attributable Debt</w:t>
      </w:r>
      <w:r>
        <w:rPr>
          <w:color w:val="000000"/>
        </w:rPr>
        <w:t xml:space="preserve">” </w:t>
      </w:r>
      <w:r>
        <w:rPr>
          <w:rFonts w:ascii="Times New Roman;serif" w:hAnsi="Times New Roman;serif"/>
          <w:b w:val="false"/>
          <w:color w:val="000000"/>
          <w:sz w:val="24"/>
        </w:rPr>
        <w:t xml:space="preserve">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US GAAP; provided, however, that if such Sale and Leaseback Transaction results in a Capital Lease Obligation, the amount of Indebtedness represented thereby shall be determined in accordance with the definition of “Capital Lease Obligation.”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Bankruptcy Law</w:t>
      </w:r>
      <w:r>
        <w:rPr>
          <w:color w:val="000000"/>
        </w:rPr>
        <w:t xml:space="preserve">” </w:t>
      </w:r>
      <w:r>
        <w:rPr>
          <w:rFonts w:ascii="Times New Roman;serif" w:hAnsi="Times New Roman;serif"/>
          <w:b w:val="false"/>
          <w:color w:val="000000"/>
          <w:sz w:val="24"/>
        </w:rPr>
        <w:t>means Title 11, U.S. Code or any similar federal or state law for the relief of debtors.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Beneficial Owner</w:t>
      </w:r>
      <w:r>
        <w:rPr>
          <w:color w:val="000000"/>
        </w:rPr>
        <w:t xml:space="preserve">” </w:t>
      </w:r>
      <w:r>
        <w:rPr>
          <w:rFonts w:ascii="Times New Roman;serif" w:hAnsi="Times New Roman;serif"/>
          <w:b w:val="false"/>
          <w:color w:val="000000"/>
          <w:sz w:val="24"/>
        </w:rPr>
        <w:t xml:space="preserve">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Board of Directors</w:t>
      </w:r>
      <w:r>
        <w:rPr>
          <w:color w:val="000000"/>
        </w:rPr>
        <w:t xml:space="preserve">” </w:t>
      </w:r>
      <w:r>
        <w:rPr>
          <w:rFonts w:ascii="Times New Roman;serif" w:hAnsi="Times New Roman;serif"/>
          <w:b w:val="false"/>
          <w:color w:val="000000"/>
          <w:sz w:val="24"/>
        </w:rPr>
        <w:t>means: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with respect to a corporation, the board of directors of the corporation or any committee thereof duly authorized to act on behalf of such board;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with respect to a partnership, the board of directors of the general partner of the partnership;</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with respect to a limited liability company, the Person or Persons who are the managing member, members or managers or any controlling committee or managing members or managers thereof;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with respect to any other Person, the board or committee of such Person serving a similar function.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Business Day</w:t>
      </w:r>
      <w:r>
        <w:rPr>
          <w:color w:val="000000"/>
        </w:rPr>
        <w:t xml:space="preserve">” </w:t>
      </w:r>
      <w:r>
        <w:rPr>
          <w:rFonts w:ascii="Times New Roman;serif" w:hAnsi="Times New Roman;serif"/>
          <w:b w:val="false"/>
          <w:color w:val="000000"/>
          <w:sz w:val="24"/>
        </w:rPr>
        <w:t>means any day other than a Legal Holiday.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Capital Expenditures</w:t>
      </w:r>
      <w:r>
        <w:rPr>
          <w:color w:val="000000"/>
        </w:rPr>
        <w:t xml:space="preserve">” </w:t>
      </w:r>
      <w:r>
        <w:rPr>
          <w:rFonts w:ascii="Times New Roman;serif" w:hAnsi="Times New Roman;serif"/>
          <w:b w:val="false"/>
          <w:color w:val="000000"/>
          <w:sz w:val="24"/>
        </w:rPr>
        <w:t xml:space="preserve">means, for any period any expenditures by an Issuer or a Guarantor for the acquisition or leasing of fixed or capital assets (including Capital Lease Obligations) that should be capitalized in accordance with US GAAP and any expenditures by such Person for maintenance, repairs, restoration or refurbishment of the condition or usefulness of Property of such Person that should be capitalized in accordance with US GAAP;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(d) expenditures that constitute acquisitions not prohibited hereunder; (e) any capitalized interest expense reflected as additions to property in the consolidated balance sheet of the Issuers and the Guarantors (including in connection with sale-leaseback transactions not prohibited hereunder); (f) any non-cash compensation or other non-cash costs reflected as additions to property in the consolidated balance sheet of the Issuers and the Guarantors; and (g) capital expenditures relating to the construction or acquisition of any property or equipment which has been transferred to a Person other than an Issuer or a Guarantor pursuant to a sale-leaseback transaction not prohibited hereunder and capital expenditures arising pursuant to sale-leaseback transactions.</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Capital Lease Obligation</w:t>
      </w:r>
      <w:r>
        <w:rPr>
          <w:color w:val="000000"/>
        </w:rPr>
        <w:t xml:space="preserve">” </w:t>
      </w:r>
      <w:r>
        <w:rPr>
          <w:rFonts w:ascii="Times New Roman;serif" w:hAnsi="Times New Roman;serif"/>
          <w:b w:val="false"/>
          <w:color w:val="000000"/>
          <w:sz w:val="24"/>
        </w:rPr>
        <w:t xml:space="preserve">means, any lease of any Property by that Person as lessee that, in conformity with GAAP, is required to be classified and accounted for as a capital lease on the balance sheet of that Person;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for the avoidance of doubt, any lease that was accounted for, or would have been required to be accounted for, by any Person as an operating lease prior to the adoption of FASB ASC 842 and any similar lease entered into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subsequent to the adoption of FASB ASC 842 by any Person may, in the sole discretion of Wynn Resorts Finance, be accounted for as an operating lease and not as a capital lease.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Capital Stock</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in the case of a corporation, corporate stock;</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in the case of an association or business entity, any and all shares, interests, participations, rights or other equivalents (however designated) of corporate stock;</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in the case of a partnership or limited liability company, partnership interests (whether general or limited) or membership interests (whether general or limited);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 xml:space="preserve">means the occurrence of any of the following: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the direct or indirect sale, transfer, conveyance or other disposition (other than by way of merger or consolidation), in one or a series of related transactions, of all or substantially all of the properties or assets of Wynn Resorts Finance and the Guarantors, taken as a whole, to any “person” (as that term is used in Section 13(d)(3) of the Exchange Act), other than to any Parent Entity and any Subsidiary of any Parent Entity;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the adoption of a plan relating to the liquidation or dissolution of either Issuer or any successor thereto;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the first day on which Wynn Resorts ceases to own, directly or indirectly, 60% or more of the voting power of the outstanding Equity Interests of Wynn Resorts Finance.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above, a Change of Control shall not occur solely by reason of a Permitted C-Corp. Conversion.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Change of Control Triggering Event</w:t>
      </w:r>
      <w:r>
        <w:rPr>
          <w:color w:val="000000"/>
        </w:rPr>
        <w:t xml:space="preserve">” </w:t>
      </w:r>
      <w:r>
        <w:rPr>
          <w:rFonts w:ascii="Times New Roman;serif" w:hAnsi="Times New Roman;serif"/>
          <w:b w:val="false"/>
          <w:color w:val="000000"/>
          <w:sz w:val="24"/>
        </w:rPr>
        <w:t>means the occurrence of both a Change of Control and a Ratings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Clearstream</w:t>
      </w:r>
      <w:r>
        <w:rPr>
          <w:color w:val="000000"/>
        </w:rPr>
        <w:t xml:space="preserve">” </w:t>
      </w:r>
      <w:r>
        <w:rPr>
          <w:rFonts w:ascii="Times New Roman;serif" w:hAnsi="Times New Roman;serif"/>
          <w:b w:val="false"/>
          <w:color w:val="000000"/>
          <w:sz w:val="24"/>
        </w:rPr>
        <w:t>means Clearstream Banking, 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Code</w:t>
      </w:r>
      <w:r>
        <w:rPr>
          <w:color w:val="000000"/>
        </w:rPr>
        <w:t xml:space="preserve">” </w:t>
      </w:r>
      <w:r>
        <w:rPr>
          <w:rFonts w:ascii="Times New Roman;serif" w:hAnsi="Times New Roman;serif"/>
          <w:b w:val="false"/>
          <w:color w:val="000000"/>
          <w:sz w:val="24"/>
        </w:rPr>
        <w:t xml:space="preserve">means the Internal Revenue Code of 1986, as amended.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Comparable Treasury Issue</w:t>
      </w:r>
      <w:r>
        <w:rPr>
          <w:color w:val="000000"/>
        </w:rPr>
        <w:t xml:space="preserve">” </w:t>
      </w:r>
      <w:r>
        <w:rPr>
          <w:rFonts w:ascii="Times New Roman;serif" w:hAnsi="Times New Roman;serif"/>
          <w:b w:val="false"/>
          <w:color w:val="000000"/>
          <w:sz w:val="24"/>
        </w:rPr>
        <w:t>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w:t>
      </w:r>
      <w:r>
        <w:rPr>
          <w:rFonts w:ascii="Times New Roman;serif" w:hAnsi="Times New Roman;serif"/>
          <w:b w:val="false"/>
          <w:i/>
          <w:color w:val="000000"/>
          <w:sz w:val="24"/>
        </w:rPr>
        <w:t>Remaining Life</w:t>
      </w:r>
      <w:r>
        <w:rPr>
          <w:color w:val="000000"/>
        </w:rPr>
        <w:t>”</w:t>
      </w:r>
      <w:r>
        <w:rPr>
          <w:rFonts w:ascii="Times New Roman;serif" w:hAnsi="Times New Roman;serif"/>
          <w:b w:val="false"/>
          <w:color w:val="000000"/>
          <w:sz w:val="24"/>
        </w:rPr>
        <w:t>).</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Comparable Treasury Price</w:t>
      </w:r>
      <w:r>
        <w:rPr>
          <w:color w:val="000000"/>
        </w:rPr>
        <w:t xml:space="preserve">” </w:t>
      </w:r>
      <w:r>
        <w:rPr>
          <w:rFonts w:ascii="Times New Roman;serif" w:hAnsi="Times New Roman;serif"/>
          <w:b w:val="false"/>
          <w:color w:val="000000"/>
          <w:sz w:val="24"/>
        </w:rPr>
        <w:t>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Consolidated EBITDA</w:t>
      </w:r>
      <w:r>
        <w:rPr>
          <w:color w:val="000000"/>
        </w:rPr>
        <w:t xml:space="preserve">” </w:t>
      </w:r>
      <w:r>
        <w:rPr>
          <w:rFonts w:ascii="Times New Roman;serif" w:hAnsi="Times New Roman;serif"/>
          <w:b w:val="false"/>
          <w:color w:val="000000"/>
          <w:sz w:val="24"/>
        </w:rPr>
        <w:t>means, for any Test Period, the sum (without duplication) of Consolidated Net Income for such Test Period;</w:t>
      </w:r>
      <w:r>
        <w:rPr>
          <w:color w:val="000000"/>
        </w:rPr>
        <w:t xml:space="preserve"> </w:t>
      </w:r>
      <w:r>
        <w:rPr>
          <w:rFonts w:ascii="Times New Roman;serif" w:hAnsi="Times New Roman;serif"/>
          <w:b w:val="false"/>
          <w:i/>
          <w:color w:val="000000"/>
          <w:sz w:val="24"/>
        </w:rPr>
        <w:t>plus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each case to the extent deducted in calculating such Consolidated Net Income:</w: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    provisions for taxes based on income or profits or capital gains, plus franchise or similar taxes, of the Issuers and the Guarantors for such Test Period; </w: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(ii)    Consolidated Interest Expense of the Issuers and the Guarantors for such Test Period, whether paid or accrued and whether or not capitalized; </w: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(iii)    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 </w:t>
      </w:r>
    </w:p>
    <w:p>
      <w:pPr>
        <w:pStyle w:val="TextBody"/>
        <w:bidi w:val="0"/>
        <w:spacing w:lineRule="auto" w:line="276" w:before="0" w:after="240"/>
        <w:ind w:left="0" w:right="0" w:firstLine="360"/>
        <w:jc w:val="both"/>
        <w:rPr/>
      </w:pPr>
      <w:r>
        <w:rPr>
          <w:rFonts w:ascii="Times New Roman;serif" w:hAnsi="Times New Roman;serif"/>
          <w:b w:val="false"/>
          <w:color w:val="000000"/>
          <w:sz w:val="24"/>
        </w:rPr>
        <w:t xml:space="preserve">(iv)    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Wynn Resorts Finance elects not to add back in the current Test Period (it being understood that reserves may be charged in the current Test Period or when paid, as reasonably determined by Wynn Resorts Finance)) of the Issuers and the Guarantors for such Test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any such non-cash charges or expenses represent an accrual of a reserve for potential cash items in any future Test Period, the cash payment in respect thereof in such future Test Period shall be subtracted from Consolidated EBITDA to the extent Wynn Resorts Finance elected to previously add back such amounts to Consolidated EBITDA;</w: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(v)    any Pre-Opening Expenses; </w: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(vi)    the amount of any restructuring costs, charges, accruals, expenses or reserves (including those relating to severance, relocation costs and one-time compensation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(vii)    any charges, fees and expenses (or any amortization thereof) (including, without limitation, all legal, accounting, advisory or other transaction-related fees, charges, costs and expenses and any bonuses or success fee payments related to the Transactions) related to the Transactions, any acquisition or investment or disposition (or any such proposed acquisition, investment or disposition) (including amortization or write offs of debt issuance or deferred financing costs, premiums and prepayment penalties), in each case, whether or not successful; </w: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(viii)    any losses resulting from mark to market accounting of swap contracts or other derivative instruments; and</w:t>
      </w:r>
    </w:p>
    <w:p>
      <w:pPr>
        <w:pStyle w:val="TextBody"/>
        <w:bidi w:val="0"/>
        <w:spacing w:lineRule="auto" w:line="276" w:before="0" w:after="240"/>
        <w:ind w:left="0" w:right="0" w:firstLine="360"/>
        <w:jc w:val="both"/>
        <w:rPr/>
      </w:pPr>
      <w:r>
        <w:rPr>
          <w:rFonts w:ascii="Times New Roman;serif" w:hAnsi="Times New Roman;serif"/>
          <w:b w:val="false"/>
          <w:color w:val="000000"/>
          <w:sz w:val="24"/>
        </w:rPr>
        <w:t xml:space="preserve">(ix)    the aggregate amount of accrued and unpaid Management Fees, IP Licensing Fees and Allocable Overhead;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cash payment in respect of such accrued and unpaid Management Fees, IP Licensing Fees and Allocable Overhead (other than to the extent any such accrual occurred prior to the Issue Date) in any future Test Period shall be subtracted from Consolidated EBITDA in such Test Period to the extent Wynn Resorts Finance elected to previously add back such amounts to Consolidated EBITDA; </w:t>
      </w:r>
      <w:r>
        <w:rPr>
          <w:rFonts w:ascii="Times New Roman;serif" w:hAnsi="Times New Roman;serif"/>
          <w:b w:val="false"/>
          <w:i/>
          <w:color w:val="000000"/>
          <w:sz w:val="24"/>
        </w:rPr>
        <w:t>minus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each case to the extent included in calculating such Consolidated Net Income:</w:t>
      </w:r>
    </w:p>
    <w:p>
      <w:pPr>
        <w:pStyle w:val="TextBody"/>
        <w:bidi w:val="0"/>
        <w:spacing w:lineRule="auto" w:line="276"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    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pStyle w:val="TextBody"/>
        <w:bidi w:val="0"/>
        <w:spacing w:lineRule="auto" w:line="276" w:before="0" w:after="240"/>
        <w:ind w:left="0" w:right="0" w:firstLine="360"/>
        <w:jc w:val="both"/>
        <w:rPr/>
      </w:pPr>
      <w:r>
        <w:rPr>
          <w:rFonts w:ascii="Times New Roman;serif" w:hAnsi="Times New Roman;serif"/>
          <w:b w:val="false"/>
          <w:color w:val="000000"/>
          <w:sz w:val="24"/>
        </w:rPr>
        <w:t xml:space="preserve">(ii)    the amount of any gains resulting from mark to market accounting of swap contracts or other derivative instruments; </w:t>
      </w:r>
      <w:r>
        <w:rPr>
          <w:rFonts w:ascii="Times New Roman;serif" w:hAnsi="Times New Roman;serif"/>
          <w:b w:val="false"/>
          <w:i/>
          <w:color w:val="000000"/>
          <w:sz w:val="24"/>
        </w:rPr>
        <w:t>plus</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(c)    the amount of cost savings, operating expense reductions, other operating improvements and synergies projected by Wynn Resorts Finance in good faith to be realized as a result of specified actions taken or with respect to which steps have been initiated (in the good faith determination of Wynn Resorts Finance)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such actions are to be taken within eighteen (18) </w:t>
      </w:r>
    </w:p>
    <w:p>
      <w:pPr>
        <w:pStyle w:val="TextBody"/>
        <w:bidi w:val="0"/>
        <w:spacing w:lineRule="auto" w:line="276" w:before="0" w:after="240"/>
        <w:jc w:val="both"/>
        <w:rPr/>
      </w:pPr>
      <w:r>
        <w:rPr>
          <w:rFonts w:ascii="Times New Roman;serif" w:hAnsi="Times New Roman;serif"/>
          <w:b w:val="false"/>
          <w:color w:val="000000"/>
          <w:sz w:val="24"/>
        </w:rPr>
        <w:t xml:space="preserve">months after the consummation of such Specified Transaction, restructuring or implementation of an initiative that is expected to result in such cost savings, operating expense reductions, other operating improvements or synergies, (ii)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(iii)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amount of additions made to Consolidated EBITDA for any Test Period pursuant to this clause (c) shall not (i) exceed 20.0% of Consolidated EBITDA for such Test Period (after giving effect to this clause (c)) or (ii) be duplicative of one another; </w:t>
      </w:r>
      <w:r>
        <w:rPr>
          <w:rFonts w:ascii="Times New Roman;serif" w:hAnsi="Times New Roman;serif"/>
          <w:b w:val="false"/>
          <w:i/>
          <w:color w:val="000000"/>
          <w:sz w:val="24"/>
        </w:rPr>
        <w:t>plus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(d)    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amount of insurance proceeds shall only be included pursuant to this clause (d) to the extent of the amount of insurance proceeds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serif" w:hAnsi="Times New Roman;serif"/>
          <w:b w:val="false"/>
          <w:i/>
          <w:color w:val="000000"/>
          <w:sz w:val="24"/>
        </w:rPr>
        <w:t>plus</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(e)    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for any previous Test Period and not added back.</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Consolidated EBITDA shall be further adjusted: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to include the Consolidated EBITDA of any Person, property, business or asset (including a management agreement or similar agreement) acquired by an Issuer or any Guarantor during such Test Period and required to become a Guarantor pursuant to the terms of this Indenture based on the Consolidated EBITDA of such Person (or attributable to such property, business or asset) for such period (including the portion thereof occurring prior to such acquisition), determined as if references the Issuers and the Guarantors in Consolidated Net Income and other defined terms therein were to such Person and its Subsidiaries; </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to exclude the Consolidated EBITDA of any Guarantor, property, business or asset sold, transferred or otherwise disposed of, closed or classified as discontinued operations by an Issuer or any Guarantor during such Test Period, based on the actual Consolidated EBITDA of such Person for such period (including the portion thereof occurring prior to such sale, transfer, disposition, closing, classification or conversion), determined as if references to the Issuers and the Guarantors in Consolidated Net Income and other defined terms therein were to such Person and its Subsidiaries;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the Issuers and the Guarantors;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 the event of any Expansion Capital Expenditures or Development Projects that were opened for business during such Test Period, by multiplying the Consolidated EBITDA attributable to such Expansion Capital Expenditures or Development Projects (as determined by Wynn Resorts Finance in good faith) in respect of the first three (3) complete fiscal quarters 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 and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to exclude the amount, if any, by which the dividends and distributions paid or, at Wynn Resorts Finance’s election, declared to Wynn Group Asia by its direct and indirect Subsidiaries that are included in Consolidated Net Income pursuant to clause (c) of the definition thereof during the applicable Test Period exceed the applicable Recurring Dividend Amount for such Test Period.</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Consolidated Indebtedness</w:t>
      </w:r>
      <w:r>
        <w:rPr>
          <w:color w:val="000000"/>
        </w:rPr>
        <w:t xml:space="preserve">” </w:t>
      </w:r>
      <w:r>
        <w:rPr>
          <w:rFonts w:ascii="Times New Roman;serif" w:hAnsi="Times New Roman;serif"/>
          <w:b w:val="false"/>
          <w:color w:val="000000"/>
          <w:sz w:val="24"/>
        </w:rPr>
        <w:t xml:space="preserve">means, as at any date of determination, the aggregate amount of all Indebtedness of the Issuers and the Guarantors (other than (x) any such Indebtedness that has been discharged, (y) any escrowed indebtedness, and (z) intercompany indebtedness) on such date, in an amount that would be reflected on a balance sheet on such date prepared on a consolidated basis in accordance with US GAAP, consisting of Indebtedness for borrowed money, obligations in respect of Capital Lease Obligations, purchase money Indebtedness, Indebtedness of the kind described in clause (4) of the definition of “Indebtedness,” Indebtedness evidenced by promissory notes and similar instruments and contingent obligations in respect of any of the foregoing (to be included only to the extent set forth in clause (iii) below);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Consolidated Indebtedness shall not include </w:t>
      </w:r>
    </w:p>
    <w:p>
      <w:pPr>
        <w:pStyle w:val="TextBody"/>
        <w:bidi w:val="0"/>
        <w:spacing w:lineRule="auto" w:line="276" w:before="0" w:after="240"/>
        <w:jc w:val="both"/>
        <w:rPr/>
      </w:pPr>
      <w:r>
        <w:rPr>
          <w:rFonts w:ascii="Times New Roman;serif" w:hAnsi="Times New Roman;serif"/>
          <w:b w:val="false"/>
          <w:color w:val="000000"/>
          <w:sz w:val="24"/>
        </w:rPr>
        <w:t xml:space="preserve">(A) Indebtedness in respect of letters of credit, except to the extent of unreimbursed amounts thereunder or (B) Indebtedness in respect of disqualified capital stock, (ii) the amount of Consolidated Indebtedness, in the case of Indebtedness of a Guarantor that is not a wholly-owned Guarantor, shall be reduced by an amount directly proportional to the amount (if any) by which Consolidated EBITDA was reduced (including through the calculation of Consolidated Net Income) in respect of such non-controlling interest in such Guarantor owned by a Person other than an Issuer or any other Guarantor, (iii) Consolidated Indebtedness shall not include contingent obligations,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and when any such contingent obligation is demanded for payment from an Issuer or any Guarantor, then the amounts of such contingent obligation shall be included in such calculations.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Consolidated Interest Expense</w:t>
      </w:r>
      <w:r>
        <w:rPr>
          <w:color w:val="000000"/>
        </w:rPr>
        <w:t xml:space="preserve">” </w:t>
      </w:r>
      <w:r>
        <w:rPr>
          <w:rFonts w:ascii="Times New Roman;serif" w:hAnsi="Times New Roman;serif"/>
          <w:b w:val="false"/>
          <w:color w:val="000000"/>
          <w:sz w:val="24"/>
        </w:rPr>
        <w:t xml:space="preserve">means, for any Test Period, the sum of interest expense of the Issuers and the Guarantors for such Test Period as determined on a consolidated basis in accordance with US GAAP, </w:t>
      </w:r>
      <w:r>
        <w:rPr>
          <w:rFonts w:ascii="Times New Roman;serif" w:hAnsi="Times New Roman;serif"/>
          <w:b w:val="false"/>
          <w:i/>
          <w:color w:val="000000"/>
          <w:sz w:val="24"/>
        </w:rPr>
        <w:t>plus</w:t>
      </w:r>
      <w:r>
        <w:rPr>
          <w:rFonts w:ascii="Times New Roman;serif" w:hAnsi="Times New Roman;serif"/>
          <w:b w:val="false"/>
          <w:color w:val="000000"/>
          <w:sz w:val="24"/>
        </w:rPr>
        <w:t>, to the extent deducted in arriving at Consolidated Net Income and without duplication, (a) the interest portion of payments on Capital Lease Obligations,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US GAAP, (j) fees and expenses associated with the consummation of the Transactions (k) annual or quarterly agency fees paid to the administrative agent under the Senior Credit Facilities and (l) costs and fees associated with obtaining swap contracts and fees payable thereunder.</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Consolidated Net Income</w:t>
      </w:r>
      <w:r>
        <w:rPr>
          <w:color w:val="000000"/>
        </w:rPr>
        <w:t xml:space="preserve">” </w:t>
      </w:r>
      <w:r>
        <w:rPr>
          <w:rFonts w:ascii="Times New Roman;serif" w:hAnsi="Times New Roman;serif"/>
          <w:b w:val="false"/>
          <w:color w:val="000000"/>
          <w:sz w:val="24"/>
        </w:rPr>
        <w:t xml:space="preserve">means, for any Test Period, the aggregate of the net income of the Issuers and the Guarantors for such Test Period, on a consolidated basis, determined in accordance with US GAAP;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without duplication:</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any gain or loss (together with any related provision for taxes thereon) realized in connection with (i) any asset sale or (ii) any disposition of any securities by an Issuer or any of the Guarantors shall be excluded;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extraordinary gain or loss (together with any related provision for taxes thereon) shall be excluded;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(c)    the net income of any Person that (i) is not a Subsidiary, (ii) is accounted for by the equity method of accounting or (iii) is a Subsidiary (or former Subsidiary) with respect to which a Trigger Event has occurred following the occurrence and during the continuance of such Trigger Event shall be excluded;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Consolidated Net Income of the Issuers and the Guarantors shall be increased by the amount of dividends or distributions or </w:t>
      </w:r>
    </w:p>
    <w:p>
      <w:pPr>
        <w:pStyle w:val="TextBody"/>
        <w:bidi w:val="0"/>
        <w:spacing w:lineRule="auto" w:line="276" w:before="0" w:after="240"/>
        <w:jc w:val="both"/>
        <w:rPr/>
      </w:pPr>
      <w:r>
        <w:rPr>
          <w:rFonts w:ascii="Times New Roman;serif" w:hAnsi="Times New Roman;serif"/>
          <w:b w:val="false"/>
          <w:color w:val="000000"/>
          <w:sz w:val="24"/>
        </w:rPr>
        <w:t xml:space="preserve">other payments (including management fees) that are actually paid or are payable in cash to an Issuer or a Guarantor in respect of such period by such Persons (or to the extent converted into cash) (including at Wynn Resorts Finance’s election in the case of the direct and indirect Subsidiaries of Wynn Group Asia, dividends and distributions declared (but not yet paid) during such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event Wynn Resorts Finance elects to include any such declared (but not yet paid) dividend or distribution in Consolidated Net Income during any period, in no event shall the subsequent payment of such dividends and distributions be so included); </w:t>
      </w:r>
      <w:r>
        <w:rPr>
          <w:rFonts w:ascii="Times New Roman;serif" w:hAnsi="Times New Roman;serif"/>
          <w:b w:val="false"/>
          <w:i/>
          <w:color w:val="000000"/>
          <w:sz w:val="24"/>
        </w:rPr>
        <w:t>provided further</w:t>
      </w:r>
      <w:r>
        <w:rPr>
          <w:rFonts w:ascii="Times New Roman;serif" w:hAnsi="Times New Roman;serif"/>
          <w:b w:val="false"/>
          <w:color w:val="000000"/>
          <w:sz w:val="24"/>
        </w:rPr>
        <w:t>, that in the case of any such Person acquired by an Issuer or a Guarantor during such test Period, the foregoing shall be determined as if such Person had been acquired on the first day of such Test Period;</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(d)    the undistributed earnings of any Subsidiary of Wynn Resorts Finance that is not a an Issuer or a Guarantor to the extent that, on the date of determination the payment of cash dividends or similar cash distributions by such Subsidiary (or loans or advances by such subsidiary to any parent company) are not permitted by the terms of any contractual obligation or requirement of law applicable to such Subsidiary shall be excluded, unless such restrictions with respect to the payment of cash dividends and other similar cash distributions have been waived;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Consolidated Net Income of the Issuers and the Guarantors shall be increased by the amount of dividends or distributions or other payments (including management fees) that are actually paid or are payable in cash to an Issuer or a Guarantor(not subject to such restriction) thereof in respect of such period by such Subsidiaries (or to the extent converted into cash); </w:t>
      </w:r>
      <w:r>
        <w:rPr>
          <w:rFonts w:ascii="Times New Roman;serif" w:hAnsi="Times New Roman;serif"/>
          <w:b w:val="false"/>
          <w:i/>
          <w:color w:val="000000"/>
          <w:sz w:val="24"/>
        </w:rPr>
        <w:t>provided further</w:t>
      </w:r>
      <w:r>
        <w:rPr>
          <w:rFonts w:ascii="Times New Roman;serif" w:hAnsi="Times New Roman;serif"/>
          <w:b w:val="false"/>
          <w:color w:val="000000"/>
          <w:sz w:val="24"/>
        </w:rPr>
        <w:t>, that in the case of any such Person acquired by an Issuer or a Guarantor during such test Period, the foregoing shall be determined as if such Person had been acquired on the first day of such Test Period;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non-cash charges or expenses related to the repurchase of stock options to the extent not prohibited by this Indenture,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cumulative effect of a change in accounting principles shall be excluded;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(h)    any expenses or reserves for liabilities shall be excluded to the extent that an Issuer or a Guarantor is entitled to indemnification therefor under binding agreements;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liabilities for which an Issuer or any of Guarantors is not actually indemnified shall reduce Consolidated Net Income for the period in which it is determined that such Issuer or such Guarantor will not be indemnified (to the extent such liabilities would otherwise reduce Consolidated Net Income without giving effect to this clause (h));</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losses, to the extent covered by insurance and actually reimbursed, or, so long as Wynn Resorts Finance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gains and losses resulting solely from fluctuations in currency values and the related tax effects shall be excluded, and charges relating to Accounting Standards Codification Nos. 815 and 820 shall be excluded.</w:t>
      </w:r>
    </w:p>
    <w:p>
      <w:pPr>
        <w:pStyle w:val="TextBody"/>
        <w:bidi w:val="0"/>
        <w:spacing w:lineRule="auto" w:line="276" w:before="0" w:after="240"/>
        <w:ind w:left="0" w:right="0" w:firstLine="720"/>
        <w:jc w:val="both"/>
        <w:rPr/>
      </w:pPr>
      <w:r>
        <w:rPr>
          <w:color w:val="000000"/>
        </w:rPr>
        <w:t>    “</w:t>
      </w:r>
      <w:r>
        <w:rPr>
          <w:rFonts w:ascii="Times New Roman;serif" w:hAnsi="Times New Roman;serif"/>
          <w:b w:val="false"/>
          <w:i/>
          <w:color w:val="000000"/>
          <w:sz w:val="24"/>
        </w:rPr>
        <w:t>Consolidated Senior Secured Net Leverage Ratio</w:t>
      </w:r>
      <w:r>
        <w:rPr>
          <w:color w:val="000000"/>
        </w:rPr>
        <w:t xml:space="preserve">” </w:t>
      </w:r>
      <w:r>
        <w:rPr>
          <w:rFonts w:ascii="Times New Roman;serif" w:hAnsi="Times New Roman;serif"/>
          <w:b w:val="false"/>
          <w:color w:val="000000"/>
          <w:sz w:val="24"/>
        </w:rPr>
        <w:t xml:space="preserve">means, as of any date of determination, the ratio of (a) (i) Consolidated Indebtedness of the Issuers and the Guarantors that is secured by Liens on the property or assets of an Issuer or a Guarantor as of such date (other than (x) any such Consolidated Indebtedness that is expressly subordinated in right of payment to the Notes and (y) any such Consolidated Indebtedness that benefits from the pledge securing the 2027 LV Notes (but is not otherwise secured by any Liens on property or assets of an Issuer or a Guarantor as of such date)) </w:t>
      </w:r>
      <w:r>
        <w:rPr>
          <w:rFonts w:ascii="Times New Roman;serif" w:hAnsi="Times New Roman;serif"/>
          <w:b w:val="false"/>
          <w:i/>
          <w:color w:val="000000"/>
          <w:sz w:val="24"/>
        </w:rPr>
        <w:t xml:space="preserve">minus </w:t>
      </w:r>
      <w:r>
        <w:rPr>
          <w:rFonts w:ascii="Times New Roman;serif" w:hAnsi="Times New Roman;serif"/>
          <w:b w:val="false"/>
          <w:color w:val="000000"/>
          <w:sz w:val="24"/>
        </w:rPr>
        <w:t xml:space="preserve">(ii) Unrestricted Operating Cash to (b) Consolidated EBITDA for the Test Period most recently ended prior to such date; </w:t>
      </w:r>
      <w:r>
        <w:rPr>
          <w:rFonts w:ascii="Times New Roman;serif" w:hAnsi="Times New Roman;serif"/>
          <w:b w:val="false"/>
          <w:i/>
          <w:color w:val="000000"/>
          <w:sz w:val="24"/>
        </w:rPr>
        <w:t>provided</w:t>
      </w:r>
      <w:r>
        <w:rPr>
          <w:rFonts w:ascii="Times New Roman;serif" w:hAnsi="Times New Roman;serif"/>
          <w:b w:val="false"/>
          <w:color w:val="000000"/>
          <w:sz w:val="24"/>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Corporate Trust Office of the Trustee</w:t>
      </w:r>
      <w:r>
        <w:rPr>
          <w:color w:val="000000"/>
        </w:rPr>
        <w:t xml:space="preserve">” </w:t>
      </w:r>
      <w:r>
        <w:rPr>
          <w:rFonts w:ascii="Times New Roman;serif" w:hAnsi="Times New Roman;serif"/>
          <w:b w:val="false"/>
          <w:color w:val="000000"/>
          <w:sz w:val="24"/>
        </w:rPr>
        <w:t>means the address of the Trustee specified in Section 14.01 hereof or such other address as to which the Trustee may give notice to the Issuers.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Custodian</w:t>
      </w:r>
      <w:r>
        <w:rPr>
          <w:color w:val="000000"/>
        </w:rPr>
        <w:t xml:space="preserve">” </w:t>
      </w:r>
      <w:r>
        <w:rPr>
          <w:rFonts w:ascii="Times New Roman;serif" w:hAnsi="Times New Roman;serif"/>
          <w:b w:val="false"/>
          <w:color w:val="000000"/>
          <w:sz w:val="24"/>
        </w:rPr>
        <w:t>means the Trustee, as custodian for DTC, with respect to the Notes in global form, or any successor entity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Default</w:t>
      </w:r>
      <w:r>
        <w:rPr>
          <w:color w:val="000000"/>
        </w:rPr>
        <w:t xml:space="preserve">” </w:t>
      </w:r>
      <w:r>
        <w:rPr>
          <w:rFonts w:ascii="Times New Roman;serif" w:hAnsi="Times New Roman;serif"/>
          <w:b w:val="false"/>
          <w:color w:val="000000"/>
          <w:sz w:val="24"/>
        </w:rPr>
        <w:t xml:space="preserve">means any event that is, or with the passage of time or the giving of notice or both would be, an Event of Default.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Definitive Note</w:t>
      </w:r>
      <w:r>
        <w:rPr>
          <w:color w:val="000000"/>
        </w:rPr>
        <w:t xml:space="preserve">” </w:t>
      </w:r>
      <w:r>
        <w:rPr>
          <w:rFonts w:ascii="Times New Roman;serif" w:hAnsi="Times New Roman;serif"/>
          <w:b w:val="false"/>
          <w:color w:val="000000"/>
          <w:sz w:val="24"/>
        </w:rPr>
        <w:t xml:space="preserve">means a certificated Note registered in the name of the Holder thereof and issued in accordance with Section 2.06 hereof, substantially in the form of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hereto except that such Note shall not bear the Global Note Legend and shall not have the “Schedule of Exchanges of Interest in the Global Note” attached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Depositary</w:t>
      </w:r>
      <w:r>
        <w:rPr>
          <w:color w:val="000000"/>
        </w:rPr>
        <w:t xml:space="preserve">” </w:t>
      </w:r>
      <w:r>
        <w:rPr>
          <w:rFonts w:ascii="Times New Roman;serif" w:hAnsi="Times New Roman;serif"/>
          <w:b w:val="false"/>
          <w:color w:val="000000"/>
          <w:sz w:val="24"/>
        </w:rPr>
        <w:t>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Derivative Instrument</w:t>
      </w:r>
      <w:r>
        <w:rPr>
          <w:color w:val="000000"/>
        </w:rPr>
        <w:t xml:space="preserve">” </w:t>
      </w:r>
      <w:r>
        <w:rPr>
          <w:rFonts w:ascii="Times New Roman;serif" w:hAnsi="Times New Roman;serif"/>
          <w:b w:val="false"/>
          <w:color w:val="000000"/>
          <w:sz w:val="24"/>
        </w:rPr>
        <w:t xml:space="preserve">means with respect to a Person other than any Person that is a Regulated Bank, means any contract, instrument or other right to receive payment or delivery of </w:t>
      </w:r>
    </w:p>
    <w:p>
      <w:pPr>
        <w:pStyle w:val="TextBody"/>
        <w:bidi w:val="0"/>
        <w:spacing w:lineRule="auto" w:line="276" w:before="0" w:after="240"/>
        <w:jc w:val="both"/>
        <w:rPr/>
      </w:pPr>
      <w:r>
        <w:rPr>
          <w:rFonts w:ascii="Times New Roman;serif" w:hAnsi="Times New Roman;serif"/>
          <w:b w:val="false"/>
          <w:color w:val="000000"/>
          <w:sz w:val="24"/>
        </w:rPr>
        <w:t>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 or the creditworthiness of any Issuer and/or any one or more of the Guarantors (the “</w:t>
      </w:r>
      <w:r>
        <w:rPr>
          <w:rFonts w:ascii="Times New Roman;serif" w:hAnsi="Times New Roman;serif"/>
          <w:b w:val="false"/>
          <w:i/>
          <w:color w:val="000000"/>
          <w:sz w:val="24"/>
        </w:rPr>
        <w:t>Performance References</w:t>
      </w:r>
      <w:r>
        <w:rPr>
          <w:color w:val="000000"/>
        </w:rPr>
        <w:t>”</w:t>
      </w:r>
      <w:r>
        <w:rPr>
          <w:rFonts w:ascii="Times New Roman;serif" w:hAnsi="Times New Roman;serif"/>
          <w:b w:val="false"/>
          <w:color w:val="000000"/>
          <w:sz w:val="24"/>
        </w:rPr>
        <w:t>).</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Designated Officer</w:t>
      </w:r>
      <w:r>
        <w:rPr>
          <w:color w:val="000000"/>
        </w:rPr>
        <w:t xml:space="preserve">” </w:t>
      </w:r>
      <w:r>
        <w:rPr>
          <w:rFonts w:ascii="Times New Roman;serif" w:hAnsi="Times New Roman;serif"/>
          <w:b w:val="false"/>
          <w:color w:val="000000"/>
          <w:sz w:val="24"/>
        </w:rPr>
        <w:t>means, with respect to any Person, the Chairman of the Board, the Chief Executive Officer, the President, the Chief Operating Officer, the Chief Financial Officer, the Treasurer, the Controller, the Secretary, the Assistant Secretary or any Vice President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Development Project</w:t>
      </w:r>
      <w:r>
        <w:rPr>
          <w:color w:val="000000"/>
        </w:rPr>
        <w:t xml:space="preserve">” </w:t>
      </w:r>
      <w:r>
        <w:rPr>
          <w:rFonts w:ascii="Times New Roman;serif" w:hAnsi="Times New Roman;serif"/>
          <w:b w:val="false"/>
          <w:color w:val="000000"/>
          <w:sz w:val="24"/>
        </w:rPr>
        <w:t>means investments, Capital Expenditures and other expenditures, directly or indirectly, (a) in any joint ventures in which an Issuer or any Guarantor, directly or indirectly, has control or with whom it has a management, development or similar contract and, in the case of a joint venture, in which an Issuer or any Guarantor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an Issuer or any of Guarantor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casinos, casino resorts, “racinos,” racetracks, non-gaming resorts, hotels, distributed gaming applications, entertainment developments, restaurants, retail developments and taverns.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Domestic Subsidiary</w:t>
      </w:r>
      <w:r>
        <w:rPr>
          <w:color w:val="000000"/>
        </w:rPr>
        <w:t xml:space="preserve">” </w:t>
      </w:r>
      <w:r>
        <w:rPr>
          <w:rFonts w:ascii="Times New Roman;serif" w:hAnsi="Times New Roman;serif"/>
          <w:b w:val="false"/>
          <w:color w:val="000000"/>
          <w:sz w:val="24"/>
        </w:rPr>
        <w:t>means any Subsidiary of Wynn Resorts Finance (other than Wynn Resorts Capital) that was formed under the laws of the United States or any state of the United States or the District of Columbia or that guarantees or otherwise provides direct credit support for any Indebtedness of Wynn Resorts Finance.</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Encore Boston Harbor</w:t>
      </w:r>
      <w:r>
        <w:rPr>
          <w:color w:val="000000"/>
        </w:rPr>
        <w:t xml:space="preserve">” </w:t>
      </w:r>
      <w:r>
        <w:rPr>
          <w:rFonts w:ascii="Times New Roman;serif" w:hAnsi="Times New Roman;serif"/>
          <w:b w:val="false"/>
          <w:color w:val="000000"/>
          <w:sz w:val="24"/>
        </w:rPr>
        <w:t>shall mean the casino resort and related amenities owned and/or operated by Wynn Resorts Finance and its Subsidiaries in Everett, Massachusetts.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Equity Interests</w:t>
      </w:r>
      <w:r>
        <w:rPr>
          <w:color w:val="000000"/>
        </w:rPr>
        <w:t xml:space="preserve">” </w:t>
      </w:r>
      <w:r>
        <w:rPr>
          <w:rFonts w:ascii="Times New Roman;serif" w:hAnsi="Times New Roman;serif"/>
          <w:b w:val="false"/>
          <w:color w:val="000000"/>
          <w:sz w:val="24"/>
        </w:rPr>
        <w:t xml:space="preserve">means Capital Stock and all warrants, options or other rights to acquire Capital Stock (but excluding any debt security that is convertible into, or exchangeable for, Capital Stock).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Equity Offering</w:t>
      </w:r>
      <w:r>
        <w:rPr>
          <w:color w:val="000000"/>
        </w:rPr>
        <w:t xml:space="preserve">” </w:t>
      </w:r>
      <w:r>
        <w:rPr>
          <w:rFonts w:ascii="Times New Roman;serif" w:hAnsi="Times New Roman;serif"/>
          <w:b w:val="false"/>
          <w:color w:val="000000"/>
          <w:sz w:val="24"/>
        </w:rPr>
        <w:t>means a public offering or private placement for cash by Wynn Resorts Finance, or of any parent of Wynn Resorts Finance the proceeds of which are contributed to Wynn Resorts Finance, of its Capital Stock, or options, warrants or rights with respect to its Capital Stock, other than (x) any issuances pursuant to employee benefit plans or otherwise in compensation to officers, directors or employees or (y) an issuance to any Subsidiary of Wynn Resorts Finance.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Euroclear</w:t>
      </w:r>
      <w:r>
        <w:rPr>
          <w:color w:val="000000"/>
        </w:rPr>
        <w:t xml:space="preserve">” </w:t>
      </w:r>
      <w:r>
        <w:rPr>
          <w:rFonts w:ascii="Times New Roman;serif" w:hAnsi="Times New Roman;serif"/>
          <w:b w:val="false"/>
          <w:color w:val="000000"/>
          <w:sz w:val="24"/>
        </w:rPr>
        <w:t>means Euroclear Bank, S.A./N.V., as operator of the Euroclear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Excluded Subsidiary</w:t>
      </w:r>
      <w:r>
        <w:rPr>
          <w:color w:val="000000"/>
        </w:rPr>
        <w:t xml:space="preserve">” </w:t>
      </w:r>
      <w:r>
        <w:rPr>
          <w:rFonts w:ascii="Times New Roman;serif" w:hAnsi="Times New Roman;serif"/>
          <w:b w:val="false"/>
          <w:color w:val="000000"/>
          <w:sz w:val="24"/>
        </w:rPr>
        <w:t>means any Subsidiary of Wynn Resorts Finance, other than Wynn Resorts Capital, that is designated by the Board of Directors of Wynn Resorts Capital as an Excluded Subsidiary pursuant to a resolution of the Board of Directors (and any Subsidiary of each such Excluded Subsidiary), but only to the extent that such Subsidiary of Wynn Resorts Finance does not, directly or indirectly, guarantee or otherwise provide direct credit support for the Senior Credit Facilities or any other Indebtedness of Wynn Resorts Finance and is not subject to any covenants in, or Liens securing, the 2027 LV Notes; provided that if any Excluded Subsidiary directly or indirectly, guarantees or otherwise provides direct credit support for any Indebtedness of Wynn Resorts Finance or becomes subject to the covenants in, or Liens securing, the 2027 LV Notes, such Excluded Subsidiary will thereafter not be an Excluded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Expansion Capital Expenditures</w:t>
      </w:r>
      <w:r>
        <w:rPr>
          <w:color w:val="000000"/>
        </w:rPr>
        <w:t xml:space="preserve">” </w:t>
      </w:r>
      <w:r>
        <w:rPr>
          <w:rFonts w:ascii="Times New Roman;serif" w:hAnsi="Times New Roman;serif"/>
          <w:b w:val="false"/>
          <w:color w:val="000000"/>
          <w:sz w:val="24"/>
        </w:rPr>
        <w:t>means any capital expenditure by an Issuer or any of Guarantor in respect of the purchase, construction, or other acquisition of any fixed or capital assets or the refurbishment of existing assets or properties that, in Wynn Resorts Finance’s reasonable determination, adds to or improves (or is reasonably expected to add to or improve) the property of the Issuers and the Guarantors, excluding any such capital expenditures fully financed with net cash proceeds of an asset sale or casualty event and excluding capital expenditures made in the ordinary course made to maintain, repair, restore or refurbish the property of the Issuers and the Guarantors in its then existing state or to support the continuation of such Person’s day to day operations as then conducted.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Fair Market Value</w:t>
      </w:r>
      <w:r>
        <w:rPr>
          <w:color w:val="000000"/>
        </w:rPr>
        <w:t xml:space="preserve">” </w:t>
      </w:r>
      <w:r>
        <w:rPr>
          <w:rFonts w:ascii="Times New Roman;serif" w:hAnsi="Times New Roman;serif"/>
          <w:b w:val="false"/>
          <w:color w:val="000000"/>
          <w:sz w:val="24"/>
        </w:rPr>
        <w:t>means the value that would be paid by a willing buyer to an unaffiliated willing seller in a transaction not involving distress or necessity of either party, determined in good faith by (1) an appropriate officer of Wynn Resorts Finance, in the case of any value equal to or less than $50.0 million or (2) the Board of Directors of Wynn Resorts Capital, in the event of any value greater than $50.0 million (in each case, unless otherwise provided in this Indenture).</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Fitch</w:t>
      </w:r>
      <w:r>
        <w:rPr>
          <w:color w:val="000000"/>
        </w:rPr>
        <w:t xml:space="preserve">” </w:t>
      </w:r>
      <w:r>
        <w:rPr>
          <w:rFonts w:ascii="Times New Roman;serif" w:hAnsi="Times New Roman;serif"/>
          <w:b w:val="false"/>
          <w:color w:val="000000"/>
          <w:sz w:val="24"/>
        </w:rPr>
        <w:t>means Fitch, Inc., a subsidiary of Fimalac, S.A., and any successor to its rating agency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Funded Debt</w:t>
      </w:r>
      <w:r>
        <w:rPr>
          <w:color w:val="000000"/>
        </w:rPr>
        <w:t xml:space="preserve">” </w:t>
      </w:r>
      <w:r>
        <w:rPr>
          <w:rFonts w:ascii="Times New Roman;serif" w:hAnsi="Times New Roman;serif"/>
          <w:b w:val="false"/>
          <w:color w:val="000000"/>
          <w:sz w:val="24"/>
        </w:rPr>
        <w:t>means all Indebtedness of Wynn Resorts Finance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Gaming Authority</w:t>
      </w:r>
      <w:r>
        <w:rPr>
          <w:color w:val="000000"/>
        </w:rPr>
        <w:t xml:space="preserve">” </w:t>
      </w:r>
      <w:r>
        <w:rPr>
          <w:rFonts w:ascii="Times New Roman;serif" w:hAnsi="Times New Roman;serif"/>
          <w:b w:val="false"/>
          <w:color w:val="000000"/>
          <w:sz w:val="24"/>
        </w:rPr>
        <w:t xml:space="preserve">means any agency, authority, board, bureau, commission, department, office or instrumentality of any nature whatsoever of the United States federal government, any foreign government, any state, province or city or other political subdivision or otherwise, whether on the Issue Date or thereafter in existence, including the Massachusetts Gaming Commission, the Nevada Gaming Commission, the Nevada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Resorts Finance or any of the Guarantors, or the ownership of an interest in any such entity.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Gaming Facility</w:t>
      </w:r>
      <w:r>
        <w:rPr>
          <w:color w:val="000000"/>
        </w:rPr>
        <w:t xml:space="preserve">” </w:t>
      </w:r>
      <w:r>
        <w:rPr>
          <w:rFonts w:ascii="Times New Roman;serif" w:hAnsi="Times New Roman;serif"/>
          <w:b w:val="false"/>
          <w:color w:val="000000"/>
          <w:sz w:val="24"/>
        </w:rPr>
        <w:t xml:space="preserve">means any gaming establishment, facility and other property or assets ancillary or related thereto or used in connection therewith, including, without limitation, any casinos, hotels, resorts, theaters, convention space, parking facilities, timeshare operations, retail shops, restaurants, other buildings, land, golf courses and other recreation and entertainment facilities, marinas, vessels and related equipment.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Gaming Law</w:t>
      </w:r>
      <w:r>
        <w:rPr>
          <w:color w:val="000000"/>
        </w:rPr>
        <w:t xml:space="preserve">” </w:t>
      </w:r>
      <w:r>
        <w:rPr>
          <w:rFonts w:ascii="Times New Roman;serif" w:hAnsi="Times New Roman;serif"/>
          <w:b w:val="false"/>
          <w:color w:val="000000"/>
          <w:sz w:val="24"/>
        </w:rPr>
        <w:t xml:space="preserve">means the gaming laws, rules, regulations or ordinances of any jurisdiction or jurisdictions to which Wynn Resorts Finance or any of the Guarantors is, or may be, at any time subject.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Gaming License</w:t>
      </w:r>
      <w:r>
        <w:rPr>
          <w:color w:val="000000"/>
        </w:rPr>
        <w:t xml:space="preserve">” </w:t>
      </w:r>
      <w:r>
        <w:rPr>
          <w:rFonts w:ascii="Times New Roman;serif" w:hAnsi="Times New Roman;serif"/>
          <w:b w:val="false"/>
          <w:color w:val="000000"/>
          <w:sz w:val="24"/>
        </w:rPr>
        <w:t xml:space="preserve">means any license, registration, permit, franchise or other authorization from any Gaming Authority necessary on the Issue Date or at any time thereafter to own, lease, operate or otherwise conduct the gaming business of Wynn Resorts Finance or any of the Guarantors, or to own an interest in any such entity.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Global Note Legend</w:t>
      </w:r>
      <w:r>
        <w:rPr>
          <w:color w:val="000000"/>
        </w:rPr>
        <w:t xml:space="preserve">” </w:t>
      </w:r>
      <w:r>
        <w:rPr>
          <w:rFonts w:ascii="Times New Roman;serif" w:hAnsi="Times New Roman;serif"/>
          <w:b w:val="false"/>
          <w:color w:val="000000"/>
          <w:sz w:val="24"/>
        </w:rPr>
        <w:t>means the legend set forth in Section 2.06(f)(2), which is required to be placed on all Global Notes issued under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Global Notes</w:t>
      </w:r>
      <w:r>
        <w:rPr>
          <w:color w:val="000000"/>
        </w:rPr>
        <w:t xml:space="preserve">” </w:t>
      </w:r>
      <w:r>
        <w:rPr>
          <w:rFonts w:ascii="Times New Roman;serif" w:hAnsi="Times New Roman;serif"/>
          <w:b w:val="false"/>
          <w:color w:val="000000"/>
          <w:sz w:val="24"/>
        </w:rPr>
        <w:t xml:space="preserve">means each of the global Notes issued in accordance with Section 2.01 and substantially in the form of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 xml:space="preserve">attached hereto that, except as otherwise provided in Section 2.01(b) hereof, bear the Global Note Legend and that have the “Schedule of Exchanges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Interests in the Global Note” attached thereto, and that are deposited with or on behalf of and registered in the name of the Depositary.</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Government Securities</w:t>
      </w:r>
      <w:r>
        <w:rPr>
          <w:color w:val="000000"/>
        </w:rPr>
        <w:t xml:space="preserve">” </w:t>
      </w:r>
      <w:r>
        <w:rPr>
          <w:rFonts w:ascii="Times New Roman;serif" w:hAnsi="Times New Roman;serif"/>
          <w:b w:val="false"/>
          <w:color w:val="000000"/>
          <w:sz w:val="24"/>
        </w:rPr>
        <w:t xml:space="preserve">means securities that are: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direct obligations of the United States of America for the timely payment of which its full faith and credit is pledged; or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obligations of a Person controlled or supervised by and acting as an agency or instrumentality of the United States of America the timely payment of which is unconditionally guaranteed as a full faith and credit obligation by the United States of America;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Guarantee</w:t>
      </w:r>
      <w:r>
        <w:rPr>
          <w:color w:val="000000"/>
        </w:rPr>
        <w:t xml:space="preserve">” </w:t>
      </w:r>
      <w:r>
        <w:rPr>
          <w:rFonts w:ascii="Times New Roman;serif" w:hAnsi="Times New Roman;serif"/>
          <w:b w:val="false"/>
          <w:color w:val="000000"/>
          <w:sz w:val="24"/>
        </w:rPr>
        <w:t xml:space="preserve">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Guarantor</w:t>
      </w:r>
      <w:r>
        <w:rPr>
          <w:color w:val="000000"/>
        </w:rPr>
        <w:t xml:space="preserve">” </w:t>
      </w:r>
      <w:r>
        <w:rPr>
          <w:rFonts w:ascii="Times New Roman;serif" w:hAnsi="Times New Roman;serif"/>
          <w:b w:val="false"/>
          <w:color w:val="000000"/>
          <w:sz w:val="24"/>
        </w:rPr>
        <w:t xml:space="preserve">means each 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the Domestic Subsidiaries, other than Excluded Subsidiaries,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any other Person that provides a Guarantee by executing a supplemental indenture in accordance with the provisions of this Indenture,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Hedging Obligations</w:t>
      </w:r>
      <w:r>
        <w:rPr>
          <w:color w:val="000000"/>
        </w:rPr>
        <w:t xml:space="preserve">” </w:t>
      </w:r>
      <w:r>
        <w:rPr>
          <w:rFonts w:ascii="Times New Roman;serif" w:hAnsi="Times New Roman;serif"/>
          <w:b w:val="false"/>
          <w:color w:val="000000"/>
          <w:sz w:val="24"/>
        </w:rPr>
        <w:t xml:space="preserve">means, with respect to any specified Person, the obligations of such Person under: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interest rate swap agreements (whether from fixed to floating or from floating to fixed), interest rate cap agreements and interest rate collar agreements;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other agreements or arrangements designed to manage interest rates or interest rate risk; and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other agreements or arrangements designed to protect such Person against fluctuations in currency exchange rates and/or commodity prices.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Holder</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holder</w:t>
      </w:r>
      <w:r>
        <w:rPr>
          <w:color w:val="000000"/>
        </w:rPr>
        <w:t xml:space="preserve">” </w:t>
      </w:r>
      <w:r>
        <w:rPr>
          <w:rFonts w:ascii="Times New Roman;serif" w:hAnsi="Times New Roman;serif"/>
          <w:b w:val="false"/>
          <w:color w:val="000000"/>
          <w:sz w:val="24"/>
        </w:rPr>
        <w:t xml:space="preserve">means any registered holder, from time to time, of the Notes. Only registered holders shall have any rights under this Indenture.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IAI Global Note</w:t>
      </w:r>
      <w:r>
        <w:rPr>
          <w:color w:val="000000"/>
        </w:rPr>
        <w:t xml:space="preserve">” </w:t>
      </w:r>
      <w:r>
        <w:rPr>
          <w:rFonts w:ascii="Times New Roman;serif" w:hAnsi="Times New Roman;serif"/>
          <w:b w:val="false"/>
          <w:color w:val="000000"/>
          <w:sz w:val="24"/>
        </w:rPr>
        <w:t xml:space="preserve">means a Global Note substantially in the form of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Immaterial Subsidiary</w:t>
      </w:r>
      <w:r>
        <w:rPr>
          <w:color w:val="000000"/>
        </w:rPr>
        <w:t xml:space="preserve">” </w:t>
      </w:r>
      <w:r>
        <w:rPr>
          <w:rFonts w:ascii="Times New Roman;serif" w:hAnsi="Times New Roman;serif"/>
          <w:b w:val="false"/>
          <w:color w:val="000000"/>
          <w:sz w:val="24"/>
        </w:rPr>
        <w:t>means, as of any date, any Subsidiary whose total assets, as of that date, are less than $150.0 million; provided that a Subsidiary shall not be considered to be an Immaterial Subsidiary if it, directly or indirectly, guarantees or otherwise provides direct credit support for any Indebtedness of Wynn Resorts Finance.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Indebtedness</w:t>
      </w:r>
      <w:r>
        <w:rPr>
          <w:color w:val="000000"/>
        </w:rPr>
        <w:t xml:space="preserve">” </w:t>
      </w:r>
      <w:r>
        <w:rPr>
          <w:rFonts w:ascii="Times New Roman;serif" w:hAnsi="Times New Roman;serif"/>
          <w:b w:val="false"/>
          <w:color w:val="000000"/>
          <w:sz w:val="24"/>
        </w:rPr>
        <w:t xml:space="preserve">means, with respect to any specified Person, any indebtedness of such Person (excluding accrued expenses and trade payables), whether or not contingent: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in respect of borrowed money;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evidenced by bonds, notes, debentures or similar instruments or letters of credit (or reimbursement agreements in respect thereof);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in respect of banker’s acceptances;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(4)    representing a Capital Lease Obligation or Attributable Debt;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(5)    representing the balance deferred and unpaid of the purchase price of any property or services due more than six months after such property is acquired or such services are completed; or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(6)    representing any Hedging Obligations,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and to the extent any of the preceding items (other than letters of credit, Attributable Debt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amount of any Indebtedness outstanding as of any date shall be: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the accreted value of the Indebtedness, in the case of any Indebtedness issued with original issue discount;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the principal amount of the Indebtedness, together with any interest on the Indebtedness that is more than 30 days past due, in the case of any other Indebtedness;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in the case of a Guarantee of Indebtedness, the maximum amount of the Indebtedness guaranteed under such Guarantee;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(4)    in the case of Indebtedness of others secured by a Lien on any asset of the specified Person, the lesser of: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(a)    the face amount of such Indebtedness (plus, in the case of any letter of credit or similar instrument, the amount of any reimbursement obligations in respect thereof), and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(b)    the Fair Market Value of the asset(s) subject to such Lien.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contained in this Indenture to the contrary, any obligation of the Issuers or Guarantors incurred in the ordinary course of business in respect of casino chips or similar instruments shall not constitute “Indebtedness” for any purpose under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Indenture</w:t>
      </w:r>
      <w:r>
        <w:rPr>
          <w:color w:val="000000"/>
        </w:rPr>
        <w:t xml:space="preserve">” </w:t>
      </w:r>
      <w:r>
        <w:rPr>
          <w:rFonts w:ascii="Times New Roman;serif" w:hAnsi="Times New Roman;serif"/>
          <w:b w:val="false"/>
          <w:color w:val="000000"/>
          <w:sz w:val="24"/>
        </w:rPr>
        <w:t>means this Indenture, as amended or supplemented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Independent Investment Banker</w:t>
      </w:r>
      <w:r>
        <w:rPr>
          <w:color w:val="000000"/>
        </w:rPr>
        <w:t xml:space="preserve">” </w:t>
      </w:r>
      <w:r>
        <w:rPr>
          <w:rFonts w:ascii="Times New Roman;serif" w:hAnsi="Times New Roman;serif"/>
          <w:b w:val="false"/>
          <w:color w:val="000000"/>
          <w:sz w:val="24"/>
        </w:rPr>
        <w:t>means one of the Reference Treasury Dealers appointed by Wynn Resorts Finance.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Indirect Participant</w:t>
      </w:r>
      <w:r>
        <w:rPr>
          <w:color w:val="000000"/>
        </w:rPr>
        <w:t xml:space="preserve">” </w:t>
      </w:r>
      <w:r>
        <w:rPr>
          <w:rFonts w:ascii="Times New Roman;serif" w:hAnsi="Times New Roman;serif"/>
          <w:b w:val="false"/>
          <w:color w:val="000000"/>
          <w:sz w:val="24"/>
        </w:rPr>
        <w:t>means a Person who holds a beneficial interest in a Global Note through a Participant.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Initial Notes</w:t>
      </w:r>
      <w:r>
        <w:rPr>
          <w:color w:val="000000"/>
        </w:rPr>
        <w:t xml:space="preserve">” </w:t>
      </w:r>
      <w:r>
        <w:rPr>
          <w:rFonts w:ascii="Times New Roman;serif" w:hAnsi="Times New Roman;serif"/>
          <w:b w:val="false"/>
          <w:color w:val="000000"/>
          <w:sz w:val="24"/>
        </w:rPr>
        <w:t>means the first $900,000,000 aggregate principal amount of Notes issued under this Indenture on the Issue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Institutional Accredited Investor</w:t>
      </w:r>
      <w:r>
        <w:rPr>
          <w:color w:val="000000"/>
        </w:rPr>
        <w:t xml:space="preserve">” </w:t>
      </w:r>
      <w:r>
        <w:rPr>
          <w:rFonts w:ascii="Times New Roman;serif" w:hAnsi="Times New Roman;serif"/>
          <w:b w:val="false"/>
          <w:color w:val="000000"/>
          <w:sz w:val="24"/>
        </w:rPr>
        <w:t>means an institution that is an “accredited investor” as defined in Rule 501(a)(1), (2), (3) or (7) under the Securities Act, who are not also QIBs.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Investment Grade</w:t>
      </w:r>
      <w:r>
        <w:rPr>
          <w:color w:val="000000"/>
        </w:rPr>
        <w:t xml:space="preserve">” </w:t>
      </w:r>
      <w:r>
        <w:rPr>
          <w:rFonts w:ascii="Times New Roman;serif" w:hAnsi="Times New Roman;serif"/>
          <w:b w:val="false"/>
          <w:color w:val="000000"/>
          <w:sz w:val="24"/>
        </w:rPr>
        <w:t>means a rating of Baa3 or better by Moody’s (or its equivalent under any successor rating categories of Moody’s), a rating of BBB- or better by S&amp;P (or its equivalent under any successor rating categories of S&amp;P), BBB- or better by Fitch (or its equivalent under any successor rating categories of Fitch) or the equivalent Investment Grade credit rating from any additional Rating Agency or Rating Agencies selected by Wynn Resorts Finance,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IP Licensing Fees</w:t>
      </w:r>
      <w:r>
        <w:rPr>
          <w:color w:val="000000"/>
        </w:rPr>
        <w:t xml:space="preserve">” </w:t>
      </w:r>
      <w:r>
        <w:rPr>
          <w:rFonts w:ascii="Times New Roman;serif" w:hAnsi="Times New Roman;serif"/>
          <w:b w:val="false"/>
          <w:color w:val="000000"/>
          <w:sz w:val="24"/>
        </w:rPr>
        <w:t xml:space="preserve">means any fees payable by an Issuer or a Guarantor to any Affiliate (other than an Issuer or a Guarantor) pursuant to (a) (i) that certain 2014 Intellectual Property Licensing Agreement, dated as of November 20, 2014, among Wynn Resorts Holdings, LLC,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Wynn Resorts and Wynn MA and (ii) that certain Intellectual Property 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Issue Date</w:t>
      </w:r>
      <w:r>
        <w:rPr>
          <w:color w:val="000000"/>
        </w:rPr>
        <w:t xml:space="preserve">” </w:t>
      </w:r>
      <w:r>
        <w:rPr>
          <w:rFonts w:ascii="Times New Roman;serif" w:hAnsi="Times New Roman;serif"/>
          <w:b w:val="false"/>
          <w:color w:val="000000"/>
          <w:sz w:val="24"/>
        </w:rPr>
        <w:t xml:space="preserve">means September 22, 2026.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Issuers</w:t>
      </w:r>
      <w:r>
        <w:rPr>
          <w:color w:val="000000"/>
        </w:rPr>
        <w:t xml:space="preserve">” </w:t>
      </w:r>
      <w:r>
        <w:rPr>
          <w:rFonts w:ascii="Times New Roman;serif" w:hAnsi="Times New Roman;serif"/>
          <w:b w:val="false"/>
          <w:color w:val="000000"/>
          <w:sz w:val="24"/>
        </w:rPr>
        <w:t xml:space="preserve">means Wynn Resorts Finance and Wynn Resorts Capital.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Joint Venture</w:t>
      </w:r>
      <w:r>
        <w:rPr>
          <w:color w:val="000000"/>
        </w:rPr>
        <w:t xml:space="preserve">” </w:t>
      </w:r>
      <w:r>
        <w:rPr>
          <w:rFonts w:ascii="Times New Roman;serif" w:hAnsi="Times New Roman;serif"/>
          <w:b w:val="false"/>
          <w:color w:val="000000"/>
          <w:sz w:val="24"/>
        </w:rPr>
        <w:t>means any partnership, corporation or other entity, in which up to and including 50% of the partnership interests, outstanding Voting Stock or other Equity Interests is owned, directly or indirectly, by Wynn Resorts Finance and/or one or more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Legal Holiday</w:t>
      </w:r>
      <w:r>
        <w:rPr>
          <w:color w:val="000000"/>
        </w:rPr>
        <w:t xml:space="preserve">” </w:t>
      </w:r>
      <w:r>
        <w:rPr>
          <w:rFonts w:ascii="Times New Roman;serif" w:hAnsi="Times New Roman;serif"/>
          <w:b w:val="false"/>
          <w:color w:val="000000"/>
          <w:sz w:val="24"/>
        </w:rPr>
        <w:t>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Lien</w:t>
      </w:r>
      <w:r>
        <w:rPr>
          <w:color w:val="000000"/>
        </w:rPr>
        <w:t xml:space="preserve">” </w:t>
      </w:r>
      <w:r>
        <w:rPr>
          <w:rFonts w:ascii="Times New Roman;serif" w:hAnsi="Times New Roman;serif"/>
          <w:b w:val="false"/>
          <w:color w:val="000000"/>
          <w:sz w:val="24"/>
        </w:rPr>
        <w:t>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an aircraft shall not be considered a Lien for purposes of this Indenture.</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Long Derivative Instrument</w:t>
      </w:r>
      <w:r>
        <w:rPr>
          <w:color w:val="000000"/>
        </w:rPr>
        <w:t xml:space="preserve">” </w:t>
      </w:r>
      <w:r>
        <w:rPr>
          <w:rFonts w:ascii="Times New Roman;serif" w:hAnsi="Times New Roman;serif"/>
          <w:b w:val="false"/>
          <w:color w:val="000000"/>
          <w:sz w:val="24"/>
        </w:rPr>
        <w:t>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Macau Resort</w:t>
      </w:r>
      <w:r>
        <w:rPr>
          <w:color w:val="000000"/>
        </w:rPr>
        <w:t xml:space="preserve">” </w:t>
      </w:r>
      <w:r>
        <w:rPr>
          <w:rFonts w:ascii="Times New Roman;serif" w:hAnsi="Times New Roman;serif"/>
          <w:b w:val="false"/>
          <w:color w:val="000000"/>
          <w:sz w:val="24"/>
        </w:rPr>
        <w:t>means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Management Fees</w:t>
      </w:r>
      <w:r>
        <w:rPr>
          <w:color w:val="000000"/>
        </w:rPr>
        <w:t xml:space="preserve">” </w:t>
      </w:r>
      <w:r>
        <w:rPr>
          <w:rFonts w:ascii="Times New Roman;serif" w:hAnsi="Times New Roman;serif"/>
          <w:b w:val="false"/>
          <w:color w:val="000000"/>
          <w:sz w:val="24"/>
        </w:rPr>
        <w:t xml:space="preserve">means (a) any fees, costs, expenses or reimbursements payable by an Issuer or a Guarantor to any Affiliate (other than an Issuer or a Guarantor) pursuant to (i) that certain Management Fee and Corporate Allocation Agreement, dated as of November 20, 2014,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between Encore Boston Harbor and Wynn Resorts and (ii) that certain Management Agreement, dated February 26, 2015, between Wynn Las Vegas and Wynn Resorts and (b) without duplication to any fees, costs, expenses or reimbursements paid or made under any agreement described in clause (a), management agreements in form and substance substantially similar to any agreement described in clause (a).</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Minimum Cage Cash Amount</w:t>
      </w:r>
      <w:r>
        <w:rPr>
          <w:color w:val="000000"/>
        </w:rPr>
        <w:t xml:space="preserve">” </w:t>
      </w:r>
      <w:r>
        <w:rPr>
          <w:rFonts w:ascii="Times New Roman;serif" w:hAnsi="Times New Roman;serif"/>
          <w:b w:val="false"/>
          <w:color w:val="000000"/>
          <w:sz w:val="24"/>
        </w:rPr>
        <w:t>means, as of any date of determination, an amount equal to $15.0 million multiplied by the number of material Gaming Facilities (as determined by Wynn Resorts Finance in good faith) owned and operated by an Issuer or a Guarantor. For purposes of this definition, as of the Issue Date each of (a) the Wynn Las Vegas resort casino and Encore at Wynn Las Vegas (taken as a whole) and (b) Encore Boston Harbor shall count as material Gaming Facilities such that as of the Issue Date the Minimum Cage Cash Amount shall be $30.0 million.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Moody’s</w:t>
      </w:r>
      <w:r>
        <w:rPr>
          <w:color w:val="000000"/>
        </w:rPr>
        <w:t xml:space="preserve">” </w:t>
      </w:r>
      <w:r>
        <w:rPr>
          <w:rFonts w:ascii="Times New Roman;serif" w:hAnsi="Times New Roman;serif"/>
          <w:b w:val="false"/>
          <w:color w:val="000000"/>
          <w:sz w:val="24"/>
        </w:rPr>
        <w:t xml:space="preserve">means Moody’s Investors Service, Inc., or any successor to its statistical rating business, except that any reference to a particular rating by Moody’s shall be deemed to be a reference to the corresponding rating by any such successor. </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Net Short</w:t>
      </w:r>
      <w:r>
        <w:rPr>
          <w:color w:val="000000"/>
        </w:rPr>
        <w:t xml:space="preserve">” </w:t>
      </w:r>
      <w:r>
        <w:rPr>
          <w:rFonts w:ascii="Times New Roman;serif" w:hAnsi="Times New Roman;serif"/>
          <w:b w:val="false"/>
          <w:color w:val="000000"/>
          <w:sz w:val="24"/>
        </w:rPr>
        <w:t>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 Issuer or any Guarantor immediately prior to such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Non-U.S. Person</w:t>
      </w:r>
      <w:r>
        <w:rPr>
          <w:color w:val="000000"/>
        </w:rPr>
        <w:t xml:space="preserve">” </w:t>
      </w:r>
      <w:r>
        <w:rPr>
          <w:rFonts w:ascii="Times New Roman;serif" w:hAnsi="Times New Roman;serif"/>
          <w:b w:val="false"/>
          <w:color w:val="000000"/>
          <w:sz w:val="24"/>
        </w:rPr>
        <w:t>means a Person who is not a U.S.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Note Guarantee</w:t>
      </w:r>
      <w:r>
        <w:rPr>
          <w:color w:val="000000"/>
        </w:rPr>
        <w:t xml:space="preserve">” </w:t>
      </w:r>
      <w:r>
        <w:rPr>
          <w:rFonts w:ascii="Times New Roman;serif" w:hAnsi="Times New Roman;serif"/>
          <w:b w:val="false"/>
          <w:color w:val="000000"/>
          <w:sz w:val="24"/>
        </w:rPr>
        <w:t>means the Guarantee, by each Guarantor of the Issuers’ obligations under this Indenture and the Notes, executed pursuant to the provisions of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Notes</w:t>
      </w:r>
      <w:r>
        <w:rPr>
          <w:color w:val="000000"/>
        </w:rPr>
        <w:t xml:space="preserve">” </w:t>
      </w:r>
      <w:r>
        <w:rPr>
          <w:rFonts w:ascii="Times New Roman;serif" w:hAnsi="Times New Roman;serif"/>
          <w:b w:val="false"/>
          <w:color w:val="000000"/>
          <w:sz w:val="24"/>
        </w:rPr>
        <w:t>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Obligations</w:t>
      </w:r>
      <w:r>
        <w:rPr>
          <w:color w:val="000000"/>
        </w:rPr>
        <w:t xml:space="preserve">” </w:t>
      </w:r>
      <w:r>
        <w:rPr>
          <w:rFonts w:ascii="Times New Roman;serif" w:hAnsi="Times New Roman;serif"/>
          <w:b w:val="false"/>
          <w:color w:val="000000"/>
          <w:sz w:val="24"/>
        </w:rPr>
        <w:t xml:space="preserve">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Officer</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with respect to a corporation, a Designated Officer of such corporation;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with respect to a partnership, a Designated Officer of the general partner of such partnership;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Officers’ Certificate</w:t>
      </w:r>
      <w:r>
        <w:rPr>
          <w:color w:val="000000"/>
        </w:rPr>
        <w:t xml:space="preserve">” </w:t>
      </w:r>
      <w:r>
        <w:rPr>
          <w:rFonts w:ascii="Times New Roman;serif" w:hAnsi="Times New Roman;serif"/>
          <w:b w:val="false"/>
          <w:color w:val="000000"/>
          <w:sz w:val="24"/>
        </w:rPr>
        <w:t xml:space="preserve">means, with respect to any Person, a certificate signed on behalf of such Person by: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with respect to a corporation, two Designated Officers of such corporation;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with respect to a partnership, two Designated Officers of the general partner of such partnership; 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with respect to a limited liability company, two Designated Officers of the manager or managing member of such limited liability company, as the case may be (or, if such manager or managing member is an individual, such individual),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each case, that meets the requirement of Section 14.05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Opinion of Counsel</w:t>
      </w:r>
      <w:r>
        <w:rPr>
          <w:color w:val="000000"/>
        </w:rPr>
        <w:t xml:space="preserve">” </w:t>
      </w:r>
      <w:r>
        <w:rPr>
          <w:rFonts w:ascii="Times New Roman;serif" w:hAnsi="Times New Roman;serif"/>
          <w:b w:val="false"/>
          <w:color w:val="000000"/>
          <w:sz w:val="24"/>
        </w:rPr>
        <w:t>means an opinion from legal counsel that meets the requirements of Section 14.03 hereof. The counsel may be an employee of or counsel to Wynn Resorts Finance, any Guarantor, as the case may be.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Parent Entity</w:t>
      </w:r>
      <w:r>
        <w:rPr>
          <w:color w:val="000000"/>
        </w:rPr>
        <w:t xml:space="preserve">” </w:t>
      </w:r>
      <w:r>
        <w:rPr>
          <w:rFonts w:ascii="Times New Roman;serif" w:hAnsi="Times New Roman;serif"/>
          <w:b w:val="false"/>
          <w:color w:val="000000"/>
          <w:sz w:val="24"/>
        </w:rPr>
        <w:t>means (a) Wynn Resorts, (b) Wynn Resorts Holdings or (c) any entity that is or becomes a holding company or intermediary holding company for Wynn Resorts Holdings or Wynn Resorts Finance.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Participant</w:t>
      </w:r>
      <w:r>
        <w:rPr>
          <w:color w:val="000000"/>
        </w:rPr>
        <w:t xml:space="preserve">” </w:t>
      </w:r>
      <w:r>
        <w:rPr>
          <w:rFonts w:ascii="Times New Roman;serif" w:hAnsi="Times New Roman;serif"/>
          <w:b w:val="false"/>
          <w:color w:val="000000"/>
          <w:sz w:val="24"/>
        </w:rPr>
        <w:t>means, with respect to the Depositary, a Person who has an account with the Depositary.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 xml:space="preserve">Performance References” </w:t>
      </w:r>
      <w:r>
        <w:rPr>
          <w:rFonts w:ascii="Times New Roman;serif" w:hAnsi="Times New Roman;serif"/>
          <w:b w:val="false"/>
          <w:color w:val="000000"/>
          <w:sz w:val="24"/>
        </w:rPr>
        <w:t>has the meaning given to it in the definition of “</w:t>
      </w:r>
      <w:r>
        <w:rPr>
          <w:rFonts w:ascii="Times New Roman;serif" w:hAnsi="Times New Roman;serif"/>
          <w:b w:val="false"/>
          <w:i/>
          <w:color w:val="000000"/>
          <w:sz w:val="24"/>
        </w:rPr>
        <w:t>Derivative Instrument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Permitted C-Corp. Conversion</w:t>
      </w:r>
      <w:r>
        <w:rPr>
          <w:color w:val="000000"/>
        </w:rPr>
        <w:t xml:space="preserve">” </w:t>
      </w:r>
      <w:r>
        <w:rPr>
          <w:rFonts w:ascii="Times New Roman;serif" w:hAnsi="Times New Roman;serif"/>
          <w:b w:val="false"/>
          <w:color w:val="000000"/>
          <w:sz w:val="24"/>
        </w:rPr>
        <w:t xml:space="preserve">means a transaction resulting in Wynn Resorts Finance or any of the Guarantors becoming a subchapter “C” corporation under the Code, so long as, in connection with such transaction: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the subchapter “C” corporation resulting from such transaction assumes in writing all of the obligations, if any, of the applicable entity under (a) this Indenture, the Notes, and the Note Guarantees by the Guarantors and (b) all other documents and instruments to which such Person is a party (other than, in the case of clause (a) only, any documents and instruments that, individually or in the aggregate, are not material to the subchapter “C” corporation);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the Trustee is given not less than 45 days’ advance written notice of such transaction;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(4)    such transaction would not cause or result in a Default or an Event of Default;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(5)    such transaction does not result in the loss or suspension or material impairment of any Gaming License unless a comparable Gaming License is effective prior to or simultaneously with such loss, suspension or material impairment;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(6)    such transaction does not require any Holder or Beneficial Owner of the Notes to obtain a Gaming License or be qualified or found suitable under the laws of any applicable gaming jurisdiction;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(7)    Wynn Resorts Finance shall have delivered to the Trustee an Opinion of Counsel of national repute in the United States reasonably acceptable to the Trustee, confirming that neither Issuer, nor any Guarantor nor any of the Holders shall recognize income, gain or loss for United States federal or state income tax purposes as a result of such Permitted C-Corp. Conversion;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(8)    Wynn Resorts Finance shall have delivered to the Trustee a certificate of the Chief Financial Officer of Wynn Resorts Finance confirming that the conditions in clauses (1) through (7) have been satisfied.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Person</w:t>
      </w:r>
      <w:r>
        <w:rPr>
          <w:color w:val="000000"/>
        </w:rPr>
        <w:t xml:space="preserve">” </w:t>
      </w:r>
      <w:r>
        <w:rPr>
          <w:rFonts w:ascii="Times New Roman;serif" w:hAnsi="Times New Roman;serif"/>
          <w:b w:val="false"/>
          <w:color w:val="000000"/>
          <w:sz w:val="24"/>
        </w:rPr>
        <w:t xml:space="preserve">means any individual, corporation, partnership, joint venture, association, joint-stock company, trust, unincorporated organization, limited liability company or government or other entity.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Pre-Opening Expenses</w:t>
      </w:r>
      <w:r>
        <w:rPr>
          <w:color w:val="000000"/>
        </w:rPr>
        <w:t xml:space="preserve">” </w:t>
      </w:r>
      <w:r>
        <w:rPr>
          <w:rFonts w:ascii="Times New Roman;serif" w:hAnsi="Times New Roman;serif"/>
          <w:b w:val="false"/>
          <w:color w:val="000000"/>
          <w:sz w:val="24"/>
        </w:rPr>
        <w:t>means, with respect to any fiscal period, the amount of expenses (including Consolidated Interest Expense) incurred with respect to capital projects which are appropriately classified as “pre-opening expenses” on the applicable financial statements of the Issuers and the Guarantors for such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Principal Property</w:t>
      </w:r>
      <w:r>
        <w:rPr>
          <w:color w:val="000000"/>
        </w:rPr>
        <w:t xml:space="preserve">” </w:t>
      </w:r>
      <w:r>
        <w:rPr>
          <w:rFonts w:ascii="Times New Roman;serif" w:hAnsi="Times New Roman;serif"/>
          <w:b w:val="false"/>
          <w:color w:val="000000"/>
          <w:sz w:val="24"/>
        </w:rPr>
        <w:t>means any real estate or other physical facility or depreciable asset or securities the net book value of which on the date of determination exceeds the greater of $25.0 million and 2.0% of the Total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Private Placement Legend</w:t>
      </w:r>
      <w:r>
        <w:rPr>
          <w:color w:val="000000"/>
        </w:rPr>
        <w:t xml:space="preserve">” </w:t>
      </w:r>
      <w:r>
        <w:rPr>
          <w:rFonts w:ascii="Times New Roman;serif" w:hAnsi="Times New Roman;serif"/>
          <w:b w:val="false"/>
          <w:color w:val="000000"/>
          <w:sz w:val="24"/>
        </w:rPr>
        <w:t>means the legend set forth in Section 2.06(g)(1) hereof to be placed on all Notes issued under this Indenture except where otherwise permitted by the provisions of this Indenture.</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 xml:space="preserve">Property” </w:t>
      </w:r>
      <w:r>
        <w:rPr>
          <w:rFonts w:ascii="Times New Roman;serif" w:hAnsi="Times New Roman;serif"/>
          <w:b w:val="false"/>
          <w:color w:val="000000"/>
          <w:sz w:val="24"/>
        </w:rPr>
        <w:t>means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QIB</w:t>
      </w:r>
      <w:r>
        <w:rPr>
          <w:color w:val="000000"/>
        </w:rPr>
        <w:t xml:space="preserve">” </w:t>
      </w:r>
      <w:r>
        <w:rPr>
          <w:rFonts w:ascii="Times New Roman;serif" w:hAnsi="Times New Roman;serif"/>
          <w:b w:val="false"/>
          <w:color w:val="000000"/>
          <w:sz w:val="24"/>
        </w:rPr>
        <w:t>means a “qualified institutional buyer” as defined in Rule 144A.</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Qualifying Act of Terrorism</w:t>
      </w:r>
      <w:r>
        <w:rPr>
          <w:color w:val="000000"/>
        </w:rPr>
        <w:t xml:space="preserve">” </w:t>
      </w:r>
      <w:r>
        <w:rPr>
          <w:rFonts w:ascii="Times New Roman;serif" w:hAnsi="Times New Roman;serif"/>
          <w:b w:val="false"/>
          <w:color w:val="000000"/>
          <w:sz w:val="24"/>
        </w:rPr>
        <w:t>means (a) any Act of Terrorism which occurs on any property of Wynn Resorts Finance or its Affiliates or in which Wynn Resorts Finance or any of its Affiliates, or any property of any of them, is the target or (b) any Act of Terrorism which occurs at any Gaming Facility or material hospitality or entertainment establishment in any market in which Wynn Resorts Finance or any of its Affiliates operates a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Qualifying Project</w:t>
      </w:r>
      <w:r>
        <w:rPr>
          <w:color w:val="000000"/>
        </w:rPr>
        <w:t xml:space="preserve">” </w:t>
      </w:r>
      <w:r>
        <w:rPr>
          <w:rFonts w:ascii="Times New Roman;serif" w:hAnsi="Times New Roman;serif"/>
          <w:b w:val="false"/>
          <w:color w:val="000000"/>
          <w:sz w:val="24"/>
        </w:rPr>
        <w:t>means the facilities of Wynn Resorts and its Subsidiaries which are operating or for which the financing for the development, construction and opening thereof has been obtained. For purposes of this definition, each of the Wynn Las Vegas resort casino, Encore at Wynn Las Vegas, the Macau resort and Encore Boston Harbor shall count as separate projects.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Rating Agencies</w:t>
      </w:r>
      <w:r>
        <w:rPr>
          <w:color w:val="000000"/>
        </w:rPr>
        <w:t xml:space="preserve">” </w:t>
      </w:r>
      <w:r>
        <w:rPr>
          <w:rFonts w:ascii="Times New Roman;serif" w:hAnsi="Times New Roman;serif"/>
          <w:b w:val="false"/>
          <w:color w:val="000000"/>
          <w:sz w:val="24"/>
        </w:rPr>
        <w:t>means (a) each of Moody’s, S&amp;P and Fitch; and (b) if any of Moody’s, S&amp;P or Fitch ceases to rate the Notes or fails to make a rating of the Notes publicly available for reasons outside of our control, a “nationally recognized statistical rating organization” within the meaning of Section 3(a)(62) of the Exchange Act selected by us (as certified by a resolution of Wynn Resorts Capital’s Board of Directors) as a replacement agency for Moody’s, S&amp;P or Fitch, or each of them, as the case may be.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Rating Categories</w:t>
      </w:r>
      <w:r>
        <w:rPr>
          <w:color w:val="000000"/>
        </w:rPr>
        <w:t xml:space="preserve">” </w:t>
      </w:r>
      <w:r>
        <w:rPr>
          <w:rFonts w:ascii="Times New Roman;serif" w:hAnsi="Times New Roman;serif"/>
          <w:b w:val="false"/>
          <w:color w:val="000000"/>
          <w:sz w:val="24"/>
        </w:rPr>
        <w:t>means (a) with respect to S&amp;P, any of the following categories: BB, B, CCC, CC, C and D (or equivalent successor categories); (b) with respect to Moody’s, any of the following categories: Ba, B, Caa, Ca, C and D (or equivalent successor categories); (c) with respect to Fitch, any of the following categories: BB, B, CCC, CC, C and D (or equivalent successor categories) and (d) the equivalent of any such category of S&amp;P, Moody’s or Fitch used by another Rating Agency selected by us. In determining whether the rating of the Notes has decreased by one or more gradations, gradations within Rating Categories ((i) + and - for S&amp;P; (ii) 1, 2 and 3 for Moody’s; (iii) + or – for Fitch and (iv) the equivalent gradations for another Rating Agency selected by us) shall be taken into account (e.g., with respect to S&amp;P, a decline in a rating from BB+ to BB, or from BB- to B+, will constitute a decrease of one gradation).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Rating Date</w:t>
      </w:r>
      <w:r>
        <w:rPr>
          <w:color w:val="000000"/>
        </w:rPr>
        <w:t xml:space="preserve">” </w:t>
      </w:r>
      <w:r>
        <w:rPr>
          <w:rFonts w:ascii="Times New Roman;serif" w:hAnsi="Times New Roman;serif"/>
          <w:b w:val="false"/>
          <w:color w:val="000000"/>
          <w:sz w:val="24"/>
        </w:rPr>
        <w:t>means the date that is 60 days prior to the earlier of (a) a Change of Control or (b) public notice of the occurrence of a Change of Control or the intention by Wynn Resorts Finance to affect a Change of Control.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Ratings Event</w:t>
      </w:r>
      <w:r>
        <w:rPr>
          <w:color w:val="000000"/>
        </w:rPr>
        <w:t xml:space="preserve">” </w:t>
      </w:r>
      <w:r>
        <w:rPr>
          <w:rFonts w:ascii="Times New Roman;serif" w:hAnsi="Times New Roman;serif"/>
          <w:b w:val="false"/>
          <w:color w:val="000000"/>
          <w:sz w:val="24"/>
        </w:rPr>
        <w:t>shall be deemed to occur if on, or within 60 days after the earlier of, (i) the occurrence of a Change of Control or (ii) public notice of the occurrence of a Change of Control or the intention by Wynn Resorts Finance to effect a Change of Control (which period shall be extended so long as the rating of the notes is under publicly announced consideration for a possible downgrade by any of the Rating Agencies):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the rating of the Notes by two of the three Rating Agencies shall be decreased by one or more gradations to or within a Rating Category (including gradations within Rating Categories as well as between Rating Categories) as compared to the rating of the Notes on the Rating Date, and</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Notes are rated below the respective rating of the Notes on the Issue Date by two of the three Rating Agencies. On the Issue Date, Moody’s had assigned a rating of B2 to the Notes and S&amp;P had assigned a rating of B+ to the Notes.</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Recurring Dividend Amount</w:t>
      </w:r>
      <w:r>
        <w:rPr>
          <w:color w:val="000000"/>
        </w:rPr>
        <w:t xml:space="preserve">” </w:t>
      </w:r>
      <w:r>
        <w:rPr>
          <w:rFonts w:ascii="Times New Roman;serif" w:hAnsi="Times New Roman;serif"/>
          <w:b w:val="false"/>
          <w:color w:val="000000"/>
          <w:sz w:val="24"/>
        </w:rPr>
        <w:t>means, the amount of dividends paid to (or, at Wynn Resorts Finance’s option, declared to be paid to) Wynn Group Asia by its direct and Subsidiaries during the applicable Test Period in an amount not to exceed $695.0 million.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Reference Treasury Dealer</w:t>
      </w:r>
      <w:r>
        <w:rPr>
          <w:color w:val="000000"/>
        </w:rPr>
        <w:t xml:space="preserve">” </w:t>
      </w:r>
      <w:r>
        <w:rPr>
          <w:rFonts w:ascii="Times New Roman;serif" w:hAnsi="Times New Roman;serif"/>
          <w:b w:val="false"/>
          <w:color w:val="000000"/>
          <w:sz w:val="24"/>
        </w:rPr>
        <w:t>means any primary U.S. Government securities dealer in New York City selected by Wynn Resorts Finance.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Reference Treasury Dealer Quotations</w:t>
      </w:r>
      <w:r>
        <w:rPr>
          <w:color w:val="000000"/>
        </w:rPr>
        <w:t xml:space="preserve">” </w:t>
      </w:r>
      <w:r>
        <w:rPr>
          <w:rFonts w:ascii="Times New Roman;serif" w:hAnsi="Times New Roman;serif"/>
          <w:b w:val="false"/>
          <w:color w:val="000000"/>
          <w:sz w:val="24"/>
        </w:rPr>
        <w:t>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Regulated Bank</w:t>
      </w:r>
      <w:r>
        <w:rPr>
          <w:color w:val="000000"/>
        </w:rPr>
        <w:t xml:space="preserve">” </w:t>
      </w:r>
      <w:r>
        <w:rPr>
          <w:rFonts w:ascii="Times New Roman;serif" w:hAnsi="Times New Roman;serif"/>
          <w:b w:val="false"/>
          <w:color w:val="000000"/>
          <w:sz w:val="24"/>
        </w:rPr>
        <w:t>means (x) a banking organization with a consolidated combined capital and surplus of at least $5.0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to the extent that (1) all of the Capital Stock of such Affiliate is directly or indirectly owned by either (I) such Person set forth in clause (x) or (II) a parent entity that also owns, directly or indirectly, all of the Capital Stock of such Person set forth in clause (x) and (2) such Affiliate is a securities broker or dealer registered with the SEC under Section 15 of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Regulation S</w:t>
      </w:r>
      <w:r>
        <w:rPr>
          <w:color w:val="000000"/>
        </w:rPr>
        <w:t xml:space="preserve">” </w:t>
      </w:r>
      <w:r>
        <w:rPr>
          <w:rFonts w:ascii="Times New Roman;serif" w:hAnsi="Times New Roman;serif"/>
          <w:b w:val="false"/>
          <w:color w:val="000000"/>
          <w:sz w:val="24"/>
        </w:rPr>
        <w:t>means Regulation S promulgated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Regulation S Global Note</w:t>
      </w:r>
      <w:r>
        <w:rPr>
          <w:color w:val="000000"/>
        </w:rPr>
        <w:t xml:space="preserve">” </w:t>
      </w:r>
      <w:r>
        <w:rPr>
          <w:rFonts w:ascii="Times New Roman;serif" w:hAnsi="Times New Roman;serif"/>
          <w:b w:val="false"/>
          <w:color w:val="000000"/>
          <w:sz w:val="24"/>
        </w:rPr>
        <w:t>means a Regulation S Temporary Global Note or Regulation S Permanent Global Note, as appropriate.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Regulation S Permanent Global Note</w:t>
      </w:r>
      <w:r>
        <w:rPr>
          <w:color w:val="000000"/>
        </w:rPr>
        <w:t xml:space="preserve">” </w:t>
      </w:r>
      <w:r>
        <w:rPr>
          <w:rFonts w:ascii="Times New Roman;serif" w:hAnsi="Times New Roman;serif"/>
          <w:b w:val="false"/>
          <w:color w:val="000000"/>
          <w:sz w:val="24"/>
        </w:rPr>
        <w:t xml:space="preserve">means a permanent Global Note in the form of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 xml:space="preserve">hereto bearing the Global Note Legend and the Private Placement Legend and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deposited with or on behalf of and registered in the name of the Depositary or its nominee, issued in a denomination equal to the outstanding principal amount of the Regulation S Temporary Global Note upon expiration of the Restricted Period.</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Regulation S Temporary Global Note</w:t>
      </w:r>
      <w:r>
        <w:rPr>
          <w:color w:val="000000"/>
        </w:rPr>
        <w:t xml:space="preserve">” </w:t>
      </w:r>
      <w:r>
        <w:rPr>
          <w:rFonts w:ascii="Times New Roman;serif" w:hAnsi="Times New Roman;serif"/>
          <w:b w:val="false"/>
          <w:color w:val="000000"/>
          <w:sz w:val="24"/>
        </w:rPr>
        <w:t xml:space="preserve">means a temporary Global Note in the form of </w:t>
      </w:r>
      <w:r>
        <w:rPr>
          <w:rFonts w:ascii="Times New Roman;serif" w:hAnsi="Times New Roman;serif"/>
          <w:b w:val="false"/>
          <w:color w:val="000000"/>
          <w:sz w:val="24"/>
          <w:u w:val="single"/>
        </w:rPr>
        <w:t>Exhibit A-2</w:t>
      </w:r>
      <w:r>
        <w:rPr>
          <w:color w:val="000000"/>
        </w:rPr>
        <w:t xml:space="preserve"> </w:t>
      </w:r>
      <w:r>
        <w:rPr>
          <w:rFonts w:ascii="Times New Roman;serif" w:hAnsi="Times New Roman;serif"/>
          <w:b w:val="false"/>
          <w:color w:val="000000"/>
          <w:sz w:val="24"/>
        </w:rPr>
        <w:t>hereto deposited with or on behalf of and registered in the name of the Depositary or its nominee, issued in a denomination equal to the outstanding principal amount of the Notes initially sold in reliance on Rule 903 of Regulation 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Responsible Officer</w:t>
      </w:r>
      <w:r>
        <w:rPr>
          <w:rFonts w:ascii="Times New Roman;serif" w:hAnsi="Times New Roman;serif"/>
          <w:b w:val="false"/>
          <w:color w:val="000000"/>
          <w:sz w:val="24"/>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who shall have direct responsibility for the administration of this Indenture, and also means, with respect to a particular corporate trust matter, any other officer to whom such matter is referred because of his knowledge of and familiarity with the particular subject.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Definitive Note</w:t>
      </w:r>
      <w:r>
        <w:rPr>
          <w:color w:val="000000"/>
        </w:rPr>
        <w:t xml:space="preserve">” </w:t>
      </w:r>
      <w:r>
        <w:rPr>
          <w:rFonts w:ascii="Times New Roman;serif" w:hAnsi="Times New Roman;serif"/>
          <w:b w:val="false"/>
          <w:color w:val="000000"/>
          <w:sz w:val="24"/>
        </w:rPr>
        <w:t>means a Definitive Note bearing the Private Placement Legend.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Global Note</w:t>
      </w:r>
      <w:r>
        <w:rPr>
          <w:color w:val="000000"/>
        </w:rPr>
        <w:t xml:space="preserve">” </w:t>
      </w:r>
      <w:r>
        <w:rPr>
          <w:rFonts w:ascii="Times New Roman;serif" w:hAnsi="Times New Roman;serif"/>
          <w:b w:val="false"/>
          <w:color w:val="000000"/>
          <w:sz w:val="24"/>
        </w:rPr>
        <w:t>means a Global Note bearing the Private Placement Legend.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Period</w:t>
      </w:r>
      <w:r>
        <w:rPr>
          <w:color w:val="000000"/>
        </w:rPr>
        <w:t xml:space="preserve">” </w:t>
      </w:r>
      <w:r>
        <w:rPr>
          <w:rFonts w:ascii="Times New Roman;serif" w:hAnsi="Times New Roman;serif"/>
          <w:b w:val="false"/>
          <w:color w:val="000000"/>
          <w:sz w:val="24"/>
        </w:rPr>
        <w:t>means the 40-day distribution compliance period as defined in Regulation S.</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Revolving Credit Facility</w:t>
      </w:r>
      <w:r>
        <w:rPr>
          <w:color w:val="000000"/>
        </w:rPr>
        <w:t xml:space="preserve">” </w:t>
      </w:r>
      <w:r>
        <w:rPr>
          <w:rFonts w:ascii="Times New Roman;serif" w:hAnsi="Times New Roman;serif"/>
          <w:b w:val="false"/>
          <w:color w:val="000000"/>
          <w:sz w:val="24"/>
        </w:rPr>
        <w:t>means the first lien revolving credit facility, as amended, in an aggregate principal amount of up to $1,250.0 million entered into on September 20, 2019 by Wynn Resorts Finance.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Rule 144</w:t>
      </w:r>
      <w:r>
        <w:rPr>
          <w:color w:val="000000"/>
        </w:rPr>
        <w:t xml:space="preserve">” </w:t>
      </w:r>
      <w:r>
        <w:rPr>
          <w:rFonts w:ascii="Times New Roman;serif" w:hAnsi="Times New Roman;serif"/>
          <w:b w:val="false"/>
          <w:color w:val="000000"/>
          <w:sz w:val="24"/>
        </w:rPr>
        <w:t>means Rule 144 promulgated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Rule 144A</w:t>
      </w:r>
      <w:r>
        <w:rPr>
          <w:color w:val="000000"/>
        </w:rPr>
        <w:t xml:space="preserve">” </w:t>
      </w:r>
      <w:r>
        <w:rPr>
          <w:rFonts w:ascii="Times New Roman;serif" w:hAnsi="Times New Roman;serif"/>
          <w:b w:val="false"/>
          <w:color w:val="000000"/>
          <w:sz w:val="24"/>
        </w:rPr>
        <w:t>means Rule 144A promulgated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Rule 903</w:t>
      </w:r>
      <w:r>
        <w:rPr>
          <w:color w:val="000000"/>
        </w:rPr>
        <w:t xml:space="preserve">” </w:t>
      </w:r>
      <w:r>
        <w:rPr>
          <w:rFonts w:ascii="Times New Roman;serif" w:hAnsi="Times New Roman;serif"/>
          <w:b w:val="false"/>
          <w:color w:val="000000"/>
          <w:sz w:val="24"/>
        </w:rPr>
        <w:t>means Rule 903 promulgated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Rule 904</w:t>
      </w:r>
      <w:r>
        <w:rPr>
          <w:color w:val="000000"/>
        </w:rPr>
        <w:t xml:space="preserve">” </w:t>
      </w:r>
      <w:r>
        <w:rPr>
          <w:rFonts w:ascii="Times New Roman;serif" w:hAnsi="Times New Roman;serif"/>
          <w:b w:val="false"/>
          <w:color w:val="000000"/>
          <w:sz w:val="24"/>
        </w:rPr>
        <w:t>means Rule 904 promulgated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S&amp;P</w:t>
      </w:r>
      <w:r>
        <w:rPr>
          <w:color w:val="000000"/>
        </w:rPr>
        <w:t xml:space="preserve">” </w:t>
      </w:r>
      <w:r>
        <w:rPr>
          <w:rFonts w:ascii="Times New Roman;serif" w:hAnsi="Times New Roman;serif"/>
          <w:b w:val="false"/>
          <w:color w:val="000000"/>
          <w:sz w:val="24"/>
        </w:rPr>
        <w:t xml:space="preserve">means S&amp;P Global Ratings, a division of S&amp;P Global Inc., and any successor thereto. </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Sale and Leaseback Transaction</w:t>
      </w:r>
      <w:r>
        <w:rPr>
          <w:color w:val="000000"/>
        </w:rPr>
        <w:t xml:space="preserve">” </w:t>
      </w:r>
      <w:r>
        <w:rPr>
          <w:rFonts w:ascii="Times New Roman;serif" w:hAnsi="Times New Roman;serif"/>
          <w:b w:val="false"/>
          <w:color w:val="000000"/>
          <w:sz w:val="24"/>
        </w:rPr>
        <w:t>means, with respect to any Person, an arrangement whereby such Person enters into a lease of property previously transferred by such Person to the lessor.</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Screened Affiliate</w:t>
      </w:r>
      <w:r>
        <w:rPr>
          <w:color w:val="000000"/>
        </w:rPr>
        <w:t xml:space="preserve">” </w:t>
      </w:r>
      <w:r>
        <w:rPr>
          <w:rFonts w:ascii="Times New Roman;serif" w:hAnsi="Times New Roman;serif"/>
          <w:b w:val="false"/>
          <w:color w:val="000000"/>
          <w:sz w:val="24"/>
        </w:rPr>
        <w:t xml:space="preserve">means any Affiliate of a Holder (i) that makes investment decisions independently from such Holder and any other Affiliate of such Holder that is not a Screened Affiliate, (ii) that has in place customary information screens between it and such Holder and any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other Affiliate of such Holder that is not a Screened Affiliate and such screens prohibit the sharing of information with respect to Wynn Resorts Finance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SEC</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Senior Credit Facilities</w:t>
      </w:r>
      <w:r>
        <w:rPr>
          <w:color w:val="000000"/>
        </w:rPr>
        <w:t xml:space="preserve">” </w:t>
      </w:r>
      <w:r>
        <w:rPr>
          <w:rFonts w:ascii="Times New Roman;serif" w:hAnsi="Times New Roman;serif"/>
          <w:b w:val="false"/>
          <w:color w:val="000000"/>
          <w:sz w:val="24"/>
        </w:rPr>
        <w:t>means the Revolving Credit Facility and the Term Facility,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exchange, refinance, renew or defease any part of the loans, notes, other credit facilities or commitments thereunder, including any such replacement, refunding, exchange or refinancing facility or indenture that increases the amount borrowable thereunder or alters the maturity thereof or adds Subsidiaries as additional borrowers or guarantors thereunder and whether by the same or any other agent, lender or group of lenders.</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Short Derivative Instrument</w:t>
      </w:r>
      <w:r>
        <w:rPr>
          <w:color w:val="000000"/>
        </w:rPr>
        <w:t xml:space="preserve">” </w:t>
      </w:r>
      <w:r>
        <w:rPr>
          <w:rFonts w:ascii="Times New Roman;serif" w:hAnsi="Times New Roman;serif"/>
          <w:b w:val="false"/>
          <w:color w:val="000000"/>
          <w:sz w:val="24"/>
        </w:rPr>
        <w:t>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 xml:space="preserve">Specified Transaction” </w:t>
      </w:r>
      <w:r>
        <w:rPr>
          <w:rFonts w:ascii="Times New Roman;serif" w:hAnsi="Times New Roman;serif"/>
          <w:b w:val="false"/>
          <w:color w:val="000000"/>
          <w:sz w:val="24"/>
        </w:rPr>
        <w:t>means any (a) incurrence or repayment of Indebtedness (other than for working capital purposes or under a revolving credit facility), (b) investment that results in a Person becoming a Guarantor, (c) acquisition, (d) asset sale, and (e) acquisition or investment constituting an acquisition of assets constituting a business unit, line of business or division of another Person. For the avoidance of doubt, the Transactions shall constitute a Specified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Stated Maturity</w:t>
      </w:r>
      <w:r>
        <w:rPr>
          <w:color w:val="000000"/>
        </w:rPr>
        <w:t xml:space="preserve">” </w:t>
      </w:r>
      <w:r>
        <w:rPr>
          <w:rFonts w:ascii="Times New Roman;serif" w:hAnsi="Times New Roman;serif"/>
          <w:b w:val="false"/>
          <w:color w:val="000000"/>
          <w:sz w:val="24"/>
        </w:rPr>
        <w:t xml:space="preserve">means, with respect to any installment of interest or principal on any series of Indebtedness, the date on which the payment of interest or principal was scheduled to be paid in the documentation governing such Indebtedness as of the Issue Date, and shall not include any contingent obligations to repay, redeem or repurchase any such interest or principal prior to the date originally scheduled for the payment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 xml:space="preserve">means, with respect to any specified Person: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any partnership (a) the sole general partner or the managing general partner of which is such Person or a Subsidiary of such Person or (b) the only general partners of which are that Person or one or more Subsidiaries of that Person (or any combination thereof); or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any limited liability company (a) the manager or managing member of which is such Person or a Subsidiary of such Person or (b) the only members of which are that Person or one or more Subsidiaries of that Person (or any combination thereof).</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Substituted Consolidated EBITDA</w:t>
      </w:r>
      <w:r>
        <w:rPr>
          <w:color w:val="000000"/>
        </w:rPr>
        <w:t xml:space="preserve">” </w:t>
      </w:r>
      <w:r>
        <w:rPr>
          <w:rFonts w:ascii="Times New Roman;serif" w:hAnsi="Times New Roman;serif"/>
          <w:b w:val="false"/>
          <w:color w:val="000000"/>
          <w:sz w:val="24"/>
        </w:rPr>
        <w:t>means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Wynn Resorts Finance).</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Term Facility</w:t>
      </w:r>
      <w:r>
        <w:rPr>
          <w:color w:val="000000"/>
        </w:rPr>
        <w:t xml:space="preserve">” </w:t>
      </w:r>
      <w:r>
        <w:rPr>
          <w:rFonts w:ascii="Times New Roman;serif" w:hAnsi="Times New Roman;serif"/>
          <w:b w:val="false"/>
          <w:color w:val="000000"/>
          <w:sz w:val="24"/>
        </w:rPr>
        <w:t>means the first lien term loan A facility, as amended, in an aggregate principal amount of up to $752.8 million entered into on September 20, 2019 by Wynn Resorts Finance.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Test Period</w:t>
      </w:r>
      <w:r>
        <w:rPr>
          <w:color w:val="000000"/>
        </w:rPr>
        <w:t xml:space="preserve">” </w:t>
      </w:r>
      <w:r>
        <w:rPr>
          <w:rFonts w:ascii="Times New Roman;serif" w:hAnsi="Times New Roman;serif"/>
          <w:b w:val="false"/>
          <w:color w:val="000000"/>
          <w:sz w:val="24"/>
        </w:rPr>
        <w:t>means, for any date of determination, the period of the four most recently ended consecutive fiscal quarters of the Issuers and the Guarantors for which quarterly or annual financial statements have been delivered or are required to have been delivered to the trustee pursuant to the “Reports” covenant; provided 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Wynn Resorts Finance and its Subsidiaries ending September 30 for which quarterly or annual financial statements have been delivered or are required to have been delivered to the trustee.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Total Assets</w:t>
      </w:r>
      <w:r>
        <w:rPr>
          <w:color w:val="000000"/>
        </w:rPr>
        <w:t xml:space="preserve">” </w:t>
      </w:r>
      <w:r>
        <w:rPr>
          <w:rFonts w:ascii="Times New Roman;serif" w:hAnsi="Times New Roman;serif"/>
          <w:b w:val="false"/>
          <w:color w:val="000000"/>
          <w:sz w:val="24"/>
        </w:rPr>
        <w:t>means at any date, the total assets of Wynn Resorts Finance and the Guarantors at such date, determined on a consolidated basis in accordance with US GAAP.</w: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i/>
          <w:color w:val="000000"/>
          <w:sz w:val="24"/>
        </w:rPr>
        <w:t>Transactions</w:t>
      </w:r>
      <w:r>
        <w:rPr>
          <w:color w:val="000000"/>
        </w:rPr>
        <w:t xml:space="preserve">” </w:t>
      </w:r>
      <w:r>
        <w:rPr>
          <w:rFonts w:ascii="Times New Roman;serif" w:hAnsi="Times New Roman;serif"/>
          <w:b w:val="false"/>
          <w:color w:val="000000"/>
          <w:sz w:val="24"/>
        </w:rPr>
        <w:t>means, collectively, (a) the issuance of the Notes, (b) the redemption of the 2027 LV Notes and (c) the payment of fees and expenses in connection with the foregoing.</w:t>
      </w:r>
    </w:p>
    <w:p>
      <w:pPr>
        <w:pStyle w:val="TextBody"/>
        <w:bidi w:val="0"/>
        <w:spacing w:lineRule="auto" w:line="288" w:before="0" w:after="220"/>
        <w:ind w:left="0" w:right="0" w:firstLine="720"/>
        <w:jc w:val="left"/>
        <w:rPr/>
      </w:pPr>
      <w:r>
        <w:rPr>
          <w:color w:val="000000"/>
        </w:rPr>
        <w:t>“</w:t>
      </w:r>
      <w:r>
        <w:rPr>
          <w:rFonts w:ascii="Times New Roman;serif" w:hAnsi="Times New Roman;serif"/>
          <w:b w:val="false"/>
          <w:i/>
          <w:color w:val="000000"/>
          <w:sz w:val="24"/>
        </w:rPr>
        <w:t>Treasury Rate</w:t>
      </w:r>
      <w:r>
        <w:rPr>
          <w:color w:val="000000"/>
        </w:rPr>
        <w:t xml:space="preserve">” </w:t>
      </w:r>
      <w:r>
        <w:rPr>
          <w:rFonts w:ascii="Times New Roman;serif" w:hAnsi="Times New Roman;serif"/>
          <w:b w:val="false"/>
          <w:color w:val="000000"/>
          <w:sz w:val="24"/>
        </w:rPr>
        <w:t xml:space="preserve">means, at the time of computation, the weekly average rounded to the nearest 1/100th of a percentage point (for the most recently completed week for which such </w:t>
      </w:r>
    </w:p>
    <w:p>
      <w:pPr>
        <w:pStyle w:val="TextBody"/>
        <w:bidi w:val="0"/>
        <w:spacing w:lineRule="auto" w:line="288" w:before="0" w:after="220"/>
        <w:jc w:val="left"/>
        <w:rPr/>
      </w:pPr>
      <w:r>
        <w:rPr>
          <w:rFonts w:ascii="Times New Roman;serif" w:hAnsi="Times New Roman;serif"/>
          <w:b w:val="false"/>
          <w:color w:val="000000"/>
          <w:sz w:val="24"/>
        </w:rPr>
        <w:t xml:space="preserve">information is available as of the date that is two Business Days prior to the date of redemption or, in the case of a satisfaction and discharge or a defeasance, the date that is two Business Days prior to the date on which Wynn Resorts Finance deposits the amount required under this Indenture) of the yield to maturity of United States Treasury securities with a constant maturity (as compiled and published in Federal Reserve Statistical Release H.15 with respect to each applicable day during such week (or, if such Statistical Release is no longer published, any publicly available source or similar market data)) most nearly equal to the period from the redemption date (or, in the case of a satisfaction and discharge or a defeasance, the date of such deposit) to September 15, 2029;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period from the redemption (or deposit) date to September 15, 2029 is not equal to the constant maturity of a United States Treasury security for which such a yield is given, the Treasury Rate shall be obtained by linear interpolation (calculated to the nearest one-twelfth of a year) from the weekly average yields of United States Treasury securities for which such yields are given, except that if the period from the redemption (or deposit) date to September 15, 2029 is less than one year, the weekly average yield on actually traded United States Treasury securities adjusted to a constant maturity of one year will be used.</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Trigger Event</w:t>
      </w:r>
      <w:r>
        <w:rPr>
          <w:color w:val="000000"/>
        </w:rPr>
        <w:t xml:space="preserve">” </w:t>
      </w:r>
      <w:r>
        <w:rPr>
          <w:rFonts w:ascii="Times New Roman;serif" w:hAnsi="Times New Roman;serif"/>
          <w:b w:val="false"/>
          <w:color w:val="000000"/>
          <w:sz w:val="24"/>
        </w:rPr>
        <w:t>means the transfer of shares of Equity Interests of any Subsidiary or any Gaming Facility into trust or other similar arrangement required by any Gaming Authority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Trust Indenture Act</w:t>
      </w:r>
      <w:r>
        <w:rPr>
          <w:color w:val="000000"/>
        </w:rPr>
        <w:t xml:space="preserve">” </w:t>
      </w:r>
      <w:r>
        <w:rPr>
          <w:rFonts w:ascii="Times New Roman;serif" w:hAnsi="Times New Roman;serif"/>
          <w:b w:val="false"/>
          <w:color w:val="000000"/>
          <w:sz w:val="24"/>
        </w:rPr>
        <w:t>means the Trust Indenture Act of 1939, as amended, as in effect of the Issue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Trustee</w:t>
      </w:r>
      <w:r>
        <w:rPr>
          <w:color w:val="000000"/>
        </w:rPr>
        <w:t xml:space="preserve">” </w:t>
      </w:r>
      <w:r>
        <w:rPr>
          <w:rFonts w:ascii="Times New Roman;serif" w:hAnsi="Times New Roman;serif"/>
          <w:b w:val="false"/>
          <w:color w:val="000000"/>
          <w:sz w:val="24"/>
        </w:rPr>
        <w:t>means the party named as such in the preamble to this Indenture until a successor replaces it in accordance with the applicable provisions of this Indenture and thereafter means the successor serving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Unrestricted Operating Cash</w:t>
      </w:r>
      <w:r>
        <w:rPr>
          <w:color w:val="000000"/>
        </w:rPr>
        <w:t xml:space="preserve">” </w:t>
      </w:r>
      <w:r>
        <w:rPr>
          <w:rFonts w:ascii="Times New Roman;serif" w:hAnsi="Times New Roman;serif"/>
          <w:b w:val="false"/>
          <w:color w:val="000000"/>
          <w:sz w:val="24"/>
        </w:rPr>
        <w:t>means, as of any date of determination, cash and cash equivalents of the Issuers and the Guarantors that would not appear as “restricted” on a combined or consolidated balance sheet of the Issuers and the Guarantors in an amount in excess of the Minimum Cage Cash Amount and excluding cash and cash equivalents constituting dividends paid to Wynn Group Asia by its direct and indirect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Unrestricted Definitive Note</w:t>
      </w:r>
      <w:r>
        <w:rPr>
          <w:color w:val="000000"/>
        </w:rPr>
        <w:t xml:space="preserve">” </w:t>
      </w:r>
      <w:r>
        <w:rPr>
          <w:rFonts w:ascii="Times New Roman;serif" w:hAnsi="Times New Roman;serif"/>
          <w:b w:val="false"/>
          <w:color w:val="000000"/>
          <w:sz w:val="24"/>
        </w:rPr>
        <w:t>means a Definitive Note that does not bear and is not required to bear the Private Placement Legend.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Unrestricted Global Note</w:t>
      </w:r>
      <w:r>
        <w:rPr>
          <w:color w:val="000000"/>
        </w:rPr>
        <w:t xml:space="preserve">” </w:t>
      </w:r>
      <w:r>
        <w:rPr>
          <w:rFonts w:ascii="Times New Roman;serif" w:hAnsi="Times New Roman;serif"/>
          <w:b w:val="false"/>
          <w:color w:val="000000"/>
          <w:sz w:val="24"/>
        </w:rPr>
        <w:t>means a Global Note that does not bear and is not required to bear the Private Placement Legend.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US</w:t>
      </w:r>
      <w:r>
        <w:rPr>
          <w:color w:val="000000"/>
        </w:rPr>
        <w:t xml:space="preserve"> </w:t>
      </w:r>
      <w:r>
        <w:rPr>
          <w:rFonts w:ascii="Times New Roman;serif" w:hAnsi="Times New Roman;serif"/>
          <w:b w:val="false"/>
          <w:i/>
          <w:color w:val="000000"/>
          <w:sz w:val="24"/>
        </w:rPr>
        <w:t>GAAP</w:t>
      </w:r>
      <w:r>
        <w:rPr>
          <w:color w:val="000000"/>
        </w:rPr>
        <w:t xml:space="preserve">” </w:t>
      </w:r>
      <w:r>
        <w:rPr>
          <w:rFonts w:ascii="Times New Roman;serif" w:hAnsi="Times New Roman;serif"/>
          <w:b w:val="false"/>
          <w:color w:val="000000"/>
          <w:sz w:val="24"/>
        </w:rPr>
        <w:t>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U.S. Person</w:t>
      </w:r>
      <w:r>
        <w:rPr>
          <w:color w:val="000000"/>
        </w:rPr>
        <w:t xml:space="preserve">” </w:t>
      </w:r>
      <w:r>
        <w:rPr>
          <w:rFonts w:ascii="Times New Roman;serif" w:hAnsi="Times New Roman;serif"/>
          <w:b w:val="false"/>
          <w:color w:val="000000"/>
          <w:sz w:val="24"/>
        </w:rPr>
        <w:t>means a U.S. Person as defined in Rule 902(k) promulgated under the Securities Act.</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Voting Stock</w:t>
      </w:r>
      <w:r>
        <w:rPr>
          <w:color w:val="000000"/>
        </w:rPr>
        <w:t xml:space="preserve">” </w:t>
      </w:r>
      <w:r>
        <w:rPr>
          <w:rFonts w:ascii="Times New Roman;serif" w:hAnsi="Times New Roman;serif"/>
          <w:b w:val="false"/>
          <w:color w:val="000000"/>
          <w:sz w:val="24"/>
        </w:rPr>
        <w:t>of any Person as of any date means the Capital Stock of such Person that is at the time entitled to vote in the election of the Board of Directors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Wynn Group Asia</w:t>
      </w:r>
      <w:r>
        <w:rPr>
          <w:color w:val="000000"/>
        </w:rPr>
        <w:t xml:space="preserve">” </w:t>
      </w:r>
      <w:r>
        <w:rPr>
          <w:rFonts w:ascii="Times New Roman;serif" w:hAnsi="Times New Roman;serif"/>
          <w:b w:val="false"/>
          <w:color w:val="000000"/>
          <w:sz w:val="24"/>
        </w:rPr>
        <w:t>means Wynn Group Asia, Inc., a Nevada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Wynn Las Vegas</w:t>
      </w:r>
      <w:r>
        <w:rPr>
          <w:color w:val="000000"/>
        </w:rPr>
        <w:t xml:space="preserve">” </w:t>
      </w:r>
      <w:r>
        <w:rPr>
          <w:rFonts w:ascii="Times New Roman;serif" w:hAnsi="Times New Roman;serif"/>
          <w:b w:val="false"/>
          <w:color w:val="000000"/>
          <w:sz w:val="24"/>
        </w:rPr>
        <w:t xml:space="preserve">means Wynn Las Vegas, LLC, a Nevada limited liability company, any successor thereto, or, where the context so requires, the Wynn Las Vegas resort casino.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Wynn Resorts</w:t>
      </w:r>
      <w:r>
        <w:rPr>
          <w:color w:val="000000"/>
        </w:rPr>
        <w:t xml:space="preserve">” </w:t>
      </w:r>
      <w:r>
        <w:rPr>
          <w:rFonts w:ascii="Times New Roman;serif" w:hAnsi="Times New Roman;serif"/>
          <w:b w:val="false"/>
          <w:color w:val="000000"/>
          <w:sz w:val="24"/>
        </w:rPr>
        <w:t xml:space="preserve">means Wynn Resorts, Limited, a Nevada corporation, or any successor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Wynn Resorts Capital</w:t>
      </w:r>
      <w:r>
        <w:rPr>
          <w:color w:val="000000"/>
        </w:rPr>
        <w:t xml:space="preserve">” </w:t>
      </w:r>
      <w:r>
        <w:rPr>
          <w:rFonts w:ascii="Times New Roman;serif" w:hAnsi="Times New Roman;serif"/>
          <w:b w:val="false"/>
          <w:color w:val="000000"/>
          <w:sz w:val="24"/>
        </w:rPr>
        <w:t xml:space="preserve">means Wynn Resorts Capital Corp., a Nevada corporation, or any successor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Wynn Resorts Finance</w:t>
      </w:r>
      <w:r>
        <w:rPr>
          <w:color w:val="000000"/>
        </w:rPr>
        <w:t xml:space="preserve">” </w:t>
      </w:r>
      <w:r>
        <w:rPr>
          <w:rFonts w:ascii="Times New Roman;serif" w:hAnsi="Times New Roman;serif"/>
          <w:b w:val="false"/>
          <w:color w:val="000000"/>
          <w:sz w:val="24"/>
        </w:rPr>
        <w:t>means Wynn Resorts Finance, LLC, a Nevada limited liability company,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Wynn Resorts Holdings</w:t>
      </w:r>
      <w:r>
        <w:rPr>
          <w:color w:val="000000"/>
        </w:rPr>
        <w:t xml:space="preserve">” </w:t>
      </w:r>
      <w:r>
        <w:rPr>
          <w:rFonts w:ascii="Times New Roman;serif" w:hAnsi="Times New Roman;serif"/>
          <w:b w:val="false"/>
          <w:color w:val="000000"/>
          <w:sz w:val="24"/>
        </w:rPr>
        <w:t>means Wynn Resorts Holdings, LLC, a Nevada limited liability company, or any successor thereto.</w:t>
      </w:r>
    </w:p>
    <w:p>
      <w:pPr>
        <w:pStyle w:val="TextBody"/>
        <w:bidi w:val="0"/>
        <w:spacing w:lineRule="auto" w:line="288" w:before="0" w:after="240"/>
        <w:ind w:left="0" w:right="0" w:hanging="720"/>
        <w:jc w:val="both"/>
        <w:rPr/>
      </w:pPr>
      <w:bookmarkStart w:id="2" w:name="i624dbc44f3ae4ef9bc28a49b11ee36f4"/>
      <w:bookmarkEnd w:id="2"/>
      <w:r>
        <w:rPr>
          <w:rFonts w:ascii="Times New Roman;serif" w:hAnsi="Times New Roman;serif"/>
          <w:b w:val="false"/>
          <w:color w:val="000000"/>
          <w:sz w:val="24"/>
        </w:rPr>
        <w:t>Section 1.02    </w:t>
      </w:r>
      <w:r>
        <w:rPr>
          <w:rFonts w:ascii="Times New Roman;serif" w:hAnsi="Times New Roman;serif"/>
          <w:b w:val="false"/>
          <w:i/>
          <w:color w:val="000000"/>
          <w:sz w:val="24"/>
        </w:rPr>
        <w:t>Other Definitions.</w:t>
      </w:r>
    </w:p>
    <w:tbl>
      <w:tblPr>
        <w:tblW w:w="6148" w:type="dxa"/>
        <w:jc w:val="left"/>
        <w:tblInd w:w="0" w:type="dxa"/>
        <w:tblLayout w:type="fixed"/>
        <w:tblCellMar>
          <w:top w:w="28" w:type="dxa"/>
          <w:left w:w="28" w:type="dxa"/>
          <w:bottom w:w="28" w:type="dxa"/>
          <w:right w:w="28" w:type="dxa"/>
        </w:tblCellMar>
      </w:tblPr>
      <w:tblGrid>
        <w:gridCol w:w="1553"/>
        <w:gridCol w:w="1363"/>
        <w:gridCol w:w="1373"/>
        <w:gridCol w:w="188"/>
        <w:gridCol w:w="188"/>
        <w:gridCol w:w="1483"/>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Term</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40"/>
              <w:ind w:left="0" w:right="0" w:firstLine="720"/>
              <w:jc w:val="center"/>
              <w:rPr/>
            </w:pPr>
            <w:r>
              <w:rPr>
                <w:rFonts w:ascii="Times New Roman;serif" w:hAnsi="Times New Roman;serif"/>
                <w:b/>
                <w:color w:val="000000"/>
                <w:sz w:val="24"/>
              </w:rPr>
              <w:t xml:space="preserve">Defined </w:t>
              <w:br/>
            </w:r>
            <w:r>
              <w:rPr>
                <w:rFonts w:ascii="Times New Roman;serif" w:hAnsi="Times New Roman;serif"/>
                <w:b/>
                <w:color w:val="000000"/>
                <w:sz w:val="24"/>
                <w:u w:val="single"/>
              </w:rPr>
              <w:t>in Section</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Authentication Order”</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2.02</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Beneficiary”</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13.01</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Change of Control Offer”</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4.11(a)</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Change of Control Payment”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4.11(a)</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Change of Control Payment Date”</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4.11(a)(2)</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Covenant Defeasance”</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8.03</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Directing Holder”</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6.06</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DTC”</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2.03</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Initial Default”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Legal Defeasance”</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8.02</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Noteholder Direction”</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6.06</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Note Obligations”</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13.01(b)</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Paying Agent”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2.03</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Position Representation”</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6.06</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Registrar”</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2.03</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color w:val="000000"/>
              </w:rPr>
            </w:pPr>
            <w:r>
              <w:rPr>
                <w:color w:val="000000"/>
              </w:rPr>
              <w:t>“</w:t>
            </w:r>
            <w:r>
              <w:rPr>
                <w:rFonts w:ascii="Times New Roman;serif" w:hAnsi="Times New Roman;serif"/>
                <w:b w:val="false"/>
                <w:i/>
                <w:color w:val="000000"/>
                <w:sz w:val="24"/>
              </w:rPr>
              <w:t>Verification Covenant”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6.06</w:t>
            </w:r>
          </w:p>
        </w:tc>
      </w:tr>
    </w:tbl>
    <w:p>
      <w:pPr>
        <w:pStyle w:val="TextBody"/>
        <w:bidi w:val="0"/>
        <w:jc w:val="both"/>
        <w:rPr/>
      </w:pPr>
      <w:r>
        <w:rPr/>
      </w:r>
    </w:p>
    <w:p>
      <w:pPr>
        <w:pStyle w:val="TextBody"/>
        <w:bidi w:val="0"/>
        <w:spacing w:lineRule="auto" w:line="288" w:before="0" w:after="240"/>
        <w:ind w:left="0" w:right="0" w:hanging="720"/>
        <w:jc w:val="both"/>
        <w:rPr/>
      </w:pPr>
      <w:bookmarkStart w:id="3" w:name="i758af10aa1144d7c82ebd3954c5d7a58"/>
      <w:bookmarkEnd w:id="3"/>
      <w:r>
        <w:rPr>
          <w:rFonts w:ascii="Times New Roman;serif" w:hAnsi="Times New Roman;serif"/>
          <w:b w:val="false"/>
          <w:color w:val="000000"/>
          <w:sz w:val="24"/>
        </w:rPr>
        <w:t>Section 1.03    </w:t>
      </w:r>
      <w:r>
        <w:rPr>
          <w:rFonts w:ascii="Times New Roman;serif" w:hAnsi="Times New Roman;serif"/>
          <w:b w:val="false"/>
          <w:i/>
          <w:color w:val="000000"/>
          <w:sz w:val="24"/>
        </w:rPr>
        <w:t>Rules of Construction.</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the context otherwise requires: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a term has the meaning assigned to it;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an accounting term not otherwise defined has the meaning assigned to it in accordance with GAAP;</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“or” is not exclusive;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words in the singular include the plural, and in the plural include the singular;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(5)    “will” shall be interpreted to express a command;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(6)    provisions apply to successive events and transactions;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(7)    references to sections of or rules under the Securities Act shall be deemed to include substitute, replacement of successor sections or rules adopted by the SEC from time to time;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(8)    references to any statute, law, rule or regulation shall be deemed to refer to the same as from time to time amended and in effect and to any successor statute, law, rule or regulation;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(9)    references to any contract, agreement or instrument shall mean the same as amended, modified, supplemented or amended and restated from time to time, in each case, in accordance with any applicable restrictions contained therein or in this Indenture.</w:t>
      </w:r>
    </w:p>
    <w:p>
      <w:pPr>
        <w:pStyle w:val="TextBody"/>
        <w:bidi w:val="0"/>
        <w:spacing w:lineRule="auto" w:line="288" w:before="0" w:after="240"/>
        <w:jc w:val="center"/>
        <w:rPr>
          <w:rFonts w:ascii="Times New Roman;serif" w:hAnsi="Times New Roman;serif"/>
          <w:b/>
          <w:color w:val="000000"/>
          <w:sz w:val="24"/>
        </w:rPr>
      </w:pPr>
      <w:bookmarkStart w:id="4" w:name="ibb665e87fa0e405f96a79f7342fcac95"/>
      <w:bookmarkEnd w:id="4"/>
      <w:r>
        <w:rPr>
          <w:rFonts w:ascii="Times New Roman;serif" w:hAnsi="Times New Roman;serif"/>
          <w:b/>
          <w:color w:val="000000"/>
          <w:sz w:val="24"/>
        </w:rPr>
        <w:t>ARTICLE 2.</w:t>
        <w:br/>
        <w:t xml:space="preserve">THE NOTES </w:t>
      </w:r>
    </w:p>
    <w:p>
      <w:pPr>
        <w:pStyle w:val="TextBody"/>
        <w:bidi w:val="0"/>
        <w:spacing w:lineRule="auto" w:line="288" w:before="0" w:after="240"/>
        <w:ind w:left="0" w:right="0" w:hanging="720"/>
        <w:jc w:val="both"/>
        <w:rPr/>
      </w:pPr>
      <w:bookmarkStart w:id="5" w:name="i329a3dff3a7c4af89289fdf35649d7d4"/>
      <w:bookmarkEnd w:id="5"/>
      <w:r>
        <w:rPr>
          <w:rFonts w:ascii="Times New Roman;serif" w:hAnsi="Times New Roman;serif"/>
          <w:b w:val="false"/>
          <w:color w:val="000000"/>
          <w:sz w:val="24"/>
        </w:rPr>
        <w:t>Section 2.01    </w:t>
      </w:r>
      <w:r>
        <w:rPr>
          <w:rFonts w:ascii="Times New Roman;serif" w:hAnsi="Times New Roman;serif"/>
          <w:b w:val="false"/>
          <w:i/>
          <w:color w:val="000000"/>
          <w:sz w:val="24"/>
        </w:rPr>
        <w:t>Form and Dating.</w:t>
      </w:r>
    </w:p>
    <w:p>
      <w:pPr>
        <w:pStyle w:val="TextBody"/>
        <w:bidi w:val="0"/>
        <w:spacing w:lineRule="auto" w:line="288" w:before="0" w:after="240"/>
        <w:ind w:left="0" w:right="0" w:firstLine="720"/>
        <w:jc w:val="both"/>
        <w:rPr/>
      </w:pPr>
      <w:bookmarkStart w:id="6" w:name="i726435adf5954271849c4dc953854e9e"/>
      <w:bookmarkEnd w:id="6"/>
      <w:r>
        <w:rPr>
          <w:rFonts w:ascii="Times New Roman;serif" w:hAnsi="Times New Roman;serif"/>
          <w:b w:val="false"/>
          <w:color w:val="000000"/>
          <w:sz w:val="24"/>
        </w:rPr>
        <w:t>(a)    </w:t>
      </w:r>
      <w:r>
        <w:rPr>
          <w:rFonts w:ascii="Times New Roman;serif" w:hAnsi="Times New Roman;serif"/>
          <w:b w:val="false"/>
          <w:i/>
          <w:color w:val="000000"/>
          <w:sz w:val="24"/>
        </w:rPr>
        <w:t>General</w:t>
      </w:r>
      <w:r>
        <w:rPr>
          <w:rFonts w:ascii="Times New Roman;serif" w:hAnsi="Times New Roman;serif"/>
          <w:b w:val="false"/>
          <w:color w:val="000000"/>
          <w:sz w:val="24"/>
        </w:rPr>
        <w:t xml:space="preserve">. The Notes and the Trustee’s certificate of authentication shall be substantially in the form of </w:t>
      </w:r>
      <w:r>
        <w:rPr>
          <w:rFonts w:ascii="Times New Roman;serif" w:hAnsi="Times New Roman;serif"/>
          <w:b w:val="false"/>
          <w:color w:val="000000"/>
          <w:sz w:val="24"/>
          <w:u w:val="single"/>
        </w:rPr>
        <w:t>Exhibits A-1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A-2</w:t>
      </w:r>
      <w:r>
        <w:rPr>
          <w:color w:val="000000"/>
        </w:rPr>
        <w:t xml:space="preserve"> </w:t>
      </w:r>
      <w:r>
        <w:rPr>
          <w:rFonts w:ascii="Times New Roman;serif" w:hAnsi="Times New Roman;serif"/>
          <w:b w:val="false"/>
          <w:color w:val="000000"/>
          <w:sz w:val="24"/>
        </w:rPr>
        <w:t>hereto. The Notes may have notations, legends or endorsements required by law, stock exchange rule or usage. Each Note shall be dated the date of its authentication. The Notes shall be in denominations of $2,000 or an integral multiple of $1,000 in excess of $2,000.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lineRule="auto" w:line="288" w:before="0" w:after="240"/>
        <w:ind w:left="0" w:right="0" w:firstLine="720"/>
        <w:jc w:val="both"/>
        <w:rPr/>
      </w:pPr>
      <w:bookmarkStart w:id="7" w:name="i304693ac162b4074b0e6383e91cfde3f"/>
      <w:bookmarkEnd w:id="7"/>
      <w:r>
        <w:rPr>
          <w:rFonts w:ascii="Times New Roman;serif" w:hAnsi="Times New Roman;serif"/>
          <w:b w:val="false"/>
          <w:color w:val="000000"/>
          <w:sz w:val="24"/>
        </w:rPr>
        <w:t>(b)    </w:t>
      </w:r>
      <w:r>
        <w:rPr>
          <w:rFonts w:ascii="Times New Roman;serif" w:hAnsi="Times New Roman;serif"/>
          <w:b w:val="false"/>
          <w:i/>
          <w:color w:val="000000"/>
          <w:sz w:val="24"/>
        </w:rPr>
        <w:t>Global Notes</w:t>
      </w:r>
      <w:r>
        <w:rPr>
          <w:rFonts w:ascii="Times New Roman;serif" w:hAnsi="Times New Roman;serif"/>
          <w:b w:val="false"/>
          <w:color w:val="000000"/>
          <w:sz w:val="24"/>
        </w:rPr>
        <w:t xml:space="preserve">. Notes issued in global form shall be substantially in the form of </w:t>
      </w:r>
      <w:r>
        <w:rPr>
          <w:rFonts w:ascii="Times New Roman;serif" w:hAnsi="Times New Roman;serif"/>
          <w:b w:val="false"/>
          <w:color w:val="000000"/>
          <w:sz w:val="24"/>
          <w:u w:val="single"/>
        </w:rPr>
        <w:t>Exhibits A-1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A-2</w:t>
      </w:r>
      <w:r>
        <w:rPr>
          <w:color w:val="000000"/>
        </w:rPr>
        <w:t xml:space="preserve"> </w:t>
      </w:r>
      <w:r>
        <w:rPr>
          <w:rFonts w:ascii="Times New Roman;serif" w:hAnsi="Times New Roman;serif"/>
          <w:b w:val="false"/>
          <w:color w:val="000000"/>
          <w:sz w:val="24"/>
        </w:rPr>
        <w:t>attached hereto (including the Global Note Legend thereon and the “</w:t>
      </w:r>
      <w:r>
        <w:rPr>
          <w:rFonts w:ascii="Times New Roman;serif" w:hAnsi="Times New Roman;serif"/>
          <w:b w:val="false"/>
          <w:i/>
          <w:color w:val="000000"/>
          <w:sz w:val="24"/>
        </w:rPr>
        <w:t>Schedule of</w:t>
      </w:r>
      <w:r>
        <w:rPr>
          <w:color w:val="000000"/>
        </w:rPr>
        <w:t xml:space="preserve"> </w:t>
      </w:r>
      <w:r>
        <w:rPr>
          <w:rFonts w:ascii="Times New Roman;serif" w:hAnsi="Times New Roman;serif"/>
          <w:b w:val="false"/>
          <w:i/>
          <w:color w:val="000000"/>
          <w:sz w:val="24"/>
        </w:rPr>
        <w:t>Exchanges of Interests in the Global Note</w:t>
      </w:r>
      <w:r>
        <w:rPr>
          <w:color w:val="000000"/>
        </w:rPr>
        <w:t xml:space="preserve">” </w:t>
      </w:r>
      <w:r>
        <w:rPr>
          <w:rFonts w:ascii="Times New Roman;serif" w:hAnsi="Times New Roman;serif"/>
          <w:b w:val="false"/>
          <w:color w:val="000000"/>
          <w:sz w:val="24"/>
        </w:rPr>
        <w:t xml:space="preserve">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ind w:left="0" w:right="0" w:firstLine="720"/>
        <w:jc w:val="both"/>
        <w:rPr/>
      </w:pPr>
      <w:bookmarkStart w:id="8" w:name="i8163a4c0c9f044ceb8c80586237da9e1"/>
      <w:bookmarkEnd w:id="8"/>
      <w:r>
        <w:rPr>
          <w:rFonts w:ascii="Times New Roman;serif" w:hAnsi="Times New Roman;serif"/>
          <w:b w:val="false"/>
          <w:color w:val="000000"/>
          <w:sz w:val="24"/>
        </w:rPr>
        <w:t>(c)    </w:t>
      </w:r>
      <w:r>
        <w:rPr>
          <w:rFonts w:ascii="Times New Roman;serif" w:hAnsi="Times New Roman;serif"/>
          <w:b w:val="false"/>
          <w:i/>
          <w:color w:val="000000"/>
          <w:sz w:val="24"/>
        </w:rPr>
        <w:t>Temporary Global Notes</w:t>
      </w:r>
      <w:r>
        <w:rPr>
          <w:rFonts w:ascii="Times New Roman;serif" w:hAnsi="Times New Roman;serif"/>
          <w:b w:val="false"/>
          <w:color w:val="000000"/>
          <w:sz w:val="24"/>
        </w:rPr>
        <w:t xml:space="preserve">. Notes offered and sold in reliance on Regulation S shall be issued initially in the form of the Regulation S Temporary Global Note substantially in the form of </w:t>
      </w:r>
      <w:r>
        <w:rPr>
          <w:rFonts w:ascii="Times New Roman;serif" w:hAnsi="Times New Roman;serif"/>
          <w:b w:val="false"/>
          <w:color w:val="000000"/>
          <w:sz w:val="24"/>
          <w:u w:val="single"/>
        </w:rPr>
        <w:t>Exhibit A-2</w:t>
      </w:r>
      <w:r>
        <w:rPr>
          <w:color w:val="000000"/>
        </w:rPr>
        <w:t xml:space="preserve"> </w:t>
      </w:r>
      <w:r>
        <w:rPr>
          <w:rFonts w:ascii="Times New Roman;serif" w:hAnsi="Times New Roman;serif"/>
          <w:b w:val="false"/>
          <w:color w:val="000000"/>
          <w:sz w:val="24"/>
        </w:rPr>
        <w:t>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9" w:name="i768f628d3f0a4102b3c6f31286d29921"/>
      <w:bookmarkEnd w:id="9"/>
      <w:r>
        <w:rPr>
          <w:rFonts w:ascii="Times New Roman;serif" w:hAnsi="Times New Roman;serif"/>
          <w:b w:val="false"/>
          <w:color w:val="000000"/>
          <w:sz w:val="24"/>
        </w:rPr>
        <w:t>(1)    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 w:name="i9791fcde654e4377be0ecbc0bcd33142"/>
      <w:bookmarkEnd w:id="10"/>
      <w:r>
        <w:rPr>
          <w:rFonts w:ascii="Times New Roman;serif" w:hAnsi="Times New Roman;serif"/>
          <w:b w:val="false"/>
          <w:color w:val="000000"/>
          <w:sz w:val="24"/>
        </w:rPr>
        <w:t>(2)    an Officers’ Certificate from each of the Issuers.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increased or decreased by adjustments made on the records of the Trustee and the Depositary or its nominee, as the case may be, in connection with transfers of interest as hereinafter provided.</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720"/>
        <w:jc w:val="both"/>
        <w:rPr/>
      </w:pPr>
      <w:bookmarkStart w:id="11" w:name="i0454ede4606b4d2eb906a26d15a81698"/>
      <w:bookmarkEnd w:id="11"/>
      <w:r>
        <w:rPr>
          <w:rFonts w:ascii="Times New Roman;serif" w:hAnsi="Times New Roman;serif"/>
          <w:b w:val="false"/>
          <w:color w:val="000000"/>
          <w:sz w:val="24"/>
        </w:rPr>
        <w:t>(d)    </w:t>
      </w:r>
      <w:r>
        <w:rPr>
          <w:rFonts w:ascii="Times New Roman;serif" w:hAnsi="Times New Roman;serif"/>
          <w:b w:val="false"/>
          <w:i/>
          <w:color w:val="000000"/>
          <w:sz w:val="24"/>
        </w:rPr>
        <w:t>Euroclear and Clearstream Procedures Applicable</w:t>
      </w:r>
      <w:r>
        <w:rPr>
          <w:rFonts w:ascii="Times New Roman;serif" w:hAnsi="Times New Roman;serif"/>
          <w:b w:val="false"/>
          <w:color w:val="000000"/>
          <w:sz w:val="24"/>
        </w:rPr>
        <w:t xml:space="preserve">.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 </w:t>
      </w:r>
    </w:p>
    <w:p>
      <w:pPr>
        <w:pStyle w:val="TextBody"/>
        <w:bidi w:val="0"/>
        <w:spacing w:lineRule="auto" w:line="288" w:before="0" w:after="240"/>
        <w:ind w:left="0" w:right="0" w:hanging="720"/>
        <w:jc w:val="both"/>
        <w:rPr/>
      </w:pPr>
      <w:bookmarkStart w:id="12" w:name="i843e782bf42d44eb846f5be27f15c0c9"/>
      <w:bookmarkEnd w:id="12"/>
      <w:r>
        <w:rPr>
          <w:rFonts w:ascii="Times New Roman;serif" w:hAnsi="Times New Roman;serif"/>
          <w:b w:val="false"/>
          <w:color w:val="000000"/>
          <w:sz w:val="24"/>
        </w:rPr>
        <w:t>Section 2.02    </w:t>
      </w:r>
      <w:r>
        <w:rPr>
          <w:rFonts w:ascii="Times New Roman;serif" w:hAnsi="Times New Roman;serif"/>
          <w:b w:val="false"/>
          <w:i/>
          <w:color w:val="000000"/>
          <w:sz w:val="24"/>
        </w:rPr>
        <w:t>Execution and Authentication.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Designated Officer on behalf of each of Wynn Resorts Finance and Wynn Resorts Capital must sign the Notes for the Issuers by manual or facsimile signature.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Officer whose signature is on a Note no longer holds that office at the time a Note is authenticated, the Note shall nevertheless be valid.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Note shall not be valid until authenticated by the manual signature of the Trustee. The signature shall be conclusive evidence that the Note has been authenticated under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Trustee shall, upon receipt of a written order of the Issuers signed by a Designated Officer of each of Wynn Resorts Finance and Wynn Resorts Capital (an “</w:t>
      </w:r>
      <w:r>
        <w:rPr>
          <w:rFonts w:ascii="Times New Roman;serif" w:hAnsi="Times New Roman;serif"/>
          <w:b w:val="false"/>
          <w:i/>
          <w:color w:val="000000"/>
          <w:sz w:val="24"/>
          <w:u w:val="single"/>
        </w:rPr>
        <w:t>Authentication Order</w:t>
      </w:r>
      <w:r>
        <w:rPr>
          <w:color w:val="000000"/>
        </w:rPr>
        <w:t>”</w:t>
      </w:r>
      <w:r>
        <w:rPr>
          <w:rFonts w:ascii="Times New Roman;serif" w:hAnsi="Times New Roman;serif"/>
          <w:b w:val="false"/>
          <w:color w:val="000000"/>
          <w:sz w:val="24"/>
        </w:rPr>
        <w:t>), 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aggregate principal amount of Notes outstanding at any time may not exceed aggregate principal amount of Notes authorized for issuance by the Issuers pursuant to one or more Authentication Orders, except as provided in Section 2.07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pStyle w:val="TextBody"/>
        <w:bidi w:val="0"/>
        <w:spacing w:lineRule="auto" w:line="288" w:before="0" w:after="240"/>
        <w:ind w:left="0" w:right="0" w:hanging="720"/>
        <w:jc w:val="both"/>
        <w:rPr/>
      </w:pPr>
      <w:bookmarkStart w:id="13" w:name="i414e76f57866452ea0dd87a0e014c0a6"/>
      <w:bookmarkEnd w:id="13"/>
      <w:r>
        <w:rPr>
          <w:rFonts w:ascii="Times New Roman;serif" w:hAnsi="Times New Roman;serif"/>
          <w:b w:val="false"/>
          <w:color w:val="000000"/>
          <w:sz w:val="24"/>
        </w:rPr>
        <w:t>Section 2.03    </w:t>
      </w:r>
      <w:r>
        <w:rPr>
          <w:rFonts w:ascii="Times New Roman;serif" w:hAnsi="Times New Roman;serif"/>
          <w:b w:val="false"/>
          <w:i/>
          <w:color w:val="000000"/>
          <w:sz w:val="24"/>
        </w:rPr>
        <w:t>Registrar and Paying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Issuers shall maintain an office or agency where Notes may be presented for registration of transfer or for exchange (“</w:t>
      </w:r>
      <w:r>
        <w:rPr>
          <w:rFonts w:ascii="Times New Roman;serif" w:hAnsi="Times New Roman;serif"/>
          <w:b w:val="false"/>
          <w:i/>
          <w:color w:val="000000"/>
          <w:sz w:val="24"/>
          <w:u w:val="single"/>
        </w:rPr>
        <w:t>Registrar</w:t>
      </w:r>
      <w:r>
        <w:rPr>
          <w:color w:val="000000"/>
        </w:rPr>
        <w:t>”</w:t>
      </w:r>
      <w:r>
        <w:rPr>
          <w:rFonts w:ascii="Times New Roman;serif" w:hAnsi="Times New Roman;serif"/>
          <w:b w:val="false"/>
          <w:color w:val="000000"/>
          <w:sz w:val="24"/>
        </w:rPr>
        <w:t>) and an office or agency where Notes may be presented for payment (“</w:t>
      </w:r>
      <w:r>
        <w:rPr>
          <w:rFonts w:ascii="Times New Roman;serif" w:hAnsi="Times New Roman;serif"/>
          <w:b w:val="false"/>
          <w:i/>
          <w:color w:val="000000"/>
          <w:sz w:val="24"/>
          <w:u w:val="single"/>
        </w:rPr>
        <w:t>Paying Agent</w:t>
      </w:r>
      <w:r>
        <w:rPr>
          <w:color w:val="000000"/>
        </w:rPr>
        <w:t>”</w:t>
      </w:r>
      <w:r>
        <w:rPr>
          <w:rFonts w:ascii="Times New Roman;serif" w:hAnsi="Times New Roman;serif"/>
          <w:b w:val="false"/>
          <w:color w:val="000000"/>
          <w:sz w:val="24"/>
        </w:rPr>
        <w:t xml:space="preserve">).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Issuers initially appoint The Depository Trust Company (“</w:t>
      </w:r>
      <w:r>
        <w:rPr>
          <w:rFonts w:ascii="Times New Roman;serif" w:hAnsi="Times New Roman;serif"/>
          <w:b w:val="false"/>
          <w:i/>
          <w:color w:val="000000"/>
          <w:sz w:val="24"/>
          <w:u w:val="single"/>
        </w:rPr>
        <w:t>DTC</w:t>
      </w:r>
      <w:r>
        <w:rPr>
          <w:color w:val="000000"/>
        </w:rPr>
        <w:t>”</w:t>
      </w:r>
      <w:r>
        <w:rPr>
          <w:rFonts w:ascii="Times New Roman;serif" w:hAnsi="Times New Roman;serif"/>
          <w:b w:val="false"/>
          <w:color w:val="000000"/>
          <w:sz w:val="24"/>
        </w:rPr>
        <w:t>) to act as Depositary with respect to the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initially appoint the Trustee to act as the Registrar and Paying Agent and to act as Custodian with respect to the Global Notes.</w:t>
      </w:r>
    </w:p>
    <w:p>
      <w:pPr>
        <w:pStyle w:val="TextBody"/>
        <w:bidi w:val="0"/>
        <w:spacing w:lineRule="auto" w:line="288" w:before="0" w:after="240"/>
        <w:ind w:left="0" w:right="0" w:hanging="720"/>
        <w:jc w:val="both"/>
        <w:rPr/>
      </w:pPr>
      <w:bookmarkStart w:id="14" w:name="idbec2ec8277846528cc8160308fc552a"/>
      <w:bookmarkEnd w:id="14"/>
      <w:r>
        <w:rPr>
          <w:rFonts w:ascii="Times New Roman;serif" w:hAnsi="Times New Roman;serif"/>
          <w:b w:val="false"/>
          <w:color w:val="000000"/>
          <w:sz w:val="24"/>
        </w:rPr>
        <w:t>Section 2.04    </w:t>
      </w:r>
      <w:r>
        <w:rPr>
          <w:rFonts w:ascii="Times New Roman;serif" w:hAnsi="Times New Roman;serif"/>
          <w:b w:val="false"/>
          <w:i/>
          <w:color w:val="000000"/>
          <w:sz w:val="24"/>
        </w:rPr>
        <w:t>Paying Agent to Hold Money in Trust.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pStyle w:val="TextBody"/>
        <w:bidi w:val="0"/>
        <w:spacing w:lineRule="auto" w:line="288" w:before="0" w:after="240"/>
        <w:ind w:left="0" w:right="0" w:hanging="720"/>
        <w:jc w:val="both"/>
        <w:rPr/>
      </w:pPr>
      <w:bookmarkStart w:id="15" w:name="i4a8ce91c4e224e1da1c4fede9a77b87b"/>
      <w:bookmarkEnd w:id="15"/>
      <w:r>
        <w:rPr>
          <w:rFonts w:ascii="Times New Roman;serif" w:hAnsi="Times New Roman;serif"/>
          <w:b w:val="false"/>
          <w:color w:val="000000"/>
          <w:sz w:val="24"/>
        </w:rPr>
        <w:t>Section 2.05    </w:t>
      </w:r>
      <w:r>
        <w:rPr>
          <w:rFonts w:ascii="Times New Roman;serif" w:hAnsi="Times New Roman;serif"/>
          <w:b w:val="false"/>
          <w:i/>
          <w:color w:val="000000"/>
          <w:sz w:val="24"/>
        </w:rPr>
        <w:t>Holder Lists.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pStyle w:val="TextBody"/>
        <w:bidi w:val="0"/>
        <w:spacing w:lineRule="auto" w:line="288" w:before="0" w:after="240"/>
        <w:ind w:left="0" w:right="0" w:hanging="720"/>
        <w:jc w:val="both"/>
        <w:rPr/>
      </w:pPr>
      <w:bookmarkStart w:id="16" w:name="i3a45285083bd481696973216fe2d2d73"/>
      <w:bookmarkEnd w:id="16"/>
      <w:r>
        <w:rPr>
          <w:rFonts w:ascii="Times New Roman;serif" w:hAnsi="Times New Roman;serif"/>
          <w:b w:val="false"/>
          <w:color w:val="000000"/>
          <w:sz w:val="24"/>
        </w:rPr>
        <w:t>Section 2.06    </w:t>
      </w:r>
      <w:r>
        <w:rPr>
          <w:rFonts w:ascii="Times New Roman;serif" w:hAnsi="Times New Roman;serif"/>
          <w:b w:val="false"/>
          <w:i/>
          <w:color w:val="000000"/>
          <w:sz w:val="24"/>
        </w:rPr>
        <w:t>Transfer and Exchange.</w:t>
      </w:r>
    </w:p>
    <w:p>
      <w:pPr>
        <w:pStyle w:val="TextBody"/>
        <w:bidi w:val="0"/>
        <w:spacing w:lineRule="auto" w:line="288" w:before="0" w:after="240"/>
        <w:ind w:left="0" w:right="0" w:firstLine="720"/>
        <w:jc w:val="both"/>
        <w:rPr/>
      </w:pPr>
      <w:bookmarkStart w:id="17" w:name="i8e33db6d5a3f4874965bebce86cb8f7b"/>
      <w:bookmarkEnd w:id="17"/>
      <w:r>
        <w:rPr>
          <w:rFonts w:ascii="Times New Roman;serif" w:hAnsi="Times New Roman;serif"/>
          <w:b w:val="false"/>
          <w:color w:val="000000"/>
          <w:sz w:val="24"/>
        </w:rPr>
        <w:t>(a)    </w:t>
      </w:r>
      <w:r>
        <w:rPr>
          <w:rFonts w:ascii="Times New Roman;serif" w:hAnsi="Times New Roman;serif"/>
          <w:b w:val="false"/>
          <w:i/>
          <w:color w:val="000000"/>
          <w:sz w:val="24"/>
        </w:rPr>
        <w:t>Transfer and Exchange of Global Notes</w:t>
      </w:r>
      <w:r>
        <w:rPr>
          <w:rFonts w:ascii="Times New Roman;serif" w:hAnsi="Times New Roman;serif"/>
          <w:b w:val="false"/>
          <w:color w:val="000000"/>
          <w:sz w:val="24"/>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 w:name="i7cb05929a53745ed9d2524a3b1a18e2b"/>
      <w:bookmarkEnd w:id="18"/>
      <w:r>
        <w:rPr>
          <w:rFonts w:ascii="Times New Roman;serif" w:hAnsi="Times New Roman;serif"/>
          <w:b w:val="false"/>
          <w:color w:val="000000"/>
          <w:sz w:val="24"/>
        </w:rPr>
        <w:t xml:space="preserve">(1)    Wynn Resorts Finance delivers to the Trustee written notice from the Depositary that it is unwilling or unable to continue to act as Depositary or that it is no longer a clearing agency registered under the Exchange Act and, in either case, a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successor Depositary is not appointed by Wynn Resorts Finance within 120 days after the date of such notice from the Depositary;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 w:name="i1f661153e3f9448ca87d47fff2472972"/>
      <w:bookmarkEnd w:id="19"/>
      <w:r>
        <w:rPr>
          <w:rFonts w:ascii="Times New Roman;serif" w:hAnsi="Times New Roman;serif"/>
          <w:b w:val="false"/>
          <w:color w:val="000000"/>
          <w:sz w:val="24"/>
        </w:rPr>
        <w:t xml:space="preserve">(2)    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 w:name="i4a3b42ffa59542b4a595e0d005bc76f8"/>
      <w:bookmarkEnd w:id="20"/>
      <w:r>
        <w:rPr>
          <w:rFonts w:ascii="Times New Roman;serif" w:hAnsi="Times New Roman;serif"/>
          <w:b w:val="false"/>
          <w:color w:val="000000"/>
          <w:sz w:val="24"/>
        </w:rPr>
        <w:t>(3)    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pStyle w:val="TextBody"/>
        <w:bidi w:val="0"/>
        <w:spacing w:lineRule="auto" w:line="288" w:before="0" w:after="240"/>
        <w:ind w:left="0" w:right="0" w:firstLine="720"/>
        <w:jc w:val="both"/>
        <w:rPr/>
      </w:pPr>
      <w:bookmarkStart w:id="21" w:name="ie96f8daa3a674e6395e88f72986d4efc"/>
      <w:bookmarkEnd w:id="21"/>
      <w:r>
        <w:rPr>
          <w:rFonts w:ascii="Times New Roman;serif" w:hAnsi="Times New Roman;serif"/>
          <w:b w:val="false"/>
          <w:color w:val="000000"/>
          <w:sz w:val="24"/>
        </w:rPr>
        <w:t>(b)    </w:t>
      </w:r>
      <w:r>
        <w:rPr>
          <w:rFonts w:ascii="Times New Roman;serif" w:hAnsi="Times New Roman;serif"/>
          <w:b w:val="false"/>
          <w:i/>
          <w:color w:val="000000"/>
          <w:sz w:val="24"/>
        </w:rPr>
        <w:t>Transfer and Exchange of Beneficial Interests in the Global Notes</w:t>
      </w:r>
      <w:r>
        <w:rPr>
          <w:rFonts w:ascii="Times New Roman;serif" w:hAnsi="Times New Roman;serif"/>
          <w:b w:val="false"/>
          <w:color w:val="000000"/>
          <w:sz w:val="24"/>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pStyle w:val="TextBody"/>
        <w:bidi w:val="0"/>
        <w:spacing w:lineRule="auto" w:line="288" w:before="0" w:after="240"/>
        <w:ind w:left="0" w:right="0" w:firstLine="720"/>
        <w:jc w:val="both"/>
        <w:rPr/>
      </w:pPr>
      <w:bookmarkStart w:id="22" w:name="i3fd05c00d00343aab0a9d01df4d8ffe6"/>
      <w:bookmarkEnd w:id="22"/>
      <w:r>
        <w:rPr>
          <w:rFonts w:ascii="Times New Roman;serif" w:hAnsi="Times New Roman;serif"/>
          <w:b w:val="false"/>
          <w:color w:val="000000"/>
          <w:sz w:val="24"/>
        </w:rPr>
        <w:t>(1)    </w:t>
      </w:r>
      <w:r>
        <w:rPr>
          <w:rFonts w:ascii="Times New Roman;serif" w:hAnsi="Times New Roman;serif"/>
          <w:b w:val="false"/>
          <w:i/>
          <w:color w:val="000000"/>
          <w:sz w:val="24"/>
        </w:rPr>
        <w:t>Transfer of Beneficial Interests in the Same Global Note</w:t>
      </w:r>
      <w:r>
        <w:rPr>
          <w:rFonts w:ascii="Times New Roman;serif" w:hAnsi="Times New Roman;serif"/>
          <w:b w:val="false"/>
          <w:color w:val="000000"/>
          <w:sz w:val="24"/>
        </w:rPr>
        <w:t>.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pStyle w:val="TextBody"/>
        <w:bidi w:val="0"/>
        <w:spacing w:lineRule="auto" w:line="288" w:before="0" w:after="240"/>
        <w:ind w:left="0" w:right="0" w:firstLine="720"/>
        <w:jc w:val="both"/>
        <w:rPr/>
      </w:pPr>
      <w:bookmarkStart w:id="23" w:name="i3496562828fc473e96ef01a2bad8dd48"/>
      <w:bookmarkEnd w:id="23"/>
      <w:r>
        <w:rPr>
          <w:rFonts w:ascii="Times New Roman;serif" w:hAnsi="Times New Roman;serif"/>
          <w:b w:val="false"/>
          <w:color w:val="000000"/>
          <w:sz w:val="24"/>
        </w:rPr>
        <w:t>(2)    </w:t>
      </w:r>
      <w:r>
        <w:rPr>
          <w:rFonts w:ascii="Times New Roman;serif" w:hAnsi="Times New Roman;serif"/>
          <w:b w:val="false"/>
          <w:i/>
          <w:color w:val="000000"/>
          <w:sz w:val="24"/>
        </w:rPr>
        <w:t>All Other Transfers and Exchanges of Beneficial Interests in Global Notes</w:t>
      </w:r>
      <w:r>
        <w:rPr>
          <w:rFonts w:ascii="Times New Roman;serif" w:hAnsi="Times New Roman;serif"/>
          <w:b w:val="false"/>
          <w:color w:val="000000"/>
          <w:sz w:val="24"/>
        </w:rPr>
        <w:t xml:space="preserve">. In connection with all transfers and exchanges of beneficial interests that are not subject to Section 2.06(b)(1) above, the transferor of such beneficial interest must deliver to the Registrar either: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4" w:name="i2b44db838d0e40cea2c21931445e522d"/>
      <w:bookmarkEnd w:id="24"/>
      <w:r>
        <w:rPr>
          <w:rFonts w:ascii="Times New Roman;serif" w:hAnsi="Times New Roman;serif"/>
          <w:b w:val="false"/>
          <w:color w:val="000000"/>
          <w:sz w:val="24"/>
        </w:rPr>
        <w:t xml:space="preserve">(A)    both: </w:t>
      </w:r>
    </w:p>
    <w:p>
      <w:pPr>
        <w:pStyle w:val="TextBody"/>
        <w:bidi w:val="0"/>
        <w:spacing w:lineRule="auto" w:line="288" w:before="0" w:after="240"/>
        <w:ind w:left="0" w:right="0" w:firstLine="2880"/>
        <w:jc w:val="both"/>
        <w:rPr>
          <w:rFonts w:ascii="Times New Roman;serif" w:hAnsi="Times New Roman;serif"/>
          <w:b w:val="false"/>
          <w:color w:val="000000"/>
          <w:sz w:val="24"/>
        </w:rPr>
      </w:pPr>
      <w:bookmarkStart w:id="25" w:name="iedae856a71774e08bf6beb88c31822e0"/>
      <w:bookmarkEnd w:id="25"/>
      <w:r>
        <w:rPr>
          <w:rFonts w:ascii="Times New Roman;serif" w:hAnsi="Times New Roman;serif"/>
          <w:b w:val="false"/>
          <w:color w:val="000000"/>
          <w:sz w:val="24"/>
        </w:rPr>
        <w:t xml:space="preserve">(i)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p>
      <w:pPr>
        <w:pStyle w:val="TextBody"/>
        <w:bidi w:val="0"/>
        <w:spacing w:lineRule="auto" w:line="288" w:before="0" w:after="240"/>
        <w:ind w:left="0" w:right="0" w:firstLine="2880"/>
        <w:jc w:val="both"/>
        <w:rPr>
          <w:rFonts w:ascii="Times New Roman;serif" w:hAnsi="Times New Roman;serif"/>
          <w:b w:val="false"/>
          <w:color w:val="000000"/>
          <w:sz w:val="24"/>
        </w:rPr>
      </w:pPr>
      <w:bookmarkStart w:id="26" w:name="i069e6b6e20624b8b90c9ab26fb43c236"/>
      <w:bookmarkEnd w:id="26"/>
      <w:r>
        <w:rPr>
          <w:rFonts w:ascii="Times New Roman;serif" w:hAnsi="Times New Roman;serif"/>
          <w:b w:val="false"/>
          <w:color w:val="000000"/>
          <w:sz w:val="24"/>
        </w:rPr>
        <w:t xml:space="preserve">(ii)    instructions given in accordance with the Applicable Procedures containing information regarding the Participant account to be credited with such increase; or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27" w:name="i071079a0fb7c4540a90a4185518d89f9"/>
      <w:bookmarkEnd w:id="27"/>
      <w:r>
        <w:rPr>
          <w:rFonts w:ascii="Times New Roman;serif" w:hAnsi="Times New Roman;serif"/>
          <w:b w:val="false"/>
          <w:color w:val="000000"/>
          <w:sz w:val="24"/>
        </w:rPr>
        <w:t xml:space="preserve">(B)    both: </w:t>
      </w:r>
    </w:p>
    <w:p>
      <w:pPr>
        <w:pStyle w:val="TextBody"/>
        <w:bidi w:val="0"/>
        <w:spacing w:lineRule="auto" w:line="288" w:before="0" w:after="240"/>
        <w:ind w:left="0" w:right="0" w:firstLine="2880"/>
        <w:jc w:val="both"/>
        <w:rPr>
          <w:rFonts w:ascii="Times New Roman;serif" w:hAnsi="Times New Roman;serif"/>
          <w:b w:val="false"/>
          <w:color w:val="000000"/>
          <w:sz w:val="24"/>
        </w:rPr>
      </w:pPr>
      <w:bookmarkStart w:id="28" w:name="i4b6df3b08385451fa574f26d2744fd25"/>
      <w:bookmarkEnd w:id="28"/>
      <w:r>
        <w:rPr>
          <w:rFonts w:ascii="Times New Roman;serif" w:hAnsi="Times New Roman;serif"/>
          <w:b w:val="false"/>
          <w:color w:val="000000"/>
          <w:sz w:val="24"/>
        </w:rPr>
        <w:t xml:space="preserve">(i)    a written order from a Participant or an Indirect Participant given to the Depositary in accordance with the Applicable Procedures directing the Depositary to cause to be issued a Definitive Note in an amount equal to the beneficial interest to be transferred or exchanged; and </w:t>
      </w:r>
    </w:p>
    <w:p>
      <w:pPr>
        <w:pStyle w:val="TextBody"/>
        <w:bidi w:val="0"/>
        <w:spacing w:lineRule="auto" w:line="288" w:before="0" w:after="240"/>
        <w:ind w:left="0" w:right="0" w:firstLine="2880"/>
        <w:jc w:val="both"/>
        <w:rPr>
          <w:rFonts w:ascii="Times New Roman;serif" w:hAnsi="Times New Roman;serif"/>
          <w:b w:val="false"/>
          <w:color w:val="000000"/>
          <w:sz w:val="24"/>
        </w:rPr>
      </w:pPr>
      <w:bookmarkStart w:id="29" w:name="i8c1d2ce2b43a4acf8c439d4c2dd3f747"/>
      <w:bookmarkEnd w:id="29"/>
      <w:r>
        <w:rPr>
          <w:rFonts w:ascii="Times New Roman;serif" w:hAnsi="Times New Roman;serif"/>
          <w:b w:val="false"/>
          <w:color w:val="000000"/>
          <w:sz w:val="24"/>
        </w:rPr>
        <w:t xml:space="preserve">(ii)    instructions given by the Depositary to the Registrar containing information regarding the Person in whose name such Definitive Note shall be registered to effect the transfer or exchange referred to in (1) above; </w:t>
      </w:r>
    </w:p>
    <w:p>
      <w:pPr>
        <w:pStyle w:val="TextBody"/>
        <w:bidi w:val="0"/>
        <w:spacing w:lineRule="auto" w:line="288" w:before="0" w:after="240"/>
        <w:jc w:val="both"/>
        <w:rPr/>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no event shall Definitive Notes be issued upon the transfer or exchange of beneficial interests in the Regulation S Temporary Global Note prior to (A) the expiration of the Restricted Period and (B) the receipt by the Registrar of any certificates required pursuant to Rule 903 under the Securities 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pStyle w:val="TextBody"/>
        <w:bidi w:val="0"/>
        <w:spacing w:lineRule="auto" w:line="288" w:before="0" w:after="240"/>
        <w:ind w:left="0" w:right="0" w:firstLine="720"/>
        <w:jc w:val="both"/>
        <w:rPr/>
      </w:pPr>
      <w:bookmarkStart w:id="30" w:name="i729bfcdaa0264aed82e9fa963db81d86"/>
      <w:bookmarkEnd w:id="30"/>
      <w:r>
        <w:rPr>
          <w:rFonts w:ascii="Times New Roman;serif" w:hAnsi="Times New Roman;serif"/>
          <w:b w:val="false"/>
          <w:color w:val="000000"/>
          <w:sz w:val="24"/>
        </w:rPr>
        <w:t>(3)    </w:t>
      </w:r>
      <w:r>
        <w:rPr>
          <w:rFonts w:ascii="Times New Roman;serif" w:hAnsi="Times New Roman;serif"/>
          <w:b w:val="false"/>
          <w:i/>
          <w:color w:val="000000"/>
          <w:sz w:val="24"/>
        </w:rPr>
        <w:t>Transfer of Beneficial Interests to Another Restricted Global Note</w:t>
      </w:r>
      <w:r>
        <w:rPr>
          <w:rFonts w:ascii="Times New Roman;serif" w:hAnsi="Times New Roman;serif"/>
          <w:b w:val="false"/>
          <w:color w:val="000000"/>
          <w:sz w:val="24"/>
        </w:rPr>
        <w:t xml:space="preserve">. A beneficial interest in any Restricted Global Note may be transferred to a Person who takes delivery thereof in the form of a beneficial interest in another Restricted Global Note if the transfer complies with the requirements of Section 2.06(b)(2) above and the Registrar receives the following: </w:t>
      </w:r>
    </w:p>
    <w:p>
      <w:pPr>
        <w:pStyle w:val="TextBody"/>
        <w:bidi w:val="0"/>
        <w:spacing w:lineRule="auto" w:line="288" w:before="0" w:after="240"/>
        <w:ind w:left="0" w:right="0" w:firstLine="2160"/>
        <w:jc w:val="both"/>
        <w:rPr/>
      </w:pPr>
      <w:bookmarkStart w:id="31" w:name="i596ec037538a4dc983dc7db2002f6682"/>
      <w:bookmarkEnd w:id="31"/>
      <w:r>
        <w:rPr>
          <w:rFonts w:ascii="Times New Roman;serif" w:hAnsi="Times New Roman;serif"/>
          <w:b w:val="false"/>
          <w:color w:val="000000"/>
          <w:sz w:val="24"/>
        </w:rPr>
        <w:t xml:space="preserve">(A)    if the transferee shall take delivery in the form of a beneficial interest in the 144A Global Note,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(1) thereof; </w:t>
      </w:r>
    </w:p>
    <w:p>
      <w:pPr>
        <w:pStyle w:val="TextBody"/>
        <w:bidi w:val="0"/>
        <w:spacing w:lineRule="auto" w:line="288" w:before="0" w:after="240"/>
        <w:ind w:left="0" w:right="0" w:firstLine="2160"/>
        <w:jc w:val="both"/>
        <w:rPr/>
      </w:pPr>
      <w:bookmarkStart w:id="32" w:name="i7f02aeb3aba34b6e87a7badfbfbec712"/>
      <w:bookmarkEnd w:id="32"/>
      <w:r>
        <w:rPr>
          <w:rFonts w:ascii="Times New Roman;serif" w:hAnsi="Times New Roman;serif"/>
          <w:b w:val="false"/>
          <w:color w:val="000000"/>
          <w:sz w:val="24"/>
        </w:rPr>
        <w:t xml:space="preserve">(B)    if the transferee shall take delivery in the form of a beneficial interest in the Regulation S Temporary Global Note or the Regulation S Permanent Global Note,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(2) thereof; and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9.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2160"/>
        <w:jc w:val="both"/>
        <w:rPr/>
      </w:pPr>
      <w:bookmarkStart w:id="33" w:name="ifd939333f72649d89ba4266a875cafa1"/>
      <w:bookmarkEnd w:id="33"/>
      <w:r>
        <w:rPr>
          <w:rFonts w:ascii="Times New Roman;serif" w:hAnsi="Times New Roman;serif"/>
          <w:b w:val="false"/>
          <w:color w:val="000000"/>
          <w:sz w:val="24"/>
        </w:rPr>
        <w:t xml:space="preserve">(C)    if the transferee shall take delivery in the form of a beneficial interest in the IAI Global Note,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certificates and Opinion of Counsel required by item (3) thereof, if applicable.</w:t>
      </w:r>
    </w:p>
    <w:p>
      <w:pPr>
        <w:pStyle w:val="TextBody"/>
        <w:bidi w:val="0"/>
        <w:spacing w:lineRule="auto" w:line="288" w:before="0" w:after="240"/>
        <w:ind w:left="0" w:right="0" w:firstLine="720"/>
        <w:jc w:val="both"/>
        <w:rPr/>
      </w:pPr>
      <w:bookmarkStart w:id="34" w:name="icef2a06f03f6491fb7aa4f5dc4948c3b"/>
      <w:bookmarkEnd w:id="34"/>
      <w:r>
        <w:rPr>
          <w:rFonts w:ascii="Times New Roman;serif" w:hAnsi="Times New Roman;serif"/>
          <w:b w:val="false"/>
          <w:color w:val="000000"/>
          <w:sz w:val="24"/>
        </w:rPr>
        <w:t>(4)    </w:t>
      </w:r>
      <w:r>
        <w:rPr>
          <w:rFonts w:ascii="Times New Roman;serif" w:hAnsi="Times New Roman;serif"/>
          <w:b w:val="false"/>
          <w:i/>
          <w:color w:val="000000"/>
          <w:sz w:val="24"/>
        </w:rPr>
        <w:t>Transfer and Exchange of Beneficial Interests in a Restricted Global Note for Beneficial Interests in an Unrestricted Global Note</w:t>
      </w:r>
      <w:r>
        <w:rPr>
          <w:rFonts w:ascii="Times New Roman;serif" w:hAnsi="Times New Roman;serif"/>
          <w:b w:val="false"/>
          <w:color w:val="000000"/>
          <w:sz w:val="24"/>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pStyle w:val="TextBody"/>
        <w:bidi w:val="0"/>
        <w:spacing w:lineRule="auto" w:line="288" w:before="0" w:after="240"/>
        <w:ind w:left="0" w:right="0" w:firstLine="2160"/>
        <w:jc w:val="both"/>
        <w:rPr/>
      </w:pPr>
      <w:bookmarkStart w:id="35" w:name="i3235159e3cce477b9c829ce5ef14f081"/>
      <w:bookmarkEnd w:id="35"/>
      <w:r>
        <w:rPr>
          <w:rFonts w:ascii="Times New Roman;serif" w:hAnsi="Times New Roman;serif"/>
          <w:b w:val="false"/>
          <w:color w:val="000000"/>
          <w:sz w:val="24"/>
        </w:rPr>
        <w:t xml:space="preserve">(A)    if the holder of such beneficial interest in a Restricted Global Note proposes to exchange such beneficial interest for a beneficial interest in an Unrestricted Global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hereto, including the certifications in item (1)(a) thereof; or </w:t>
      </w:r>
    </w:p>
    <w:p>
      <w:pPr>
        <w:pStyle w:val="TextBody"/>
        <w:bidi w:val="0"/>
        <w:spacing w:lineRule="auto" w:line="288" w:before="0" w:after="240"/>
        <w:ind w:left="0" w:right="0" w:firstLine="2160"/>
        <w:jc w:val="both"/>
        <w:rPr/>
      </w:pPr>
      <w:bookmarkStart w:id="36" w:name="if22fc33de3e44ed9ab87f5048fe7e05a"/>
      <w:bookmarkEnd w:id="36"/>
      <w:r>
        <w:rPr>
          <w:rFonts w:ascii="Times New Roman;serif" w:hAnsi="Times New Roman;serif"/>
          <w:b w:val="false"/>
          <w:color w:val="000000"/>
          <w:sz w:val="24"/>
        </w:rPr>
        <w:t xml:space="preserve">(B)    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(4)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Beneficial interests in an Unrestricted Global Note cannot be exchanged for, or transferred to Persons who take delivery thereof in the form of, a beneficial interest in a Restricted Global Note.</w:t>
      </w:r>
    </w:p>
    <w:p>
      <w:pPr>
        <w:pStyle w:val="TextBody"/>
        <w:bidi w:val="0"/>
        <w:spacing w:lineRule="auto" w:line="288" w:before="0" w:after="240"/>
        <w:ind w:left="0" w:right="0" w:firstLine="720"/>
        <w:jc w:val="both"/>
        <w:rPr/>
      </w:pPr>
      <w:bookmarkStart w:id="37" w:name="ideab54fd53644417a186b1099ea9b211"/>
      <w:bookmarkEnd w:id="37"/>
      <w:r>
        <w:rPr>
          <w:rFonts w:ascii="Times New Roman;serif" w:hAnsi="Times New Roman;serif"/>
          <w:b w:val="false"/>
          <w:color w:val="000000"/>
          <w:sz w:val="24"/>
        </w:rPr>
        <w:t>(c)    </w:t>
      </w:r>
      <w:r>
        <w:rPr>
          <w:rFonts w:ascii="Times New Roman;serif" w:hAnsi="Times New Roman;serif"/>
          <w:b w:val="false"/>
          <w:i/>
          <w:color w:val="000000"/>
          <w:sz w:val="24"/>
        </w:rPr>
        <w:t>Transfer or Exchange of Beneficial Interests for Definitive Notes.</w:t>
      </w:r>
    </w:p>
    <w:p>
      <w:pPr>
        <w:pStyle w:val="TextBody"/>
        <w:bidi w:val="0"/>
        <w:spacing w:lineRule="auto" w:line="288" w:before="0" w:after="240"/>
        <w:ind w:left="0" w:right="0" w:firstLine="720"/>
        <w:jc w:val="both"/>
        <w:rPr/>
      </w:pPr>
      <w:bookmarkStart w:id="38" w:name="i3a1243d7efe94099a05abf64d73c9c4d"/>
      <w:bookmarkEnd w:id="38"/>
      <w:r>
        <w:rPr>
          <w:rFonts w:ascii="Times New Roman;serif" w:hAnsi="Times New Roman;serif"/>
          <w:b w:val="false"/>
          <w:color w:val="000000"/>
          <w:sz w:val="24"/>
        </w:rPr>
        <w:t>(1)    </w:t>
      </w:r>
      <w:r>
        <w:rPr>
          <w:rFonts w:ascii="Times New Roman;serif" w:hAnsi="Times New Roman;serif"/>
          <w:b w:val="false"/>
          <w:i/>
          <w:color w:val="000000"/>
          <w:sz w:val="24"/>
        </w:rPr>
        <w:t>Beneficial Interests in Restricted Global Notes to Restricted Definitive Notes</w:t>
      </w:r>
      <w:r>
        <w:rPr>
          <w:rFonts w:ascii="Times New Roman;serif" w:hAnsi="Times New Roman;serif"/>
          <w:b w:val="false"/>
          <w:color w:val="000000"/>
          <w:sz w:val="24"/>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2160"/>
        <w:jc w:val="both"/>
        <w:rPr/>
      </w:pPr>
      <w:bookmarkStart w:id="39" w:name="ifd25c9623cee4e8ab030a791fccc1c23"/>
      <w:bookmarkEnd w:id="39"/>
      <w:r>
        <w:rPr>
          <w:rFonts w:ascii="Times New Roman;serif" w:hAnsi="Times New Roman;serif"/>
          <w:b w:val="false"/>
          <w:color w:val="000000"/>
          <w:sz w:val="24"/>
        </w:rPr>
        <w:t xml:space="preserve">(A)    if the holder of such beneficial interest in a Restricted Global Note proposes to exchange such beneficial interest for a Restricted Definitive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(2)(a) thereof;</w:t>
      </w:r>
    </w:p>
    <w:p>
      <w:pPr>
        <w:pStyle w:val="TextBody"/>
        <w:bidi w:val="0"/>
        <w:spacing w:lineRule="auto" w:line="288" w:before="0" w:after="240"/>
        <w:ind w:left="0" w:right="0" w:firstLine="2160"/>
        <w:jc w:val="both"/>
        <w:rPr/>
      </w:pPr>
      <w:bookmarkStart w:id="40" w:name="i38e25843c56d4e748a67d039b63bf499"/>
      <w:bookmarkEnd w:id="40"/>
      <w:r>
        <w:rPr>
          <w:rFonts w:ascii="Times New Roman;serif" w:hAnsi="Times New Roman;serif"/>
          <w:b w:val="false"/>
          <w:color w:val="000000"/>
          <w:sz w:val="24"/>
        </w:rPr>
        <w:t xml:space="preserve">(B)    if such beneficial interest is being transferred to a QIB in accordance with Rule 144A,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288" w:before="0" w:after="240"/>
        <w:ind w:left="0" w:right="0" w:firstLine="2160"/>
        <w:jc w:val="both"/>
        <w:rPr/>
      </w:pPr>
      <w:bookmarkStart w:id="41" w:name="ie78f0a51934d411cb529819eb8c5a0b7"/>
      <w:bookmarkEnd w:id="41"/>
      <w:r>
        <w:rPr>
          <w:rFonts w:ascii="Times New Roman;serif" w:hAnsi="Times New Roman;serif"/>
          <w:b w:val="false"/>
          <w:color w:val="000000"/>
          <w:sz w:val="24"/>
        </w:rPr>
        <w:t xml:space="preserve">(C)    if such beneficial interest is being transferred to a Non-U.S. Person in an offshore transaction in accordance with Rule 903 or Rule 904,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88" w:before="0" w:after="240"/>
        <w:ind w:left="0" w:right="0" w:firstLine="2160"/>
        <w:jc w:val="both"/>
        <w:rPr/>
      </w:pPr>
      <w:bookmarkStart w:id="42" w:name="ieabe5978727b4beabfb514276e7bb7c8"/>
      <w:bookmarkEnd w:id="42"/>
      <w:r>
        <w:rPr>
          <w:rFonts w:ascii="Times New Roman;serif" w:hAnsi="Times New Roman;serif"/>
          <w:b w:val="false"/>
          <w:color w:val="000000"/>
          <w:sz w:val="24"/>
        </w:rPr>
        <w:t xml:space="preserve">(D)    if such beneficial interest is being transferred pursuant to an exemption from the registration requirements of the Securities Act in accordance with Rule 144,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(3)(a) thereof;</w:t>
      </w:r>
    </w:p>
    <w:p>
      <w:pPr>
        <w:pStyle w:val="TextBody"/>
        <w:bidi w:val="0"/>
        <w:spacing w:lineRule="auto" w:line="288" w:before="0" w:after="240"/>
        <w:ind w:left="0" w:right="0" w:firstLine="2160"/>
        <w:jc w:val="both"/>
        <w:rPr/>
      </w:pPr>
      <w:bookmarkStart w:id="43" w:name="i863263b5f67e4149a39a56754b83299a"/>
      <w:bookmarkEnd w:id="43"/>
      <w:r>
        <w:rPr>
          <w:rFonts w:ascii="Times New Roman;serif" w:hAnsi="Times New Roman;serif"/>
          <w:b w:val="false"/>
          <w:color w:val="000000"/>
          <w:sz w:val="24"/>
        </w:rPr>
        <w:t xml:space="preserve">(E)    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certificates and Opinion of Counsel required by item (3) thereof, if applicable; or</w:t>
      </w:r>
    </w:p>
    <w:p>
      <w:pPr>
        <w:pStyle w:val="TextBody"/>
        <w:bidi w:val="0"/>
        <w:spacing w:lineRule="auto" w:line="288" w:before="0" w:after="240"/>
        <w:ind w:left="0" w:right="0" w:firstLine="2160"/>
        <w:jc w:val="both"/>
        <w:rPr/>
      </w:pPr>
      <w:bookmarkStart w:id="44" w:name="ie711044ff71846119711a5f84aba9656"/>
      <w:bookmarkEnd w:id="44"/>
      <w:r>
        <w:rPr>
          <w:rFonts w:ascii="Times New Roman;serif" w:hAnsi="Times New Roman;serif"/>
          <w:b w:val="false"/>
          <w:color w:val="000000"/>
          <w:sz w:val="24"/>
        </w:rPr>
        <w:t xml:space="preserve">(F)    if such beneficial interest is being transferred to the Issuers or any of their Subsidiaries,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(3)(b)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pStyle w:val="TextBody"/>
        <w:bidi w:val="0"/>
        <w:spacing w:lineRule="auto" w:line="288" w:before="0" w:after="240"/>
        <w:ind w:left="0" w:right="0" w:firstLine="720"/>
        <w:jc w:val="both"/>
        <w:rPr/>
      </w:pPr>
      <w:bookmarkStart w:id="45" w:name="i2a0455722c654a8a80ddd34790e69599"/>
      <w:bookmarkEnd w:id="45"/>
      <w:r>
        <w:rPr>
          <w:rFonts w:ascii="Times New Roman;serif" w:hAnsi="Times New Roman;serif"/>
          <w:b w:val="false"/>
          <w:color w:val="000000"/>
          <w:sz w:val="24"/>
        </w:rPr>
        <w:t>(2)    </w:t>
      </w:r>
      <w:r>
        <w:rPr>
          <w:rFonts w:ascii="Times New Roman;serif" w:hAnsi="Times New Roman;serif"/>
          <w:b w:val="false"/>
          <w:i/>
          <w:color w:val="000000"/>
          <w:sz w:val="24"/>
        </w:rPr>
        <w:t xml:space="preserve">Beneficial Interests in Regulation S Temporary Global Note to Definitive Notes. </w:t>
      </w:r>
      <w:r>
        <w:rPr>
          <w:rFonts w:ascii="Times New Roman;serif" w:hAnsi="Times New Roman;serif"/>
          <w:b w:val="false"/>
          <w:color w:val="000000"/>
          <w:sz w:val="24"/>
        </w:rPr>
        <w:t>Notwithstanding Sections 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 except in the case of a transfer pursuant to an exemption from the registration requirements of the Securities Act other than Rule 903 or Rule 904.</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720"/>
        <w:jc w:val="both"/>
        <w:rPr/>
      </w:pPr>
      <w:bookmarkStart w:id="46" w:name="i5d5e2ce3b4734033b91a8b6ca5bd793a"/>
      <w:bookmarkEnd w:id="46"/>
      <w:r>
        <w:rPr>
          <w:rFonts w:ascii="Times New Roman;serif" w:hAnsi="Times New Roman;serif"/>
          <w:b w:val="false"/>
          <w:color w:val="000000"/>
          <w:sz w:val="24"/>
        </w:rPr>
        <w:t>(3)    </w:t>
      </w:r>
      <w:r>
        <w:rPr>
          <w:rFonts w:ascii="Times New Roman;serif" w:hAnsi="Times New Roman;serif"/>
          <w:b w:val="false"/>
          <w:i/>
          <w:color w:val="000000"/>
          <w:sz w:val="24"/>
        </w:rPr>
        <w:t>Beneficial Interests in Restricted Global Notes to Unrestricted Definitive Notes</w:t>
      </w:r>
      <w:r>
        <w:rPr>
          <w:rFonts w:ascii="Times New Roman;serif" w:hAnsi="Times New Roman;serif"/>
          <w:b w:val="false"/>
          <w:color w:val="000000"/>
          <w:sz w:val="24"/>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 </w:t>
      </w:r>
    </w:p>
    <w:p>
      <w:pPr>
        <w:pStyle w:val="TextBody"/>
        <w:bidi w:val="0"/>
        <w:spacing w:lineRule="auto" w:line="288" w:before="0" w:after="240"/>
        <w:ind w:left="0" w:right="0" w:firstLine="2880"/>
        <w:jc w:val="both"/>
        <w:rPr/>
      </w:pPr>
      <w:bookmarkStart w:id="47" w:name="i9b172d61cf18442dbe7139800567b462"/>
      <w:bookmarkEnd w:id="47"/>
      <w:r>
        <w:rPr>
          <w:rFonts w:ascii="Times New Roman;serif" w:hAnsi="Times New Roman;serif"/>
          <w:b w:val="false"/>
          <w:color w:val="000000"/>
          <w:sz w:val="24"/>
        </w:rPr>
        <w:t xml:space="preserve">(i)    if the holder of such beneficial interest in a Restricted Global Note proposes to exchange such beneficial interest for an Unrestricted Definitive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(1)(b) thereof; or</w:t>
      </w:r>
    </w:p>
    <w:p>
      <w:pPr>
        <w:pStyle w:val="TextBody"/>
        <w:bidi w:val="0"/>
        <w:spacing w:lineRule="auto" w:line="288" w:before="0" w:after="240"/>
        <w:ind w:left="0" w:right="0" w:firstLine="2880"/>
        <w:jc w:val="both"/>
        <w:rPr/>
      </w:pPr>
      <w:bookmarkStart w:id="48" w:name="i4f9129b140f64c799d787f15a3f5701f"/>
      <w:bookmarkEnd w:id="48"/>
      <w:r>
        <w:rPr>
          <w:rFonts w:ascii="Times New Roman;serif" w:hAnsi="Times New Roman;serif"/>
          <w:b w:val="false"/>
          <w:color w:val="000000"/>
          <w:sz w:val="24"/>
        </w:rPr>
        <w:t xml:space="preserve">(ii)    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(4)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pPr>
      <w:bookmarkStart w:id="49" w:name="idfd115bd84d346af888e2f48081c552c"/>
      <w:bookmarkEnd w:id="49"/>
      <w:r>
        <w:rPr>
          <w:rFonts w:ascii="Times New Roman;serif" w:hAnsi="Times New Roman;serif"/>
          <w:b w:val="false"/>
          <w:color w:val="000000"/>
          <w:sz w:val="24"/>
        </w:rPr>
        <w:t>(4)    </w:t>
      </w:r>
      <w:r>
        <w:rPr>
          <w:rFonts w:ascii="Times New Roman;serif" w:hAnsi="Times New Roman;serif"/>
          <w:b w:val="false"/>
          <w:i/>
          <w:color w:val="000000"/>
          <w:sz w:val="24"/>
        </w:rPr>
        <w:t>Beneficial Interests in Unrestricted Global Notes to Unrestricted Definitive Notes</w:t>
      </w:r>
      <w:r>
        <w:rPr>
          <w:rFonts w:ascii="Times New Roman;serif" w:hAnsi="Times New Roman;serif"/>
          <w:b w:val="false"/>
          <w:color w:val="000000"/>
          <w:sz w:val="24"/>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Definitive Note issued in exchange for a beneficial interest pursuant to this Section 2.06(c)(4) shall not bear the Private Placement Legend.</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ind w:left="0" w:right="0" w:firstLine="720"/>
        <w:jc w:val="both"/>
        <w:rPr/>
      </w:pPr>
      <w:bookmarkStart w:id="50" w:name="i4f3ff432107c423abd95b37ece846ea5"/>
      <w:bookmarkEnd w:id="50"/>
      <w:r>
        <w:rPr>
          <w:rFonts w:ascii="Times New Roman;serif" w:hAnsi="Times New Roman;serif"/>
          <w:b w:val="false"/>
          <w:color w:val="000000"/>
          <w:sz w:val="24"/>
        </w:rPr>
        <w:t>(d)    </w:t>
      </w:r>
      <w:r>
        <w:rPr>
          <w:rFonts w:ascii="Times New Roman;serif" w:hAnsi="Times New Roman;serif"/>
          <w:b w:val="false"/>
          <w:i/>
          <w:color w:val="000000"/>
          <w:sz w:val="24"/>
        </w:rPr>
        <w:t>Transfer and Exchange of Definitive Notes for Beneficial Interests.</w:t>
      </w:r>
    </w:p>
    <w:p>
      <w:pPr>
        <w:pStyle w:val="TextBody"/>
        <w:bidi w:val="0"/>
        <w:spacing w:lineRule="auto" w:line="288" w:before="0" w:after="240"/>
        <w:ind w:left="0" w:right="0" w:firstLine="720"/>
        <w:jc w:val="both"/>
        <w:rPr/>
      </w:pPr>
      <w:bookmarkStart w:id="51" w:name="i25538b9bdcf34ce68692bfbc6c7ffc25"/>
      <w:bookmarkEnd w:id="51"/>
      <w:r>
        <w:rPr>
          <w:rFonts w:ascii="Times New Roman;serif" w:hAnsi="Times New Roman;serif"/>
          <w:b w:val="false"/>
          <w:color w:val="000000"/>
          <w:sz w:val="24"/>
        </w:rPr>
        <w:t>(1)    </w:t>
      </w:r>
      <w:r>
        <w:rPr>
          <w:rFonts w:ascii="Times New Roman;serif" w:hAnsi="Times New Roman;serif"/>
          <w:b w:val="false"/>
          <w:i/>
          <w:color w:val="000000"/>
          <w:sz w:val="24"/>
        </w:rPr>
        <w:t xml:space="preserve">Restricted Definitive Notes to Beneficial Interests in Restricted Global Notes. </w:t>
      </w:r>
      <w:r>
        <w:rPr>
          <w:rFonts w:ascii="Times New Roman;serif" w:hAnsi="Times New Roman;serif"/>
          <w:b w:val="false"/>
          <w:color w:val="000000"/>
          <w:sz w:val="24"/>
        </w:rPr>
        <w:t xml:space="preserve">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 </w:t>
      </w:r>
    </w:p>
    <w:p>
      <w:pPr>
        <w:pStyle w:val="TextBody"/>
        <w:bidi w:val="0"/>
        <w:spacing w:lineRule="auto" w:line="288" w:before="0" w:after="240"/>
        <w:ind w:left="0" w:right="0" w:firstLine="2160"/>
        <w:jc w:val="both"/>
        <w:rPr/>
      </w:pPr>
      <w:bookmarkStart w:id="52" w:name="i4e68b7f25feb4afab4a0a42ea7b3bf72"/>
      <w:bookmarkEnd w:id="52"/>
      <w:r>
        <w:rPr>
          <w:rFonts w:ascii="Times New Roman;serif" w:hAnsi="Times New Roman;serif"/>
          <w:b w:val="false"/>
          <w:color w:val="000000"/>
          <w:sz w:val="24"/>
        </w:rPr>
        <w:t xml:space="preserve">(A)    if the Holder of such Restricted Definitive Note proposes to exchange such Note for a beneficial interest in a Restricted Global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hereto, including the certifications in item (2)(b) thereof; </w:t>
      </w:r>
    </w:p>
    <w:p>
      <w:pPr>
        <w:pStyle w:val="TextBody"/>
        <w:bidi w:val="0"/>
        <w:spacing w:lineRule="auto" w:line="288" w:before="0" w:after="240"/>
        <w:ind w:left="0" w:right="0" w:firstLine="2160"/>
        <w:jc w:val="both"/>
        <w:rPr/>
      </w:pPr>
      <w:bookmarkStart w:id="53" w:name="ia20c1d19b7a64bc19c8a37ed52348c42"/>
      <w:bookmarkEnd w:id="53"/>
      <w:r>
        <w:rPr>
          <w:rFonts w:ascii="Times New Roman;serif" w:hAnsi="Times New Roman;serif"/>
          <w:b w:val="false"/>
          <w:color w:val="000000"/>
          <w:sz w:val="24"/>
        </w:rPr>
        <w:t xml:space="preserve">(B)    if such Restricted Definitive Note is being transferred to a QIB in accordance with Rule 144A,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288" w:before="0" w:after="240"/>
        <w:ind w:left="0" w:right="0" w:firstLine="2160"/>
        <w:jc w:val="both"/>
        <w:rPr/>
      </w:pPr>
      <w:bookmarkStart w:id="54" w:name="i7c0101db124a4f9da0093f3b7fd1643b"/>
      <w:bookmarkEnd w:id="54"/>
      <w:r>
        <w:rPr>
          <w:rFonts w:ascii="Times New Roman;serif" w:hAnsi="Times New Roman;serif"/>
          <w:b w:val="false"/>
          <w:color w:val="000000"/>
          <w:sz w:val="24"/>
        </w:rPr>
        <w:t xml:space="preserve">(C)    if such Restricted Definitive Note is being transferred to a Non-U.S. Person in an offshore transaction in accordance with Rule 903 or Rule 904,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88" w:before="0" w:after="240"/>
        <w:ind w:left="0" w:right="0" w:firstLine="2160"/>
        <w:jc w:val="both"/>
        <w:rPr/>
      </w:pPr>
      <w:bookmarkStart w:id="55" w:name="i6eee743d7b9547f9a7fb3890f4e77ba0"/>
      <w:bookmarkEnd w:id="55"/>
      <w:r>
        <w:rPr>
          <w:rFonts w:ascii="Times New Roman;serif" w:hAnsi="Times New Roman;serif"/>
          <w:b w:val="false"/>
          <w:color w:val="000000"/>
          <w:sz w:val="24"/>
        </w:rPr>
        <w:t xml:space="preserve">(D)    if such Restricted Definitive Note is being transferred pursuant to an exemption from the registration requirements of the Securities Act in accordance with Rule 144,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(3)(a) thereof;</w:t>
      </w:r>
    </w:p>
    <w:p>
      <w:pPr>
        <w:pStyle w:val="TextBody"/>
        <w:bidi w:val="0"/>
        <w:spacing w:lineRule="auto" w:line="288" w:before="0" w:after="240"/>
        <w:ind w:left="0" w:right="0" w:firstLine="2160"/>
        <w:jc w:val="both"/>
        <w:rPr/>
      </w:pPr>
      <w:bookmarkStart w:id="56" w:name="i6f1921919f284eae803488e07e517ca5"/>
      <w:bookmarkEnd w:id="56"/>
      <w:r>
        <w:rPr>
          <w:rFonts w:ascii="Times New Roman;serif" w:hAnsi="Times New Roman;serif"/>
          <w:b w:val="false"/>
          <w:color w:val="000000"/>
          <w:sz w:val="24"/>
        </w:rPr>
        <w:t xml:space="preserve">(E)    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certificates and Opinion of Counsel required by item (3) thereof, if applicable; or</w:t>
      </w:r>
    </w:p>
    <w:p>
      <w:pPr>
        <w:pStyle w:val="TextBody"/>
        <w:bidi w:val="0"/>
        <w:spacing w:lineRule="auto" w:line="288" w:before="0" w:after="240"/>
        <w:ind w:left="0" w:right="0" w:firstLine="2160"/>
        <w:jc w:val="both"/>
        <w:rPr/>
      </w:pPr>
      <w:bookmarkStart w:id="57" w:name="i12ad936fce1d4a12a1927fa8052cc391"/>
      <w:bookmarkEnd w:id="57"/>
      <w:r>
        <w:rPr>
          <w:rFonts w:ascii="Times New Roman;serif" w:hAnsi="Times New Roman;serif"/>
          <w:b w:val="false"/>
          <w:color w:val="000000"/>
          <w:sz w:val="24"/>
        </w:rPr>
        <w:t xml:space="preserve">(F)    if such Restricted Definitive Note is being transferred to the Issuers or any of their Subsidiaries,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(3)(b)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pStyle w:val="TextBody"/>
        <w:bidi w:val="0"/>
        <w:spacing w:lineRule="auto" w:line="288" w:before="0" w:after="240"/>
        <w:ind w:left="0" w:right="0" w:firstLine="720"/>
        <w:jc w:val="both"/>
        <w:rPr/>
      </w:pPr>
      <w:bookmarkStart w:id="58" w:name="i3c03ec40b13042b6ab6fc10205be2768"/>
      <w:bookmarkEnd w:id="58"/>
      <w:r>
        <w:rPr>
          <w:rFonts w:ascii="Times New Roman;serif" w:hAnsi="Times New Roman;serif"/>
          <w:b w:val="false"/>
          <w:color w:val="000000"/>
          <w:sz w:val="24"/>
        </w:rPr>
        <w:t>(2)    </w:t>
      </w:r>
      <w:r>
        <w:rPr>
          <w:rFonts w:ascii="Times New Roman;serif" w:hAnsi="Times New Roman;serif"/>
          <w:b w:val="false"/>
          <w:i/>
          <w:color w:val="000000"/>
          <w:sz w:val="24"/>
        </w:rPr>
        <w:t xml:space="preserve">Restricted Definitive Notes to Beneficial Interests in Unrestricted Global Notes. </w:t>
      </w:r>
      <w:r>
        <w:rPr>
          <w:rFonts w:ascii="Times New Roman;serif" w:hAnsi="Times New Roman;serif"/>
          <w:b w:val="false"/>
          <w:color w:val="000000"/>
          <w:sz w:val="24"/>
        </w:rPr>
        <w:t xml:space="preserve">A Holder of a Restricted Definitive Note may exchange such Note for a beneficial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interest in an Unrestricted Global Note or transfer such Restricted Definitive Note to a Person who takes delivery thereof in the form of a beneficial interest in an Unrestricted Global Note only if the Registrar receives the following: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2160"/>
        <w:jc w:val="both"/>
        <w:rPr/>
      </w:pPr>
      <w:bookmarkStart w:id="59" w:name="i711bd35aff8c43a599d1a58b0cd874e6"/>
      <w:bookmarkEnd w:id="59"/>
      <w:r>
        <w:rPr>
          <w:rFonts w:ascii="Times New Roman;serif" w:hAnsi="Times New Roman;serif"/>
          <w:b w:val="false"/>
          <w:color w:val="000000"/>
          <w:sz w:val="24"/>
        </w:rPr>
        <w:t xml:space="preserve">(A)    if the Holder of such Definitive Notes proposes to exchange such Notes for a beneficial interest in the Unrestricted Global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hereto, including the certifications in item (1)(c) thereof; or </w:t>
      </w:r>
    </w:p>
    <w:p>
      <w:pPr>
        <w:pStyle w:val="TextBody"/>
        <w:bidi w:val="0"/>
        <w:spacing w:lineRule="auto" w:line="288" w:before="0" w:after="240"/>
        <w:ind w:left="0" w:right="0" w:firstLine="2160"/>
        <w:jc w:val="both"/>
        <w:rPr/>
      </w:pPr>
      <w:bookmarkStart w:id="60" w:name="if717d477148f47e481458b58fe1be3de"/>
      <w:bookmarkEnd w:id="60"/>
      <w:r>
        <w:rPr>
          <w:rFonts w:ascii="Times New Roman;serif" w:hAnsi="Times New Roman;serif"/>
          <w:b w:val="false"/>
          <w:color w:val="000000"/>
          <w:sz w:val="24"/>
        </w:rPr>
        <w:t xml:space="preserve">(B)    if the Holder of such Definitive Notes proposes to transfer such Notes to a Person who shall take delivery thereof in the form of a beneficial interest in the Unrestricted Global Note, a 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(4)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satisfaction of the conditions of any of the subparagraphs in this Section 2.06(d)(2), the Trustee shall cancel the Definitive Notes and increase or cause to be increased the aggregate principal amount of the Unrestricted Global Note.</w:t>
      </w:r>
    </w:p>
    <w:p>
      <w:pPr>
        <w:pStyle w:val="TextBody"/>
        <w:bidi w:val="0"/>
        <w:spacing w:lineRule="auto" w:line="288" w:before="0" w:after="240"/>
        <w:ind w:left="0" w:right="0" w:firstLine="720"/>
        <w:jc w:val="both"/>
        <w:rPr/>
      </w:pPr>
      <w:bookmarkStart w:id="61" w:name="id402345c3c074c4d80115c1e00e37a92"/>
      <w:bookmarkEnd w:id="61"/>
      <w:r>
        <w:rPr>
          <w:rFonts w:ascii="Times New Roman;serif" w:hAnsi="Times New Roman;serif"/>
          <w:b w:val="false"/>
          <w:color w:val="000000"/>
          <w:sz w:val="24"/>
        </w:rPr>
        <w:t>(3)    </w:t>
      </w:r>
      <w:r>
        <w:rPr>
          <w:rFonts w:ascii="Times New Roman;serif" w:hAnsi="Times New Roman;serif"/>
          <w:b w:val="false"/>
          <w:i/>
          <w:color w:val="000000"/>
          <w:sz w:val="24"/>
        </w:rPr>
        <w:t xml:space="preserve">Unrestricted Definitive Notes to Beneficial Interests in Unrestricted Global Notes. </w:t>
      </w:r>
      <w:r>
        <w:rPr>
          <w:rFonts w:ascii="Times New Roman;serif" w:hAnsi="Times New Roman;serif"/>
          <w:b w:val="false"/>
          <w:color w:val="000000"/>
          <w:sz w:val="24"/>
        </w:rPr>
        <w:t>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such exchange or transfer from a Definitive Note to a beneficial interest is effected pursuant to subparagraphs (2) 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pStyle w:val="TextBody"/>
        <w:bidi w:val="0"/>
        <w:spacing w:lineRule="auto" w:line="288" w:before="0" w:after="240"/>
        <w:ind w:left="0" w:right="0" w:firstLine="720"/>
        <w:jc w:val="both"/>
        <w:rPr/>
      </w:pPr>
      <w:bookmarkStart w:id="62" w:name="ib0417bfc0da445a0b81019b35145ce65"/>
      <w:bookmarkEnd w:id="62"/>
      <w:r>
        <w:rPr>
          <w:rFonts w:ascii="Times New Roman;serif" w:hAnsi="Times New Roman;serif"/>
          <w:b w:val="false"/>
          <w:color w:val="000000"/>
          <w:sz w:val="24"/>
        </w:rPr>
        <w:t>(e)    </w:t>
      </w:r>
      <w:r>
        <w:rPr>
          <w:rFonts w:ascii="Times New Roman;serif" w:hAnsi="Times New Roman;serif"/>
          <w:b w:val="false"/>
          <w:i/>
          <w:color w:val="000000"/>
          <w:sz w:val="24"/>
        </w:rPr>
        <w:t xml:space="preserve">Transfer and Exchange of Definitive Notes for Definitive Notes. </w:t>
      </w:r>
      <w:r>
        <w:rPr>
          <w:rFonts w:ascii="Times New Roman;serif" w:hAnsi="Times New Roman;serif"/>
          <w:b w:val="false"/>
          <w:color w:val="000000"/>
          <w:sz w:val="24"/>
        </w:rPr>
        <w:t xml:space="preserve">Upon request by a Holder of Definitive Notes and 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certifications, documents and information, as applicable, required pursuant to the following provisions of this Section 2.06(e).</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ind w:left="0" w:right="0" w:firstLine="720"/>
        <w:jc w:val="both"/>
        <w:rPr/>
      </w:pPr>
      <w:bookmarkStart w:id="63" w:name="i11d042a609cf438c9d0713993c77a2c4"/>
      <w:bookmarkEnd w:id="63"/>
      <w:r>
        <w:rPr>
          <w:rFonts w:ascii="Times New Roman;serif" w:hAnsi="Times New Roman;serif"/>
          <w:b w:val="false"/>
          <w:color w:val="000000"/>
          <w:sz w:val="24"/>
        </w:rPr>
        <w:t>(1)    </w:t>
      </w:r>
      <w:r>
        <w:rPr>
          <w:rFonts w:ascii="Times New Roman;serif" w:hAnsi="Times New Roman;serif"/>
          <w:b w:val="false"/>
          <w:i/>
          <w:color w:val="000000"/>
          <w:sz w:val="24"/>
        </w:rPr>
        <w:t xml:space="preserve">Restricted Definitive Notes to Restricted Definitive Notes. </w:t>
      </w:r>
      <w:r>
        <w:rPr>
          <w:rFonts w:ascii="Times New Roman;serif" w:hAnsi="Times New Roman;serif"/>
          <w:b w:val="false"/>
          <w:color w:val="000000"/>
          <w:sz w:val="24"/>
        </w:rPr>
        <w:t xml:space="preserve">Any Restricted Definitive Note may be transferred to and registered in the name of Persons who take delivery thereof in the form of a Restricted Definitive Note if the Registrar receives the following: </w:t>
      </w:r>
    </w:p>
    <w:p>
      <w:pPr>
        <w:pStyle w:val="TextBody"/>
        <w:bidi w:val="0"/>
        <w:spacing w:lineRule="auto" w:line="288" w:before="0" w:after="240"/>
        <w:ind w:left="0" w:right="0" w:firstLine="2160"/>
        <w:jc w:val="both"/>
        <w:rPr/>
      </w:pPr>
      <w:bookmarkStart w:id="64" w:name="ia78ad510d3a34767991383d275a4049c"/>
      <w:bookmarkEnd w:id="64"/>
      <w:r>
        <w:rPr>
          <w:rFonts w:ascii="Times New Roman;serif" w:hAnsi="Times New Roman;serif"/>
          <w:b w:val="false"/>
          <w:color w:val="000000"/>
          <w:sz w:val="24"/>
        </w:rPr>
        <w:t xml:space="preserve">(A)    if the transfer shall be made pursuant to Rule 144A,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(1) thereof; </w:t>
      </w:r>
    </w:p>
    <w:p>
      <w:pPr>
        <w:pStyle w:val="TextBody"/>
        <w:bidi w:val="0"/>
        <w:spacing w:lineRule="auto" w:line="288" w:before="0" w:after="240"/>
        <w:ind w:left="0" w:right="0" w:firstLine="2160"/>
        <w:jc w:val="both"/>
        <w:rPr/>
      </w:pPr>
      <w:bookmarkStart w:id="65" w:name="ieea9a2f87ef642f0903397429e3749aa"/>
      <w:bookmarkEnd w:id="65"/>
      <w:r>
        <w:rPr>
          <w:rFonts w:ascii="Times New Roman;serif" w:hAnsi="Times New Roman;serif"/>
          <w:b w:val="false"/>
          <w:color w:val="000000"/>
          <w:sz w:val="24"/>
        </w:rPr>
        <w:t xml:space="preserve">(B)    if the transfer shall be made pursuant to Rule 903 or Rule 904,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(2) thereof; and </w:t>
      </w:r>
    </w:p>
    <w:p>
      <w:pPr>
        <w:pStyle w:val="TextBody"/>
        <w:bidi w:val="0"/>
        <w:spacing w:lineRule="auto" w:line="288" w:before="0" w:after="240"/>
        <w:ind w:left="0" w:right="0" w:firstLine="2160"/>
        <w:jc w:val="both"/>
        <w:rPr/>
      </w:pPr>
      <w:bookmarkStart w:id="66" w:name="i2a433e453d8d4aeca48b2358fd45a64e"/>
      <w:bookmarkEnd w:id="66"/>
      <w:r>
        <w:rPr>
          <w:rFonts w:ascii="Times New Roman;serif" w:hAnsi="Times New Roman;serif"/>
          <w:b w:val="false"/>
          <w:color w:val="000000"/>
          <w:sz w:val="24"/>
        </w:rPr>
        <w:t xml:space="preserve">(C)    if the transfer shall be made pursuant to any other exemption from the registration requirements of the Securities Act,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certificates and Opinion of Counsel required by item (3) thereof, if applicable.</w:t>
      </w:r>
    </w:p>
    <w:p>
      <w:pPr>
        <w:pStyle w:val="TextBody"/>
        <w:bidi w:val="0"/>
        <w:spacing w:lineRule="auto" w:line="288" w:before="0" w:after="240"/>
        <w:ind w:left="0" w:right="0" w:firstLine="720"/>
        <w:jc w:val="both"/>
        <w:rPr/>
      </w:pPr>
      <w:bookmarkStart w:id="67" w:name="icbe54efe0a0c491dbd0d3d5ad61be9a6"/>
      <w:bookmarkEnd w:id="67"/>
      <w:r>
        <w:rPr>
          <w:rFonts w:ascii="Times New Roman;serif" w:hAnsi="Times New Roman;serif"/>
          <w:b w:val="false"/>
          <w:color w:val="000000"/>
          <w:sz w:val="24"/>
        </w:rPr>
        <w:t>(2)    </w:t>
      </w:r>
      <w:r>
        <w:rPr>
          <w:rFonts w:ascii="Times New Roman;serif" w:hAnsi="Times New Roman;serif"/>
          <w:b w:val="false"/>
          <w:i/>
          <w:color w:val="000000"/>
          <w:sz w:val="24"/>
        </w:rPr>
        <w:t xml:space="preserve">Restricted Definitive Notes to Unrestricted Definitive Notes. </w:t>
      </w:r>
      <w:r>
        <w:rPr>
          <w:rFonts w:ascii="Times New Roman;serif" w:hAnsi="Times New Roman;serif"/>
          <w:b w:val="false"/>
          <w:color w:val="000000"/>
          <w:sz w:val="24"/>
        </w:rPr>
        <w:t xml:space="preserve">Any Restricted Definitive Note may be exchanged by the Holder thereof for an Unrestricted Definitive Note or transferred to a Person or Persons who take delivery thereof in the form of an Unrestricted Definitive Note if the Registrar receives the following: </w:t>
      </w:r>
    </w:p>
    <w:p>
      <w:pPr>
        <w:pStyle w:val="TextBody"/>
        <w:bidi w:val="0"/>
        <w:spacing w:lineRule="auto" w:line="288" w:before="0" w:after="240"/>
        <w:ind w:left="0" w:right="0" w:firstLine="2160"/>
        <w:jc w:val="both"/>
        <w:rPr/>
      </w:pPr>
      <w:bookmarkStart w:id="68" w:name="iea3d1c21d174443f804fe0de4169c4b7"/>
      <w:bookmarkEnd w:id="68"/>
      <w:r>
        <w:rPr>
          <w:rFonts w:ascii="Times New Roman;serif" w:hAnsi="Times New Roman;serif"/>
          <w:b w:val="false"/>
          <w:color w:val="000000"/>
          <w:sz w:val="24"/>
        </w:rPr>
        <w:t xml:space="preserve">(A)    if the Holder of such Restricted Definitive Notes proposes to exchange such Notes for an Unrestricted Definitive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(1)(d) thereof; or</w:t>
      </w:r>
    </w:p>
    <w:p>
      <w:pPr>
        <w:pStyle w:val="TextBody"/>
        <w:bidi w:val="0"/>
        <w:spacing w:lineRule="auto" w:line="288" w:before="0" w:after="240"/>
        <w:ind w:left="0" w:right="0" w:firstLine="2160"/>
        <w:jc w:val="both"/>
        <w:rPr/>
      </w:pPr>
      <w:bookmarkStart w:id="69" w:name="i2fcde44a3dd24e46a485cbb11a877d93"/>
      <w:bookmarkEnd w:id="69"/>
      <w:r>
        <w:rPr>
          <w:rFonts w:ascii="Times New Roman;serif" w:hAnsi="Times New Roman;serif"/>
          <w:b w:val="false"/>
          <w:color w:val="000000"/>
          <w:sz w:val="24"/>
        </w:rPr>
        <w:t xml:space="preserve">(B)    if the Holder of such Restricted Definitive Notes proposes to transfer such Notes to a Person who shall take delivery thereof in the form of an Unrestricted Definitive Note, a 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(4)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pPr>
      <w:bookmarkStart w:id="70" w:name="ie86de622d64d468d87073c709d63a4d1"/>
      <w:bookmarkEnd w:id="70"/>
      <w:r>
        <w:rPr>
          <w:rFonts w:ascii="Times New Roman;serif" w:hAnsi="Times New Roman;serif"/>
          <w:b w:val="false"/>
          <w:color w:val="000000"/>
          <w:sz w:val="24"/>
        </w:rPr>
        <w:t>(3)    </w:t>
      </w:r>
      <w:r>
        <w:rPr>
          <w:rFonts w:ascii="Times New Roman;serif" w:hAnsi="Times New Roman;serif"/>
          <w:b w:val="false"/>
          <w:i/>
          <w:color w:val="000000"/>
          <w:sz w:val="24"/>
        </w:rPr>
        <w:t xml:space="preserve">Unrestricted Definitive Notes to Unrestricted Definitive Notes. </w:t>
      </w:r>
      <w:r>
        <w:rPr>
          <w:rFonts w:ascii="Times New Roman;serif" w:hAnsi="Times New Roman;serif"/>
          <w:b w:val="false"/>
          <w:color w:val="000000"/>
          <w:sz w:val="24"/>
        </w:rPr>
        <w:t>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lineRule="auto" w:line="288" w:before="0" w:after="240"/>
        <w:ind w:left="0" w:right="0" w:firstLine="720"/>
        <w:jc w:val="both"/>
        <w:rPr/>
      </w:pPr>
      <w:bookmarkStart w:id="71" w:name="iaa05152ca7584119a399328f7e949a5d"/>
      <w:bookmarkEnd w:id="71"/>
      <w:r>
        <w:rPr>
          <w:rFonts w:ascii="Times New Roman;serif" w:hAnsi="Times New Roman;serif"/>
          <w:b w:val="false"/>
          <w:color w:val="000000"/>
          <w:sz w:val="24"/>
        </w:rPr>
        <w:t>(f)    </w:t>
      </w:r>
      <w:r>
        <w:rPr>
          <w:rFonts w:ascii="Times New Roman;serif" w:hAnsi="Times New Roman;serif"/>
          <w:b w:val="false"/>
          <w:i/>
          <w:color w:val="000000"/>
          <w:sz w:val="24"/>
        </w:rPr>
        <w:t>Legends</w:t>
      </w:r>
      <w:r>
        <w:rPr>
          <w:rFonts w:ascii="Times New Roman;serif" w:hAnsi="Times New Roman;serif"/>
          <w:b w:val="false"/>
          <w:color w:val="000000"/>
          <w:sz w:val="24"/>
        </w:rPr>
        <w:t>. The following legends shall appear on the face of all Global Notes and Definitive Notes issued under this Indenture unless specifically stated otherwise in the applicable provisions of this Indenture.</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ind w:left="0" w:right="0" w:firstLine="720"/>
        <w:jc w:val="both"/>
        <w:rPr/>
      </w:pPr>
      <w:bookmarkStart w:id="72" w:name="iabf81c5f4685455592841a46d28cacd3"/>
      <w:bookmarkEnd w:id="72"/>
      <w:r>
        <w:rPr>
          <w:rFonts w:ascii="Times New Roman;serif" w:hAnsi="Times New Roman;serif"/>
          <w:b w:val="false"/>
          <w:color w:val="000000"/>
          <w:sz w:val="24"/>
        </w:rPr>
        <w:t>(1)    </w:t>
      </w:r>
      <w:r>
        <w:rPr>
          <w:rFonts w:ascii="Times New Roman;serif" w:hAnsi="Times New Roman;serif"/>
          <w:b w:val="false"/>
          <w:i/>
          <w:color w:val="000000"/>
          <w:sz w:val="24"/>
        </w:rPr>
        <w:t>Private Placement Legend.</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73" w:name="iac51975545b341c4b1ef7d695558f885"/>
      <w:bookmarkEnd w:id="73"/>
      <w:r>
        <w:rPr>
          <w:rFonts w:ascii="Times New Roman;serif" w:hAnsi="Times New Roman;serif"/>
          <w:b w:val="false"/>
          <w:color w:val="000000"/>
          <w:sz w:val="24"/>
        </w:rPr>
        <w:t>(A)    Except as permitted by subparagraph (B) below, each Global Note and each Definitive Note (and all Notes issued in exchange therefor or substitution thereof) shall bear the legend in substantially the following form:</w:t>
      </w:r>
    </w:p>
    <w:p>
      <w:pPr>
        <w:pStyle w:val="TextBody"/>
        <w:bidi w:val="0"/>
        <w:spacing w:lineRule="auto" w:line="276" w:before="0" w:after="240"/>
        <w:jc w:val="both"/>
        <w:rPr>
          <w:color w:val="000000"/>
        </w:rPr>
      </w:pPr>
      <w:bookmarkStart w:id="74" w:name="i4bf236d95de246038834d7c25e8bd7e2"/>
      <w:bookmarkEnd w:id="74"/>
      <w:r>
        <w:rPr>
          <w:color w:val="000000"/>
        </w:rPr>
        <w:t>“</w:t>
      </w:r>
      <w:r>
        <w:rPr>
          <w:rFonts w:ascii="Times New Roman;serif" w:hAnsi="Times New Roman;serif"/>
          <w:b w:val="false"/>
          <w:color w:val="000000"/>
          <w:sz w:val="24"/>
        </w:rPr>
        <w:t xml:space="preserve">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[IN THE CASE OF RULE 144A NOTES: ON WHICH WYNN RESORTS FINANCE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WYNN RESORTS FINANCE OR ANY AFFILIATE OF WYNN RESORTS FINANCE WAS THE OWNER OF THIS NOTE (OR ANY PREDECESSOR OF SUCH NOTE)] RESELL OR OTHERWISE TRANSFER THIS NOTE EXCEPT (A) TO WYNN RESORTS FINANCE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WYNN RESORTS FINANCE THAT SUCH TRANSFER IS IN COMPLIANCE WITH THE SECURITIES ACT OR (F) PURSUANT TO AN EFFECTIVE REGISTRATION STATEMENT UNDER THE SECURITIES ACT AND, IN EACH CASE, IN ACCORDANCE WITH APPLICABLE STATE SECURITIES LAWS, AND (3) AGREES THAT IT WILL DELIVER TO EACH PERSON TO WHOM THIS NOTE OR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76" w:before="0" w:after="240"/>
        <w:ind w:left="0" w:right="0" w:firstLine="2160"/>
        <w:jc w:val="both"/>
        <w:rPr>
          <w:rFonts w:ascii="Times New Roman;serif" w:hAnsi="Times New Roman;serif"/>
          <w:b w:val="false"/>
          <w:color w:val="000000"/>
          <w:sz w:val="24"/>
        </w:rPr>
      </w:pPr>
      <w:bookmarkStart w:id="75" w:name="ie9d320de73514ea4bca53a94c29edba3"/>
      <w:bookmarkEnd w:id="75"/>
      <w:r>
        <w:rPr>
          <w:rFonts w:ascii="Times New Roman;serif" w:hAnsi="Times New Roman;serif"/>
          <w:b w:val="false"/>
          <w:color w:val="000000"/>
          <w:sz w:val="24"/>
        </w:rPr>
        <w:t>(B)    Notwithstanding the foregoing, any Global Note or Definitive Note issued pursuant to subparagraphs (b)(4), (c)(3), (c)(4), (d)(2), (d)(3), (e)(2) or (e)(3) of this Section 2.06 (and all Notes issued in exchange therefor or substitution thereof) shall not bear the Private Placement Legend.</w:t>
      </w:r>
    </w:p>
    <w:p>
      <w:pPr>
        <w:pStyle w:val="TextBody"/>
        <w:bidi w:val="0"/>
        <w:spacing w:lineRule="auto" w:line="288" w:before="0" w:after="240"/>
        <w:ind w:left="0" w:right="0" w:firstLine="720"/>
        <w:jc w:val="both"/>
        <w:rPr/>
      </w:pPr>
      <w:bookmarkStart w:id="76" w:name="i288a917698234050a3922180401c4a8c"/>
      <w:bookmarkEnd w:id="76"/>
      <w:r>
        <w:rPr>
          <w:rFonts w:ascii="Times New Roman;serif" w:hAnsi="Times New Roman;serif"/>
          <w:b w:val="false"/>
          <w:color w:val="000000"/>
          <w:sz w:val="24"/>
        </w:rPr>
        <w:t>(2)    </w:t>
      </w:r>
      <w:r>
        <w:rPr>
          <w:rFonts w:ascii="Times New Roman;serif" w:hAnsi="Times New Roman;serif"/>
          <w:b w:val="false"/>
          <w:i/>
          <w:color w:val="000000"/>
          <w:sz w:val="24"/>
        </w:rPr>
        <w:t xml:space="preserve">Global Note Legend. </w:t>
      </w:r>
      <w:r>
        <w:rPr>
          <w:rFonts w:ascii="Times New Roman;serif" w:hAnsi="Times New Roman;serif"/>
          <w:b w:val="false"/>
          <w:color w:val="000000"/>
          <w:sz w:val="24"/>
        </w:rPr>
        <w:t>Each Global Note shall bear a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VALUE OR OTHERWISE BY OR TO ANY PERSON IS WRONGFUL INASMUCH AS THE REGISTERED OWNER HEREOF, CEDE &amp; CO., HAS AN INTEREST HEREIN.”</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ind w:left="0" w:right="0" w:firstLine="720"/>
        <w:jc w:val="both"/>
        <w:rPr/>
      </w:pPr>
      <w:bookmarkStart w:id="77" w:name="i22c171060adf4d14af6ef5a039cfb07d"/>
      <w:bookmarkEnd w:id="77"/>
      <w:r>
        <w:rPr>
          <w:rFonts w:ascii="Times New Roman;serif" w:hAnsi="Times New Roman;serif"/>
          <w:b w:val="false"/>
          <w:color w:val="000000"/>
          <w:sz w:val="24"/>
        </w:rPr>
        <w:t>(3)    </w:t>
      </w:r>
      <w:r>
        <w:rPr>
          <w:rFonts w:ascii="Times New Roman;serif" w:hAnsi="Times New Roman;serif"/>
          <w:b w:val="false"/>
          <w:i/>
          <w:color w:val="000000"/>
          <w:sz w:val="24"/>
        </w:rPr>
        <w:t xml:space="preserve">Regulation S Temporary Global Note Legend. </w:t>
      </w:r>
      <w:r>
        <w:rPr>
          <w:rFonts w:ascii="Times New Roman;serif" w:hAnsi="Times New Roman;serif"/>
          <w:b w:val="false"/>
          <w:color w:val="000000"/>
          <w:sz w:val="24"/>
        </w:rPr>
        <w:t>The Regulation S Temporary Global Note shall bear a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pStyle w:val="TextBody"/>
        <w:bidi w:val="0"/>
        <w:spacing w:lineRule="auto" w:line="288" w:before="0" w:after="240"/>
        <w:ind w:left="0" w:right="0" w:firstLine="720"/>
        <w:jc w:val="both"/>
        <w:rPr/>
      </w:pPr>
      <w:bookmarkStart w:id="78" w:name="i8116a30b22c7486c80ea57e422c7d501"/>
      <w:bookmarkEnd w:id="78"/>
      <w:r>
        <w:rPr>
          <w:rFonts w:ascii="Times New Roman;serif" w:hAnsi="Times New Roman;serif"/>
          <w:b w:val="false"/>
          <w:color w:val="000000"/>
          <w:sz w:val="24"/>
        </w:rPr>
        <w:t>(g)    </w:t>
      </w:r>
      <w:r>
        <w:rPr>
          <w:rFonts w:ascii="Times New Roman;serif" w:hAnsi="Times New Roman;serif"/>
          <w:b w:val="false"/>
          <w:i/>
          <w:color w:val="000000"/>
          <w:sz w:val="24"/>
        </w:rPr>
        <w:t xml:space="preserve">Cancellation and/or Adjustment of Global Notes. </w:t>
      </w:r>
      <w:r>
        <w:rPr>
          <w:rFonts w:ascii="Times New Roman;serif" w:hAnsi="Times New Roman;serif"/>
          <w:b w:val="false"/>
          <w:color w:val="000000"/>
          <w:sz w:val="24"/>
        </w:rPr>
        <w:t>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lineRule="auto" w:line="288" w:before="0" w:after="240"/>
        <w:ind w:left="0" w:right="0" w:firstLine="720"/>
        <w:jc w:val="both"/>
        <w:rPr/>
      </w:pPr>
      <w:bookmarkStart w:id="79" w:name="i3f83a049d29d4eacb8371b6a3289a458"/>
      <w:bookmarkEnd w:id="79"/>
      <w:r>
        <w:rPr>
          <w:rFonts w:ascii="Times New Roman;serif" w:hAnsi="Times New Roman;serif"/>
          <w:b w:val="false"/>
          <w:color w:val="000000"/>
          <w:sz w:val="24"/>
        </w:rPr>
        <w:t>(h)    </w:t>
      </w:r>
      <w:r>
        <w:rPr>
          <w:rFonts w:ascii="Times New Roman;serif" w:hAnsi="Times New Roman;serif"/>
          <w:b w:val="false"/>
          <w:i/>
          <w:color w:val="000000"/>
          <w:sz w:val="24"/>
        </w:rPr>
        <w:t>General Provisions Relating to Transfers and Exchanges.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0" w:name="i5ab81537ef244aeb9bd8cba13bfae770"/>
      <w:bookmarkEnd w:id="80"/>
      <w:r>
        <w:rPr>
          <w:rFonts w:ascii="Times New Roman;serif" w:hAnsi="Times New Roman;serif"/>
          <w:b w:val="false"/>
          <w:color w:val="000000"/>
          <w:sz w:val="24"/>
        </w:rPr>
        <w:t>(1)    To permit registrations of transfers and exchanges, the Issuers shall execute and the Trustee shall authenticate Global Notes and Definitive Notes upon receipt of an Authentication Order in accordance with Section 2.02 or at the Registrar’s request.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1" w:name="i1cbb960502114478ab1dd18bd8316d37"/>
      <w:bookmarkEnd w:id="81"/>
      <w:r>
        <w:rPr>
          <w:rFonts w:ascii="Times New Roman;serif" w:hAnsi="Times New Roman;serif"/>
          <w:b w:val="false"/>
          <w:color w:val="000000"/>
          <w:sz w:val="24"/>
        </w:rPr>
        <w:t>(2)    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2" w:name="i4368a762ebd54a929bd689346713a6f5"/>
      <w:bookmarkEnd w:id="82"/>
      <w:r>
        <w:rPr>
          <w:rFonts w:ascii="Times New Roman;serif" w:hAnsi="Times New Roman;serif"/>
          <w:b w:val="false"/>
          <w:color w:val="000000"/>
          <w:sz w:val="24"/>
        </w:rPr>
        <w:t>(3)    The Registrar shall not be required to register the transfer of or exchange any Note selected for redemption in whole or in part, except the unredeemed portion of any Note being redeemed in part.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3" w:name="icec2c32161e54345b7f9544501e6696b"/>
      <w:bookmarkEnd w:id="83"/>
      <w:r>
        <w:rPr>
          <w:rFonts w:ascii="Times New Roman;serif" w:hAnsi="Times New Roman;serif"/>
          <w:b w:val="false"/>
          <w:color w:val="000000"/>
          <w:sz w:val="24"/>
        </w:rPr>
        <w:t>(4)    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4" w:name="if37e24a544784468b7ca32046a6c146e"/>
      <w:bookmarkEnd w:id="84"/>
      <w:r>
        <w:rPr>
          <w:rFonts w:ascii="Times New Roman;serif" w:hAnsi="Times New Roman;serif"/>
          <w:b w:val="false"/>
          <w:color w:val="000000"/>
          <w:sz w:val="24"/>
        </w:rPr>
        <w:t xml:space="preserve">(5)    Neither the Registrar nor the Issuers shall be required: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85" w:name="i8151c4b968634da79c58082ce5fe7cbb"/>
      <w:bookmarkEnd w:id="85"/>
      <w:r>
        <w:rPr>
          <w:rFonts w:ascii="Times New Roman;serif" w:hAnsi="Times New Roman;serif"/>
          <w:b w:val="false"/>
          <w:color w:val="000000"/>
          <w:sz w:val="24"/>
        </w:rPr>
        <w:t xml:space="preserve">(A)    to issue, to register the transfer of or to exchange any Notes during a period beginning at the opening of business 15 days before the day of any selection of Notes for redemption under Section 3.02 hereof and ending at the close of business on the day of selection;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86" w:name="i07b59fc970ae492993cb0b02b8002667"/>
      <w:bookmarkEnd w:id="86"/>
      <w:r>
        <w:rPr>
          <w:rFonts w:ascii="Times New Roman;serif" w:hAnsi="Times New Roman;serif"/>
          <w:b w:val="false"/>
          <w:color w:val="000000"/>
          <w:sz w:val="24"/>
        </w:rPr>
        <w:t xml:space="preserve">(B)    to register the transfer of or to exchange any Note selected for redemption in whole or in part, except the unredeemed portion of any Note being redeemed in part; or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87" w:name="i5b271c2dc3b543b9b181b4f9c6a9b269"/>
      <w:bookmarkEnd w:id="87"/>
      <w:r>
        <w:rPr>
          <w:rFonts w:ascii="Times New Roman;serif" w:hAnsi="Times New Roman;serif"/>
          <w:b w:val="false"/>
          <w:color w:val="000000"/>
          <w:sz w:val="24"/>
        </w:rPr>
        <w:t>(C)    to register the transfer of or to exchange a Note between a record date and the next succeeding interest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8" w:name="i1379f7cf59624f7ea9ad730bfdaa4fa3"/>
      <w:bookmarkEnd w:id="88"/>
      <w:r>
        <w:rPr>
          <w:rFonts w:ascii="Times New Roman;serif" w:hAnsi="Times New Roman;serif"/>
          <w:b w:val="false"/>
          <w:color w:val="000000"/>
          <w:sz w:val="24"/>
        </w:rPr>
        <w:t>(6)    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9" w:name="i3aac90a2f067460aa1e7dab7c691730e"/>
      <w:bookmarkEnd w:id="89"/>
      <w:r>
        <w:rPr>
          <w:rFonts w:ascii="Times New Roman;serif" w:hAnsi="Times New Roman;serif"/>
          <w:b w:val="false"/>
          <w:color w:val="000000"/>
          <w:sz w:val="24"/>
        </w:rPr>
        <w:t>(7)    The Trustee shall authenticate Global Notes and Definitive Notes in accordance with the provisions of Section 2.02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90" w:name="ia652fe5e1ab345c196193567f311b29f"/>
      <w:bookmarkEnd w:id="90"/>
      <w:r>
        <w:rPr>
          <w:rFonts w:ascii="Times New Roman;serif" w:hAnsi="Times New Roman;serif"/>
          <w:b w:val="false"/>
          <w:color w:val="000000"/>
          <w:sz w:val="24"/>
        </w:rPr>
        <w:t>(8)    All certifications and certificates required to be submitted to the Registrar pursuant to this Section 2.06 to effect a registration of transfer or exchange may be submitted by facsimile.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91" w:name="i744bae7ce03d4a2f9d30f938c9d04906"/>
      <w:bookmarkEnd w:id="91"/>
      <w:r>
        <w:rPr>
          <w:rFonts w:ascii="Times New Roman;serif" w:hAnsi="Times New Roman;serif"/>
          <w:b w:val="false"/>
          <w:color w:val="000000"/>
          <w:sz w:val="24"/>
        </w:rPr>
        <w:t>(9)    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lineRule="auto" w:line="288" w:before="0" w:after="240"/>
        <w:ind w:left="0" w:right="0" w:hanging="720"/>
        <w:jc w:val="both"/>
        <w:rPr/>
      </w:pPr>
      <w:bookmarkStart w:id="92" w:name="if2d72e085f7549bb90ac62f5aae11cf0"/>
      <w:bookmarkEnd w:id="92"/>
      <w:r>
        <w:rPr>
          <w:rFonts w:ascii="Times New Roman;serif" w:hAnsi="Times New Roman;serif"/>
          <w:b w:val="false"/>
          <w:color w:val="000000"/>
          <w:sz w:val="24"/>
        </w:rPr>
        <w:t>Section 2.07    </w:t>
      </w:r>
      <w:r>
        <w:rPr>
          <w:rFonts w:ascii="Times New Roman;serif" w:hAnsi="Times New Roman;serif"/>
          <w:b w:val="false"/>
          <w:i/>
          <w:color w:val="000000"/>
          <w:sz w:val="24"/>
        </w:rPr>
        <w:t>Replacement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replacement Note is an additional obligation of the Issuers and shall be entitled to all of the benefits of this Indenture equally and proportionately with all other Notes duly issued hereunder.</w:t>
      </w:r>
    </w:p>
    <w:p>
      <w:pPr>
        <w:pStyle w:val="TextBody"/>
        <w:bidi w:val="0"/>
        <w:spacing w:lineRule="auto" w:line="288" w:before="0" w:after="240"/>
        <w:ind w:left="0" w:right="0" w:hanging="720"/>
        <w:jc w:val="both"/>
        <w:rPr/>
      </w:pPr>
      <w:bookmarkStart w:id="93" w:name="i40459d8d9c174abca638b696e6bc4c6f"/>
      <w:bookmarkEnd w:id="93"/>
      <w:r>
        <w:rPr>
          <w:rFonts w:ascii="Times New Roman;serif" w:hAnsi="Times New Roman;serif"/>
          <w:b w:val="false"/>
          <w:color w:val="000000"/>
          <w:sz w:val="24"/>
        </w:rPr>
        <w:t>Section 2.08    </w:t>
      </w:r>
      <w:r>
        <w:rPr>
          <w:rFonts w:ascii="Times New Roman;serif" w:hAnsi="Times New Roman;serif"/>
          <w:b w:val="false"/>
          <w:i/>
          <w:color w:val="000000"/>
          <w:sz w:val="24"/>
        </w:rPr>
        <w:t>Outstanding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Note is replaced pursuant to Section 2.07 hereof, it ceases to be outstanding unless the Trustee receives proof satisfactory to it that the replaced Note is held by a protected purchaser.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principal amount of any Note is considered paid under Section 4.01 hereof, it ceases to be outstanding and interest on it ceases to accrue.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lineRule="auto" w:line="288" w:before="0" w:after="240"/>
        <w:ind w:left="0" w:right="0" w:hanging="720"/>
        <w:jc w:val="both"/>
        <w:rPr/>
      </w:pPr>
      <w:bookmarkStart w:id="94" w:name="ieb4658e58f30454684c71c516a8c696e"/>
      <w:bookmarkEnd w:id="94"/>
      <w:r>
        <w:rPr>
          <w:rFonts w:ascii="Times New Roman;serif" w:hAnsi="Times New Roman;serif"/>
          <w:b w:val="false"/>
          <w:color w:val="000000"/>
          <w:sz w:val="24"/>
        </w:rPr>
        <w:t>Section 2.09    </w:t>
      </w:r>
      <w:r>
        <w:rPr>
          <w:rFonts w:ascii="Times New Roman;serif" w:hAnsi="Times New Roman;serif"/>
          <w:b w:val="false"/>
          <w:i/>
          <w:color w:val="000000"/>
          <w:sz w:val="24"/>
        </w:rPr>
        <w:t>Treasury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pStyle w:val="TextBody"/>
        <w:bidi w:val="0"/>
        <w:spacing w:lineRule="auto" w:line="288" w:before="0" w:after="240"/>
        <w:ind w:left="0" w:right="0" w:hanging="720"/>
        <w:jc w:val="both"/>
        <w:rPr/>
      </w:pPr>
      <w:bookmarkStart w:id="95" w:name="i4f7cee53d5a14ad98b201e2a7948e9bd"/>
      <w:bookmarkEnd w:id="95"/>
      <w:r>
        <w:rPr>
          <w:rFonts w:ascii="Times New Roman;serif" w:hAnsi="Times New Roman;serif"/>
          <w:b w:val="false"/>
          <w:color w:val="000000"/>
          <w:sz w:val="24"/>
        </w:rPr>
        <w:t>Section 2.10    </w:t>
      </w:r>
      <w:r>
        <w:rPr>
          <w:rFonts w:ascii="Times New Roman;serif" w:hAnsi="Times New Roman;serif"/>
          <w:b w:val="false"/>
          <w:i/>
          <w:color w:val="000000"/>
          <w:sz w:val="24"/>
        </w:rPr>
        <w:t>Temporary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Without unreasonable delay, the Issuers shall prepare and the Trustee shall authenticate Definitive Notes in exchange for temporary Notes.</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of temporary Notes shall be entitled to all of the benefits of this Indenture.</w:t>
      </w:r>
    </w:p>
    <w:p>
      <w:pPr>
        <w:pStyle w:val="TextBody"/>
        <w:bidi w:val="0"/>
        <w:spacing w:lineRule="auto" w:line="288" w:before="0" w:after="240"/>
        <w:ind w:left="0" w:right="0" w:hanging="720"/>
        <w:jc w:val="both"/>
        <w:rPr/>
      </w:pPr>
      <w:bookmarkStart w:id="96" w:name="ic118b26d6d38428a9a94c12517c3a752"/>
      <w:bookmarkEnd w:id="96"/>
      <w:r>
        <w:rPr>
          <w:rFonts w:ascii="Times New Roman;serif" w:hAnsi="Times New Roman;serif"/>
          <w:b w:val="false"/>
          <w:color w:val="000000"/>
          <w:sz w:val="24"/>
        </w:rPr>
        <w:t>Section 2.11    </w:t>
      </w:r>
      <w:r>
        <w:rPr>
          <w:rFonts w:ascii="Times New Roman;serif" w:hAnsi="Times New Roman;serif"/>
          <w:b w:val="false"/>
          <w:i/>
          <w:color w:val="000000"/>
          <w:sz w:val="24"/>
        </w:rPr>
        <w:t>Cancellation.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Certification of the destruction of all canceled Notes shall be delivered to the Issuers upon their request. The Issuers may not issue new Notes to replace Notes that they have paid or that have been delivered to the Trustee for cancellation.</w:t>
      </w:r>
    </w:p>
    <w:p>
      <w:pPr>
        <w:pStyle w:val="TextBody"/>
        <w:bidi w:val="0"/>
        <w:spacing w:lineRule="auto" w:line="288" w:before="0" w:after="240"/>
        <w:ind w:left="0" w:right="0" w:hanging="720"/>
        <w:jc w:val="both"/>
        <w:rPr/>
      </w:pPr>
      <w:bookmarkStart w:id="97" w:name="i5c283e962bad49e1b7695a45513a3b4b"/>
      <w:bookmarkEnd w:id="97"/>
      <w:r>
        <w:rPr>
          <w:rFonts w:ascii="Times New Roman;serif" w:hAnsi="Times New Roman;serif"/>
          <w:b w:val="false"/>
          <w:color w:val="000000"/>
          <w:sz w:val="24"/>
        </w:rPr>
        <w:t>Section 2.12    </w:t>
      </w:r>
      <w:r>
        <w:rPr>
          <w:rFonts w:ascii="Times New Roman;serif" w:hAnsi="Times New Roman;serif"/>
          <w:b w:val="false"/>
          <w:i/>
          <w:color w:val="000000"/>
          <w:sz w:val="24"/>
        </w:rPr>
        <w:t>Defaulted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deliver or cause to be delivered to Holders a notice that states the special record date, the related payment date and the amount of such interest to be paid.</w:t>
      </w:r>
    </w:p>
    <w:p>
      <w:pPr>
        <w:pStyle w:val="TextBody"/>
        <w:bidi w:val="0"/>
        <w:spacing w:lineRule="auto" w:line="288" w:before="0" w:after="240"/>
        <w:ind w:left="0" w:right="0" w:hanging="720"/>
        <w:jc w:val="both"/>
        <w:rPr/>
      </w:pPr>
      <w:bookmarkStart w:id="98" w:name="i0d7e94ff78c64927950c20c7ddf57c21"/>
      <w:bookmarkEnd w:id="98"/>
      <w:r>
        <w:rPr>
          <w:rFonts w:ascii="Times New Roman;serif" w:hAnsi="Times New Roman;serif"/>
          <w:b w:val="false"/>
          <w:color w:val="000000"/>
          <w:sz w:val="24"/>
        </w:rPr>
        <w:t>Section 2.13    </w:t>
      </w:r>
      <w:r>
        <w:rPr>
          <w:rFonts w:ascii="Times New Roman;serif" w:hAnsi="Times New Roman;serif"/>
          <w:b w:val="false"/>
          <w:i/>
          <w:color w:val="000000"/>
          <w:sz w:val="24"/>
        </w:rPr>
        <w:t>Issuance of Additional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 Issue Date, other than with respect to the date of issuance, the initial date from which interest shall accrue on such Additional Notes and issue price. Without the consent of any Holder of Notes, the Issuers will be entitled to make any amendments to this Indenture or the Note Guarantees as they reasonably determine appropriate in good faith to facilitate the issuance of such Additional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any Additional Notes, the Issuers will set forth in a resolution of the Board of Directors of Wynn Resorts Capital and an Officers’ Certificate, a copy of each which shall be delivered to the Trustee, the following information: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99" w:name="i2240589013dc44afa66697562c2c0e01"/>
      <w:bookmarkEnd w:id="99"/>
      <w:r>
        <w:rPr>
          <w:rFonts w:ascii="Times New Roman;serif" w:hAnsi="Times New Roman;serif"/>
          <w:b w:val="false"/>
          <w:color w:val="000000"/>
          <w:sz w:val="24"/>
        </w:rPr>
        <w:t xml:space="preserve">(a)    the aggregate principal amount of such Additional Notes to be authenticated and delivered pursuant to this Indenture;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0" w:name="i9b22218e1cfd48f0aff1d08795100ccb"/>
      <w:bookmarkEnd w:id="100"/>
      <w:r>
        <w:rPr>
          <w:rFonts w:ascii="Times New Roman;serif" w:hAnsi="Times New Roman;serif"/>
          <w:b w:val="false"/>
          <w:color w:val="000000"/>
          <w:sz w:val="24"/>
        </w:rPr>
        <w:t>(b)    which such Additional Notes shall be Notes issued in the form of Restricted Global Notes or Restricted Definitive Notes, as the case may be, or shall be Notes issued in the form of Unrestricted Global Notes or Unrestricted Definitive Notes, as the case may be.</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any Additional Notes, the Opinion of Counsel delivered to the Trustee shall state: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1" w:name="i8e4fe113f0f3478daf46438749c730ea"/>
      <w:bookmarkEnd w:id="101"/>
      <w:r>
        <w:rPr>
          <w:rFonts w:ascii="Times New Roman;serif" w:hAnsi="Times New Roman;serif"/>
          <w:b w:val="false"/>
          <w:color w:val="000000"/>
          <w:sz w:val="24"/>
        </w:rPr>
        <w:t xml:space="preserve">(c)    that the form and terms of such Additional Notes have been established conformity with this Indenture;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2" w:name="i5b662184602e448ebc1b84122b891a62"/>
      <w:bookmarkEnd w:id="102"/>
      <w:r>
        <w:rPr>
          <w:rFonts w:ascii="Times New Roman;serif" w:hAnsi="Times New Roman;serif"/>
          <w:b w:val="false"/>
          <w:color w:val="000000"/>
          <w:sz w:val="24"/>
        </w:rPr>
        <w:t>(d)    that such Additional Notes, when authenticated and delivered by the Trustee and issued by Wynn Resorts Finance and Wynn Resorts Capital in the manner and subject to any conditions specified in such Opinion of Counsel, will constitute valid and binding obligations of the Issuers, enforceable in accordance with their terms, subject to bankruptcy, insolvency, reorganization and other laws of general applicability relating to or affecting the enforcement of creditors’ rights and to general equity principles.</w:t>
      </w:r>
    </w:p>
    <w:p>
      <w:pPr>
        <w:pStyle w:val="TextBody"/>
        <w:bidi w:val="0"/>
        <w:spacing w:lineRule="auto" w:line="288" w:before="0" w:after="240"/>
        <w:jc w:val="center"/>
        <w:rPr>
          <w:rFonts w:ascii="Times New Roman;serif" w:hAnsi="Times New Roman;serif"/>
          <w:b/>
          <w:color w:val="000000"/>
          <w:sz w:val="24"/>
        </w:rPr>
      </w:pPr>
      <w:bookmarkStart w:id="103" w:name="i6aa84fbb8e404e079fe2b900d5e1f332"/>
      <w:bookmarkEnd w:id="103"/>
      <w:r>
        <w:rPr>
          <w:rFonts w:ascii="Times New Roman;serif" w:hAnsi="Times New Roman;serif"/>
          <w:b/>
          <w:color w:val="000000"/>
          <w:sz w:val="24"/>
        </w:rPr>
        <w:t>ARTICLE 3.</w:t>
        <w:br/>
        <w:t xml:space="preserve">REDEMPTION AND PREPAYMENT </w:t>
      </w:r>
    </w:p>
    <w:p>
      <w:pPr>
        <w:pStyle w:val="TextBody"/>
        <w:bidi w:val="0"/>
        <w:spacing w:lineRule="auto" w:line="288" w:before="0" w:after="240"/>
        <w:ind w:left="0" w:right="0" w:hanging="720"/>
        <w:jc w:val="both"/>
        <w:rPr/>
      </w:pPr>
      <w:bookmarkStart w:id="104" w:name="i2ac02105c22f4340897c695648194b4c"/>
      <w:bookmarkEnd w:id="104"/>
      <w:r>
        <w:rPr>
          <w:rFonts w:ascii="Times New Roman;serif" w:hAnsi="Times New Roman;serif"/>
          <w:b w:val="false"/>
          <w:color w:val="000000"/>
          <w:sz w:val="24"/>
        </w:rPr>
        <w:t>Section 3.01    </w:t>
      </w:r>
      <w:r>
        <w:rPr>
          <w:rFonts w:ascii="Times New Roman;serif" w:hAnsi="Times New Roman;serif"/>
          <w:b w:val="false"/>
          <w:i/>
          <w:color w:val="000000"/>
          <w:sz w:val="24"/>
        </w:rPr>
        <w:t>Notices to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Issuers elect to redeem Notes pursuant to the optional redemption provisions of Section 3.07 hereof, they must furnish to the Trustee, at least 15 days but not more than 60 days before a redemption date, an Officers’ Certificate setting forth: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5" w:name="i3a8c7c54c5bd415c80e5113a63383a87"/>
      <w:bookmarkEnd w:id="105"/>
      <w:r>
        <w:rPr>
          <w:rFonts w:ascii="Times New Roman;serif" w:hAnsi="Times New Roman;serif"/>
          <w:b w:val="false"/>
          <w:color w:val="000000"/>
          <w:sz w:val="24"/>
        </w:rPr>
        <w:t xml:space="preserve">(a)    the clause of this Indenture pursuant to which the redemption shall occur;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6" w:name="i6c09e8abc743493baacbf53cb9608bfc"/>
      <w:bookmarkEnd w:id="106"/>
      <w:r>
        <w:rPr>
          <w:rFonts w:ascii="Times New Roman;serif" w:hAnsi="Times New Roman;serif"/>
          <w:b w:val="false"/>
          <w:color w:val="000000"/>
          <w:sz w:val="24"/>
        </w:rPr>
        <w:t xml:space="preserve">(b)    the redemption date;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7" w:name="iad8021073c4e49359a9e516cf34d8cb2"/>
      <w:bookmarkEnd w:id="107"/>
      <w:r>
        <w:rPr>
          <w:rFonts w:ascii="Times New Roman;serif" w:hAnsi="Times New Roman;serif"/>
          <w:b w:val="false"/>
          <w:color w:val="000000"/>
          <w:sz w:val="24"/>
        </w:rPr>
        <w:t xml:space="preserve">(c)    the principal amount of Notes to be redeemed;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8" w:name="i15fe528e06314ba2990a3f08bbf64884"/>
      <w:bookmarkEnd w:id="108"/>
      <w:r>
        <w:rPr>
          <w:rFonts w:ascii="Times New Roman;serif" w:hAnsi="Times New Roman;serif"/>
          <w:b w:val="false"/>
          <w:color w:val="000000"/>
          <w:sz w:val="24"/>
        </w:rPr>
        <w:t>(d)    the redemption price.</w:t>
      </w:r>
    </w:p>
    <w:p>
      <w:pPr>
        <w:pStyle w:val="TextBody"/>
        <w:bidi w:val="0"/>
        <w:spacing w:lineRule="auto" w:line="288" w:before="0" w:after="240"/>
        <w:ind w:left="0" w:right="0" w:hanging="720"/>
        <w:jc w:val="both"/>
        <w:rPr/>
      </w:pPr>
      <w:bookmarkStart w:id="109" w:name="ia9b58536c27e43c98804447c30380328"/>
      <w:bookmarkEnd w:id="109"/>
      <w:r>
        <w:rPr>
          <w:rFonts w:ascii="Times New Roman;serif" w:hAnsi="Times New Roman;serif"/>
          <w:b w:val="false"/>
          <w:color w:val="000000"/>
          <w:sz w:val="24"/>
        </w:rPr>
        <w:t>Section 3.02    </w:t>
      </w:r>
      <w:r>
        <w:rPr>
          <w:rFonts w:ascii="Times New Roman;serif" w:hAnsi="Times New Roman;serif"/>
          <w:b w:val="false"/>
          <w:i/>
          <w:color w:val="000000"/>
          <w:sz w:val="24"/>
        </w:rPr>
        <w:t>Selection of Notes to Be Redeemed or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less than all of the Notes are to be redeemed or purchased in an offer to purchase at any time, the Trustee shall select Notes for redemption or purchase as follows: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0" w:name="i445921c637824c9783b66533c69a53c2"/>
      <w:bookmarkEnd w:id="110"/>
      <w:r>
        <w:rPr>
          <w:rFonts w:ascii="Times New Roman;serif" w:hAnsi="Times New Roman;serif"/>
          <w:b w:val="false"/>
          <w:color w:val="000000"/>
          <w:sz w:val="24"/>
        </w:rPr>
        <w:t xml:space="preserve">(a)    if the Notes are listed on any national securities exchange, in compliance with the requirements of the principal national securities exchange on which the Notes are listed;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1" w:name="id0cc0e104c794d7ba4532cedce6c78e1"/>
      <w:bookmarkEnd w:id="111"/>
      <w:r>
        <w:rPr>
          <w:rFonts w:ascii="Times New Roman;serif" w:hAnsi="Times New Roman;serif"/>
          <w:b w:val="false"/>
          <w:color w:val="000000"/>
          <w:sz w:val="24"/>
        </w:rPr>
        <w:t>(b)    if the Notes are not listed on any national securities exchange, on a pro rata basis, by lot or by such method in accordance with the Trustee’s customary procedures, and in compliance with the procedures of the Depositary.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partial redemption or purchase by lot, the particular Notes to be redeemed or purchased shall be selected, unless otherwise provided herein, not less than 15 nor more than 60 days prior to the redemption or purchase date by the Trustee from the outstanding Notes not previously called for redemption or purchase.</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the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pStyle w:val="TextBody"/>
        <w:bidi w:val="0"/>
        <w:spacing w:lineRule="auto" w:line="288" w:before="0" w:after="240"/>
        <w:ind w:left="0" w:right="0" w:hanging="720"/>
        <w:jc w:val="both"/>
        <w:rPr/>
      </w:pPr>
      <w:bookmarkStart w:id="112" w:name="i369b969e701343a0b7508f9593c6dfb6"/>
      <w:bookmarkEnd w:id="112"/>
      <w:r>
        <w:rPr>
          <w:rFonts w:ascii="Times New Roman;serif" w:hAnsi="Times New Roman;serif"/>
          <w:b w:val="false"/>
          <w:color w:val="000000"/>
          <w:sz w:val="24"/>
        </w:rPr>
        <w:t>Section 3.03    </w:t>
      </w:r>
      <w:r>
        <w:rPr>
          <w:rFonts w:ascii="Times New Roman;serif" w:hAnsi="Times New Roman;serif"/>
          <w:b w:val="false"/>
          <w:i/>
          <w:color w:val="000000"/>
          <w:sz w:val="24"/>
        </w:rPr>
        <w:t>Notice of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least 15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notice shall identify the Notes to be redeemed and shall state: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3" w:name="ic6428080e2d642fd9e879c65214af2c1"/>
      <w:bookmarkEnd w:id="113"/>
      <w:r>
        <w:rPr>
          <w:rFonts w:ascii="Times New Roman;serif" w:hAnsi="Times New Roman;serif"/>
          <w:b w:val="false"/>
          <w:color w:val="000000"/>
          <w:sz w:val="24"/>
        </w:rPr>
        <w:t xml:space="preserve">(a)    the redemption date;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4" w:name="i56f5504911094138a16315628706d12b"/>
      <w:bookmarkEnd w:id="114"/>
      <w:r>
        <w:rPr>
          <w:rFonts w:ascii="Times New Roman;serif" w:hAnsi="Times New Roman;serif"/>
          <w:b w:val="false"/>
          <w:color w:val="000000"/>
          <w:sz w:val="24"/>
        </w:rPr>
        <w:t xml:space="preserve">(b)    the redemption price;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5" w:name="id6c7b886d53d4c41a340951cb9905a5d"/>
      <w:bookmarkEnd w:id="115"/>
      <w:r>
        <w:rPr>
          <w:rFonts w:ascii="Times New Roman;serif" w:hAnsi="Times New Roman;serif"/>
          <w:b w:val="false"/>
          <w:color w:val="000000"/>
          <w:sz w:val="24"/>
        </w:rPr>
        <w:t xml:space="preserve">(c)    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6" w:name="ia227eca054e44b3e81d0335b759ddb0b"/>
      <w:bookmarkEnd w:id="116"/>
      <w:r>
        <w:rPr>
          <w:rFonts w:ascii="Times New Roman;serif" w:hAnsi="Times New Roman;serif"/>
          <w:b w:val="false"/>
          <w:color w:val="000000"/>
          <w:sz w:val="24"/>
        </w:rPr>
        <w:t xml:space="preserve">(d)    the name and address of the Paying Agent;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7" w:name="i65884a7f91c345afafaf9759414b1ac0"/>
      <w:bookmarkEnd w:id="117"/>
      <w:r>
        <w:rPr>
          <w:rFonts w:ascii="Times New Roman;serif" w:hAnsi="Times New Roman;serif"/>
          <w:b w:val="false"/>
          <w:color w:val="000000"/>
          <w:sz w:val="24"/>
        </w:rPr>
        <w:t xml:space="preserve">(e)    that Notes called for redemption must be surrendered to the Paying Agent to collect the redemption price;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8" w:name="i7053b5e2b5684ee880bcdcbe3ad74eb0"/>
      <w:bookmarkEnd w:id="118"/>
      <w:r>
        <w:rPr>
          <w:rFonts w:ascii="Times New Roman;serif" w:hAnsi="Times New Roman;serif"/>
          <w:b w:val="false"/>
          <w:color w:val="000000"/>
          <w:sz w:val="24"/>
        </w:rPr>
        <w:t xml:space="preserve">(f)    that, unless the Issuers default in making such redemption payment, interest on Notes called for redemption ceases to accrue on and after the redemption date;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9" w:name="i75bc87fb0e644f95b4f535ce61387c23"/>
      <w:bookmarkEnd w:id="119"/>
      <w:r>
        <w:rPr>
          <w:rFonts w:ascii="Times New Roman;serif" w:hAnsi="Times New Roman;serif"/>
          <w:b w:val="false"/>
          <w:color w:val="000000"/>
          <w:sz w:val="24"/>
        </w:rPr>
        <w:t>(g)    the paragraph of the Notes and/or Section of this Indenture pursuant to which the Notes called for redemption are being redeemed;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20" w:name="ic7383834c8504034a63a40842da1dc43"/>
      <w:bookmarkEnd w:id="120"/>
      <w:r>
        <w:rPr>
          <w:rFonts w:ascii="Times New Roman;serif" w:hAnsi="Times New Roman;serif"/>
          <w:b w:val="false"/>
          <w:color w:val="000000"/>
          <w:sz w:val="24"/>
        </w:rPr>
        <w:t>(h)    that no representation is made as to the correctness or accuracy of the CUSIP number, if any, listed in such notice or printed on the Notes; and</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21" w:name="i9a537531507d4207b49a6ab118252ab9"/>
      <w:bookmarkEnd w:id="121"/>
      <w:r>
        <w:rPr>
          <w:rFonts w:ascii="Times New Roman;serif" w:hAnsi="Times New Roman;serif"/>
          <w:b w:val="false"/>
          <w:color w:val="000000"/>
          <w:sz w:val="24"/>
        </w:rPr>
        <w:t>(i)    whether the redemption is subject to the satisfaction of one or more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the Issuers’ request, the Trustee shall give the notice of redemption in the Issuers’ name and at their expense; provided, however, that the Issuers have delivered to the Trustee, at least 20 days prior to the redemption date (or such shorter time period otherwise agreed to by the Trustee), an Officers’ Certificate requesting that the Trustee give such notice and setting forth the information to be stated in such notice as provided in the preceding paragraph.</w:t>
      </w:r>
    </w:p>
    <w:p>
      <w:pPr>
        <w:pStyle w:val="TextBody"/>
        <w:bidi w:val="0"/>
        <w:spacing w:lineRule="auto" w:line="288" w:before="0" w:after="240"/>
        <w:ind w:left="0" w:right="0" w:hanging="720"/>
        <w:jc w:val="both"/>
        <w:rPr/>
      </w:pPr>
      <w:bookmarkStart w:id="122" w:name="idb673f84dc474631a8c2247bcadb196c"/>
      <w:bookmarkEnd w:id="122"/>
      <w:r>
        <w:rPr>
          <w:rFonts w:ascii="Times New Roman;serif" w:hAnsi="Times New Roman;serif"/>
          <w:b w:val="false"/>
          <w:color w:val="000000"/>
          <w:sz w:val="24"/>
        </w:rPr>
        <w:t>Section 3.04    </w:t>
      </w:r>
      <w:r>
        <w:rPr>
          <w:rFonts w:ascii="Times New Roman;serif" w:hAnsi="Times New Roman;serif"/>
          <w:b w:val="false"/>
          <w:i/>
          <w:color w:val="000000"/>
          <w:sz w:val="24"/>
        </w:rPr>
        <w:t>Effect of Notice of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such redemption pursuant to this Article 3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 If delivered in the manner provided in Section 3.03 hereof, the notice of redemption shall be conclusively presumed to have been given whether or not the Holder receives such notice.</w:t>
      </w:r>
    </w:p>
    <w:p>
      <w:pPr>
        <w:pStyle w:val="TextBody"/>
        <w:bidi w:val="0"/>
        <w:spacing w:lineRule="auto" w:line="288" w:before="0" w:after="240"/>
        <w:ind w:left="0" w:right="0" w:hanging="720"/>
        <w:jc w:val="both"/>
        <w:rPr/>
      </w:pPr>
      <w:bookmarkStart w:id="123" w:name="i6d1dcba4541b4d6cb7f183cf79b7d7b7"/>
      <w:bookmarkEnd w:id="123"/>
      <w:r>
        <w:rPr>
          <w:rFonts w:ascii="Times New Roman;serif" w:hAnsi="Times New Roman;serif"/>
          <w:b w:val="false"/>
          <w:color w:val="000000"/>
          <w:sz w:val="24"/>
        </w:rPr>
        <w:t>Section 3.05    </w:t>
      </w:r>
      <w:r>
        <w:rPr>
          <w:rFonts w:ascii="Times New Roman;serif" w:hAnsi="Times New Roman;serif"/>
          <w:b w:val="false"/>
          <w:i/>
          <w:color w:val="000000"/>
          <w:sz w:val="24"/>
        </w:rPr>
        <w:t>Deposit of Redemption or Purchase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pStyle w:val="TextBody"/>
        <w:bidi w:val="0"/>
        <w:spacing w:lineRule="auto" w:line="288" w:before="0" w:after="240"/>
        <w:ind w:left="0" w:right="0" w:hanging="720"/>
        <w:jc w:val="both"/>
        <w:rPr/>
      </w:pPr>
      <w:bookmarkStart w:id="124" w:name="iea3a415a57c1468ba3df0ef45d86e50e"/>
      <w:bookmarkEnd w:id="124"/>
      <w:r>
        <w:rPr>
          <w:rFonts w:ascii="Times New Roman;serif" w:hAnsi="Times New Roman;serif"/>
          <w:b w:val="false"/>
          <w:color w:val="000000"/>
          <w:sz w:val="24"/>
        </w:rPr>
        <w:t>Section 3.06    </w:t>
      </w:r>
      <w:r>
        <w:rPr>
          <w:rFonts w:ascii="Times New Roman;serif" w:hAnsi="Times New Roman;serif"/>
          <w:b w:val="false"/>
          <w:i/>
          <w:color w:val="000000"/>
          <w:sz w:val="24"/>
        </w:rPr>
        <w:t>Notes Redeemed or Purchased in Part.</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pStyle w:val="TextBody"/>
        <w:bidi w:val="0"/>
        <w:spacing w:lineRule="auto" w:line="288" w:before="0" w:after="240"/>
        <w:ind w:left="0" w:right="0" w:hanging="720"/>
        <w:jc w:val="both"/>
        <w:rPr/>
      </w:pPr>
      <w:bookmarkStart w:id="125" w:name="i1faa22dd518f4c3a97c10fad9cf72879"/>
      <w:bookmarkEnd w:id="125"/>
      <w:r>
        <w:rPr>
          <w:rFonts w:ascii="Times New Roman;serif" w:hAnsi="Times New Roman;serif"/>
          <w:b w:val="false"/>
          <w:color w:val="000000"/>
          <w:sz w:val="24"/>
        </w:rPr>
        <w:t>Section 3.07    </w:t>
      </w:r>
      <w:r>
        <w:rPr>
          <w:rFonts w:ascii="Times New Roman;serif" w:hAnsi="Times New Roman;serif"/>
          <w:b w:val="false"/>
          <w:i/>
          <w:color w:val="000000"/>
          <w:sz w:val="24"/>
        </w:rPr>
        <w:t>Optional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redeemable at the Issuers’ election, in whole or in part at any time prior to their Stated Maturity.</w: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26" w:name="i85e937724d924ef795ef14ae45d2b6ef"/>
      <w:bookmarkEnd w:id="126"/>
      <w:r>
        <w:rPr>
          <w:rFonts w:ascii="Times New Roman;serif" w:hAnsi="Times New Roman;serif"/>
          <w:b w:val="false"/>
          <w:color w:val="000000"/>
          <w:sz w:val="24"/>
        </w:rPr>
        <w:t>(a)    The redemption price for the Notes that are redeemed before September 15, 2029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27" w:name="idf11877bc61e4f699dd989808d90eb8d"/>
      <w:bookmarkEnd w:id="127"/>
      <w:r>
        <w:rPr>
          <w:rFonts w:ascii="Times New Roman;serif" w:hAnsi="Times New Roman;serif"/>
          <w:b w:val="false"/>
          <w:color w:val="000000"/>
          <w:sz w:val="24"/>
        </w:rPr>
        <w:t>(b)    The redemption price for Notes that are redeemed on or after September 15, 2029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September 15 of each of the years indicated below:</w:t>
      </w:r>
    </w:p>
    <w:tbl>
      <w:tblPr>
        <w:tblW w:w="3225" w:type="dxa"/>
        <w:jc w:val="left"/>
        <w:tblInd w:w="0" w:type="dxa"/>
        <w:tblLayout w:type="fixed"/>
        <w:tblCellMar>
          <w:top w:w="28" w:type="dxa"/>
          <w:left w:w="28" w:type="dxa"/>
          <w:bottom w:w="28" w:type="dxa"/>
          <w:right w:w="28" w:type="dxa"/>
        </w:tblCellMar>
      </w:tblPr>
      <w:tblGrid>
        <w:gridCol w:w="703"/>
        <w:gridCol w:w="620"/>
        <w:gridCol w:w="626"/>
        <w:gridCol w:w="373"/>
        <w:gridCol w:w="373"/>
        <w:gridCol w:w="530"/>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Year</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2029</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103.438%</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2030</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101.719%</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2031 and thereafter</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100.000%</w:t>
            </w:r>
          </w:p>
        </w:tc>
      </w:tr>
    </w:tbl>
    <w:p>
      <w:pPr>
        <w:pStyle w:val="TextBody"/>
        <w:bidi w:val="0"/>
        <w:spacing w:before="0" w:after="200"/>
        <w:jc w:val="left"/>
        <w:rPr/>
      </w:pPr>
      <w:r>
        <w:rPr/>
      </w:r>
    </w:p>
    <w:p>
      <w:pPr>
        <w:pStyle w:val="TextBody"/>
        <w:bidi w:val="0"/>
        <w:spacing w:lineRule="auto" w:line="288" w:before="0" w:after="200"/>
        <w:ind w:left="0" w:right="0" w:firstLine="720"/>
        <w:jc w:val="left"/>
        <w:rPr/>
      </w:pPr>
      <w:r>
        <w:rPr>
          <w:rFonts w:ascii="Times New Roman;serif" w:hAnsi="Times New Roman;serif"/>
          <w:b w:val="false"/>
          <w:color w:val="000000"/>
          <w:sz w:val="24"/>
        </w:rPr>
        <w:t xml:space="preserve">Prior to September 15, 2029, the Issuers may also, on any one or more occasions, redeem up to 35% of the original aggregate principal amount of the Notes (calculated after giving effect to any issuance of additional Notes issued under this Indenture) with the proceeds of one or more Equity Offerings at a redemption price equal to 106.875%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at least 65% of the original aggregate principal amount of the Notes (calculated after giving effect to any issuance of additional Notes issued under this Indenture) remains outstanding after each such redemption (unless all Notes are otherwise repurchased or redeemed substantially concurrently with the corresponding redemption); and</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such redemption occurs within 180 days after the closing of such Equity Offering.</w:t>
      </w:r>
    </w:p>
    <w:p>
      <w:pPr>
        <w:pStyle w:val="TextBody"/>
        <w:bidi w:val="0"/>
        <w:spacing w:lineRule="auto" w:line="288" w:before="0" w:after="240"/>
        <w:ind w:left="0" w:right="0" w:hanging="720"/>
        <w:jc w:val="both"/>
        <w:rPr/>
      </w:pPr>
      <w:bookmarkStart w:id="128" w:name="i7c9e47f4540048099b46d53cf6ddfa9c"/>
      <w:bookmarkEnd w:id="128"/>
      <w:r>
        <w:rPr>
          <w:rFonts w:ascii="Times New Roman;serif" w:hAnsi="Times New Roman;serif"/>
          <w:b w:val="false"/>
          <w:color w:val="000000"/>
          <w:sz w:val="24"/>
        </w:rPr>
        <w:t>Section 3.08    </w:t>
      </w:r>
      <w:r>
        <w:rPr>
          <w:rFonts w:ascii="Times New Roman;serif" w:hAnsi="Times New Roman;serif"/>
          <w:b w:val="false"/>
          <w:i/>
          <w:color w:val="000000"/>
          <w:sz w:val="24"/>
        </w:rPr>
        <w:t>Mandatory Redemption.</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are not required to make mandatory redemption or sinking fund payments with respect to the Notes.</w:t>
      </w:r>
    </w:p>
    <w:p>
      <w:pPr>
        <w:pStyle w:val="TextBody"/>
        <w:bidi w:val="0"/>
        <w:spacing w:lineRule="auto" w:line="288" w:before="0" w:after="240"/>
        <w:ind w:left="0" w:right="0" w:hanging="720"/>
        <w:jc w:val="both"/>
        <w:rPr/>
      </w:pPr>
      <w:bookmarkStart w:id="129" w:name="i921b69a46af342719b154c9932870be6"/>
      <w:bookmarkEnd w:id="129"/>
      <w:r>
        <w:rPr>
          <w:rFonts w:ascii="Times New Roman;serif" w:hAnsi="Times New Roman;serif"/>
          <w:b w:val="false"/>
          <w:color w:val="000000"/>
          <w:sz w:val="24"/>
        </w:rPr>
        <w:t>Section 3.09    </w:t>
      </w:r>
      <w:r>
        <w:rPr>
          <w:rFonts w:ascii="Times New Roman;serif" w:hAnsi="Times New Roman;serif"/>
          <w:b w:val="false"/>
          <w:i/>
          <w:color w:val="000000"/>
          <w:sz w:val="24"/>
        </w:rPr>
        <w:t>Mandatory Disposition or Redemption Pursuant to Gaming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hereof, each holder, by accepting a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(1) fails to apply for a license, qualification or finding of suitability within 30 days after being requested to do so (or such other period as required by the Gaming Authority), or (2) is notified by a Gaming Authority that it shall not be licensed, qualified or found suitable, then the Issuers shall have the right, at their option, to: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0" w:name="ic914f7d6a46c4c05baacb097fe5df5b1"/>
      <w:bookmarkEnd w:id="130"/>
      <w:r>
        <w:rPr>
          <w:rFonts w:ascii="Times New Roman;serif" w:hAnsi="Times New Roman;serif"/>
          <w:b w:val="false"/>
          <w:color w:val="000000"/>
          <w:sz w:val="24"/>
        </w:rPr>
        <w:t xml:space="preserve">(a)    require the Holder or Beneficial Owner to dispose of its Notes within 30 days (or such other period as required by the Gaming Authority) following the earlier 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1" w:name="i0482357b810e4aba953329e3f3c3c5c8"/>
      <w:bookmarkEnd w:id="131"/>
      <w:r>
        <w:rPr>
          <w:rFonts w:ascii="Times New Roman;serif" w:hAnsi="Times New Roman;serif"/>
          <w:b w:val="false"/>
          <w:color w:val="000000"/>
          <w:sz w:val="24"/>
        </w:rPr>
        <w:t xml:space="preserve">(1)    the termination of the period described above for the Holder or Beneficial Owner to apply for a license, qualification or finding of suitability if the Holder fails to apply for a license, qualification or finding of suitability during such period;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2" w:name="i2d29c3ce3031486793a7ba786ed6a4eb"/>
      <w:bookmarkEnd w:id="132"/>
      <w:r>
        <w:rPr>
          <w:rFonts w:ascii="Times New Roman;serif" w:hAnsi="Times New Roman;serif"/>
          <w:b w:val="false"/>
          <w:color w:val="000000"/>
          <w:sz w:val="24"/>
        </w:rPr>
        <w:t xml:space="preserve">(2)    the receipt of notice from the Gaming Authority that the Holder or Beneficial Owner shall not be licensed, qualified or found suitable by the Gaming Authority;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3" w:name="i5ef43ee3c1e4432bb5011fb352b82008"/>
      <w:bookmarkEnd w:id="133"/>
      <w:r>
        <w:rPr>
          <w:rFonts w:ascii="Times New Roman;serif" w:hAnsi="Times New Roman;serif"/>
          <w:b w:val="false"/>
          <w:color w:val="000000"/>
          <w:sz w:val="24"/>
        </w:rPr>
        <w:t xml:space="preserve">(b)    redeem the Notes of the Holder or Beneficial Owner at a redemption price equal to: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4" w:name="i6351ebf480ca4602bc06bc7d714b059b"/>
      <w:bookmarkEnd w:id="134"/>
      <w:r>
        <w:rPr>
          <w:rFonts w:ascii="Times New Roman;serif" w:hAnsi="Times New Roman;serif"/>
          <w:b w:val="false"/>
          <w:color w:val="000000"/>
          <w:sz w:val="24"/>
        </w:rPr>
        <w:t xml:space="preserve">(1)    the price required by applicable law or by order of any Gaming Authority;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5" w:name="ie3b1db3e1d414faba9e2465d6c4e5799"/>
      <w:bookmarkEnd w:id="135"/>
      <w:r>
        <w:rPr>
          <w:rFonts w:ascii="Times New Roman;serif" w:hAnsi="Times New Roman;serif"/>
          <w:b w:val="false"/>
          <w:color w:val="000000"/>
          <w:sz w:val="24"/>
        </w:rPr>
        <w:t xml:space="preserve">(2)    the lesser of: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36" w:name="i838f209153394eda86622887ed3e7c63"/>
      <w:bookmarkEnd w:id="136"/>
      <w:r>
        <w:rPr>
          <w:rFonts w:ascii="Times New Roman;serif" w:hAnsi="Times New Roman;serif"/>
          <w:b w:val="false"/>
          <w:color w:val="000000"/>
          <w:sz w:val="24"/>
        </w:rPr>
        <w:t xml:space="preserve">(A)    the principal amount of the Notes; and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137" w:name="iaf894e2aafa54e2abb0265027bde7edc"/>
      <w:bookmarkEnd w:id="137"/>
      <w:r>
        <w:rPr>
          <w:rFonts w:ascii="Times New Roman;serif" w:hAnsi="Times New Roman;serif"/>
          <w:b w:val="false"/>
          <w:color w:val="000000"/>
          <w:sz w:val="24"/>
        </w:rPr>
        <w:t xml:space="preserve">(B)    the price that the Holder or Beneficial Owner paid for the Notes,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each case, together with accrued and unpaid interest, if any, on the Notes to, but not including,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Immediately upon a determination by a Gaming Authority that a Holder or Beneficial Owner of Notes shall not be licensed, qualified or found suitable, the Holder or Beneficial Owner shall not have any further rights with respect to the Notes to: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8" w:name="i4355e41488f04593989e59cd55aacca5"/>
      <w:bookmarkEnd w:id="138"/>
      <w:r>
        <w:rPr>
          <w:rFonts w:ascii="Times New Roman;serif" w:hAnsi="Times New Roman;serif"/>
          <w:b w:val="false"/>
          <w:color w:val="000000"/>
          <w:sz w:val="24"/>
        </w:rPr>
        <w:t xml:space="preserve">(a)    exercise, directly or indirectly, through any Person, any right conferred by the Notes;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9" w:name="i3f7e8037c9174b049484d3408bf41b06"/>
      <w:bookmarkEnd w:id="139"/>
      <w:r>
        <w:rPr>
          <w:rFonts w:ascii="Times New Roman;serif" w:hAnsi="Times New Roman;serif"/>
          <w:b w:val="false"/>
          <w:color w:val="000000"/>
          <w:sz w:val="24"/>
        </w:rPr>
        <w:t xml:space="preserve">(b)    receive any interest or any other distribution or payment with respect to the Notes, or any remuneration in any form from the Issuers for services rendered or otherwise, except the redemption price of the Notes.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 </w:t>
      </w:r>
    </w:p>
    <w:p>
      <w:pPr>
        <w:pStyle w:val="TextBody"/>
        <w:bidi w:val="0"/>
        <w:spacing w:lineRule="auto" w:line="288" w:before="0" w:after="240"/>
        <w:jc w:val="center"/>
        <w:rPr>
          <w:rFonts w:ascii="Times New Roman;serif" w:hAnsi="Times New Roman;serif"/>
          <w:b/>
          <w:color w:val="000000"/>
          <w:sz w:val="24"/>
        </w:rPr>
      </w:pPr>
      <w:bookmarkStart w:id="140" w:name="ia74d9a91e40c472a9f7b8a5baeb5c3f1"/>
      <w:bookmarkEnd w:id="140"/>
      <w:r>
        <w:rPr>
          <w:rFonts w:ascii="Times New Roman;serif" w:hAnsi="Times New Roman;serif"/>
          <w:b/>
          <w:color w:val="000000"/>
          <w:sz w:val="24"/>
        </w:rPr>
        <w:t>ARTICLE 4.</w:t>
        <w:br/>
        <w:t xml:space="preserve">COVENANTS </w:t>
      </w:r>
    </w:p>
    <w:p>
      <w:pPr>
        <w:pStyle w:val="TextBody"/>
        <w:bidi w:val="0"/>
        <w:spacing w:lineRule="auto" w:line="288" w:before="0" w:after="240"/>
        <w:ind w:left="0" w:right="0" w:hanging="720"/>
        <w:jc w:val="both"/>
        <w:rPr/>
      </w:pPr>
      <w:bookmarkStart w:id="141" w:name="i654ae12caae44fb392ea779579c9a050"/>
      <w:bookmarkEnd w:id="141"/>
      <w:r>
        <w:rPr>
          <w:rFonts w:ascii="Times New Roman;serif" w:hAnsi="Times New Roman;serif"/>
          <w:b w:val="false"/>
          <w:color w:val="000000"/>
          <w:sz w:val="24"/>
        </w:rPr>
        <w:t>Section 4.01    </w:t>
      </w:r>
      <w:r>
        <w:rPr>
          <w:rFonts w:ascii="Times New Roman;serif" w:hAnsi="Times New Roman;serif"/>
          <w:b w:val="false"/>
          <w:i/>
          <w:color w:val="000000"/>
          <w:sz w:val="24"/>
        </w:rPr>
        <w:t>Payment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 </w:t>
      </w:r>
    </w:p>
    <w:p>
      <w:pPr>
        <w:pStyle w:val="TextBody"/>
        <w:bidi w:val="0"/>
        <w:spacing w:lineRule="auto" w:line="288" w:before="0" w:after="240"/>
        <w:ind w:left="0" w:right="0" w:hanging="720"/>
        <w:jc w:val="both"/>
        <w:rPr/>
      </w:pPr>
      <w:bookmarkStart w:id="142" w:name="i3efaede289f544bbbde46fe267d5b16f"/>
      <w:bookmarkEnd w:id="142"/>
      <w:r>
        <w:rPr>
          <w:rFonts w:ascii="Times New Roman;serif" w:hAnsi="Times New Roman;serif"/>
          <w:b w:val="false"/>
          <w:color w:val="000000"/>
          <w:sz w:val="24"/>
        </w:rPr>
        <w:t>Section 4.02    </w:t>
      </w:r>
      <w:r>
        <w:rPr>
          <w:rFonts w:ascii="Times New Roman;serif" w:hAnsi="Times New Roman;serif"/>
          <w:b w:val="false"/>
          <w:i/>
          <w:color w:val="000000"/>
          <w:sz w:val="24"/>
        </w:rPr>
        <w:t xml:space="preserve">Maintenance of Office or Agency.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required office or agency or fail to furnish the Trustee with the address thereof, such presentations, surrenders, notices and demands may be made or served at the Corporate Trust Office of the Trustee.</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Issuers may also from time to time designate one or more other offices or agencies where the Notes may be presented or surrendered for any or all such purposes and may from time to time rescind such designations; </w:t>
      </w:r>
      <w:r>
        <w:rPr>
          <w:rFonts w:ascii="Times New Roman;serif" w:hAnsi="Times New Roman;serif"/>
          <w:b w:val="false"/>
          <w:i/>
          <w:color w:val="000000"/>
          <w:sz w:val="24"/>
        </w:rPr>
        <w:t>provided, however</w:t>
      </w:r>
      <w:r>
        <w:rPr>
          <w:rFonts w:ascii="Times New Roman;serif" w:hAnsi="Times New Roman;serif"/>
          <w:b w:val="false"/>
          <w:color w:val="000000"/>
          <w:sz w:val="24"/>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Issuers hereby designate the Corporate Trust Office of the Trustee as one such office or agency of the Issuers in accordance with Section 2.03 hereof. </w:t>
      </w:r>
    </w:p>
    <w:p>
      <w:pPr>
        <w:pStyle w:val="TextBody"/>
        <w:bidi w:val="0"/>
        <w:spacing w:lineRule="auto" w:line="288" w:before="0" w:after="240"/>
        <w:ind w:left="0" w:right="0" w:hanging="720"/>
        <w:jc w:val="both"/>
        <w:rPr/>
      </w:pPr>
      <w:bookmarkStart w:id="143" w:name="i8577ef9bcb9f4f7ca66479834680eec3"/>
      <w:bookmarkEnd w:id="143"/>
      <w:r>
        <w:rPr>
          <w:rFonts w:ascii="Times New Roman;serif" w:hAnsi="Times New Roman;serif"/>
          <w:b w:val="false"/>
          <w:color w:val="000000"/>
          <w:sz w:val="24"/>
        </w:rPr>
        <w:t>Section 4.03    </w:t>
      </w:r>
      <w:r>
        <w:rPr>
          <w:rFonts w:ascii="Times New Roman;serif" w:hAnsi="Times New Roman;serif"/>
          <w:b w:val="false"/>
          <w:i/>
          <w:color w:val="000000"/>
          <w:sz w:val="24"/>
        </w:rPr>
        <w:t xml:space="preserve">Reports.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So long as any Notes are outstanding, Wynn Resorts Finance shall furnish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4" w:name="i06fc8cb70834411f82a53364cb7f1d85"/>
      <w:bookmarkEnd w:id="144"/>
      <w:r>
        <w:rPr>
          <w:rFonts w:ascii="Times New Roman;serif" w:hAnsi="Times New Roman;serif"/>
          <w:b w:val="false"/>
          <w:color w:val="000000"/>
          <w:sz w:val="24"/>
        </w:rPr>
        <w:t xml:space="preserve">(a)    within 90 days after the end of each fiscal year beginning with the fiscal year ended December 31, 2026, annual reports of Wynn Resorts Finance containing substantially all of the information that would have been required to be contained in an Annual Report on Form 10-K under the Exchange Act if Wynn Resorts Finance had been a reporting company under the Exchange Act (but only to the extent similar information is included in the Issuers’ Offering Memorandum, dated as of September 10, 2026, relating to the offering of the Initial Notes), including (i) “Management’s Discussion and Analysis of Financial Condition and Results of Operations”, (ii) audited financial statements prepared in accordance with US GAAP and (iii) a calculation of Consolidated EBITDA for the end of such fiscal year;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5" w:name="idd89980572de471e99f6aed379111943"/>
      <w:bookmarkEnd w:id="145"/>
      <w:r>
        <w:rPr>
          <w:rFonts w:ascii="Times New Roman;serif" w:hAnsi="Times New Roman;serif"/>
          <w:b w:val="false"/>
          <w:color w:val="000000"/>
          <w:sz w:val="24"/>
        </w:rPr>
        <w:t>(b)    within 45 days after the end of each of the first three fiscal quarters of each fiscal year beginning with the fiscal quarter ended September 30, 2026, quarterly reports of Wynn Resorts Finance containing substantially all of the information that would have been required to be contained in a Quarterly Report on Form 10-Q under the Exchange Act if Wynn Resorts Finance had been a reporting company under the Exchange Act (but only to the extent similar information is provided in the Issuers’ Offering Memorandum, dated as of September 10, 2026, relating to the offering of the Initial Notes), including (i) “Management’s Discussion and Analysis of Financial Condition and Results of Operations”, (ii) unaudited quarterly financial statements prepared in accordance with US GAAP and reviewed pursuant to Statement on Auditing Standards No. 100 (or any successor provision) and (iii) a calculation of Consolidated EBITDA for the relevant period; and</w: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46" w:name="i4b51fea99d0c44f98b2c15f47dcf986e"/>
      <w:bookmarkEnd w:id="146"/>
      <w:r>
        <w:rPr>
          <w:rFonts w:ascii="Times New Roman;serif" w:hAnsi="Times New Roman;serif"/>
          <w:b w:val="false"/>
          <w:color w:val="000000"/>
          <w:sz w:val="24"/>
        </w:rPr>
        <w:t xml:space="preserve">(c)    within 10 Business Days after the occurrence of each event that would have been required to be reported in a Current Report on Form 8-K under the Exchange Act if Wynn Resorts Finance had been a reporting company under the Exchange Act, current reports containing substantially all of the information that would have been required to be contained in a </w:t>
      </w:r>
    </w:p>
    <w:p>
      <w:pPr>
        <w:pStyle w:val="TextBody"/>
        <w:bidi w:val="0"/>
        <w:spacing w:lineRule="auto" w:line="276" w:before="0" w:after="240"/>
        <w:jc w:val="both"/>
        <w:rPr/>
      </w:pPr>
      <w:r>
        <w:rPr>
          <w:rFonts w:ascii="Times New Roman;serif" w:hAnsi="Times New Roman;serif"/>
          <w:b w:val="false"/>
          <w:color w:val="000000"/>
          <w:sz w:val="24"/>
        </w:rPr>
        <w:t xml:space="preserve">Current Report on Form 8-K under the Exchange Act if Wynn Resorts Finance had been a reporting company under the Exchange Act; provided, however, that no such current report will be required to be furnished if Wynn Resorts Finance determines in its good faith judgment that such event is not material to holders or the business, assets, operations, financial positions or prospects of Wynn Resorts Finance and the Guarantors, taken as a whole;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however, that such reports (i) will not be required to comply with Section 302 or Section 404 of the Sarbanes-Oxley Act of 2002, or related Items 307 and 308 of Regulation S-K promulgated by the SEC, or Item 10(e) of Regulation S-K (with respect to any non-US GAAP financial measures contained therein), (ii) will not be required to contain the separate financial information for Guarantors contemplated by Rule 3-10 or Rule 3-16 of Regulation S-X promulgated by the SEC, (iii) will only be required to include limited executive compensation disclosure consisting of a summary compensation table (including any equity awards), a description of employment agreements with officers and a description of any incentive plans and (iv) will not be required to include exhibits that would otherwise be required to be filed pursuant to Item 601 of Regulation S-K.</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So long as any Notes are outstanding, Wynn Resorts Finance shall also:</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7" w:name="i94fc0eb487904a3fb5435d6496430cae"/>
      <w:bookmarkEnd w:id="147"/>
      <w:r>
        <w:rPr>
          <w:rFonts w:ascii="Times New Roman;serif" w:hAnsi="Times New Roman;serif"/>
          <w:b w:val="false"/>
          <w:color w:val="000000"/>
          <w:sz w:val="24"/>
        </w:rPr>
        <w:t xml:space="preserve">(a)    issue a press release to an internationally recognized wire service no fewer than three Business Days prior to the first public disclosure of the annual and quarterly reports required by clauses (a) and (b) of this Section 4.03 announcing the date on which such reports will become publicly available and directing holders, prospective investors, broker-dealers and securities analysts to contact the investor relations office of Wynn Resorts Finance to obtain copies of such reports;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8" w:name="i99d84d0016304121b5d54b1f657e89aa"/>
      <w:bookmarkEnd w:id="148"/>
      <w:r>
        <w:rPr>
          <w:rFonts w:ascii="Times New Roman;serif" w:hAnsi="Times New Roman;serif"/>
          <w:b w:val="false"/>
          <w:color w:val="000000"/>
          <w:sz w:val="24"/>
        </w:rPr>
        <w:t>(b)    within 10 Business Days after furnishing to the trustee the annual and quarterly reports required by clauses (a) and (b) of this Section 4.03, hold a conference call to discuss such reports and the results of operations for the relevant reporting period;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9" w:name="i01429ba642654435888d39607ec91efc"/>
      <w:bookmarkEnd w:id="149"/>
      <w:r>
        <w:rPr>
          <w:rFonts w:ascii="Times New Roman;serif" w:hAnsi="Times New Roman;serif"/>
          <w:b w:val="false"/>
          <w:color w:val="000000"/>
          <w:sz w:val="24"/>
        </w:rPr>
        <w:t>(c)    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holders, prospective investors, broker-dealers and securities analysts to contact the appropriate person at Wynn Resorts Finance to obtain such information;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0" w:name="ic3bb2d57ed0b40a1874154bbebee12fd"/>
      <w:bookmarkEnd w:id="150"/>
      <w:r>
        <w:rPr>
          <w:rFonts w:ascii="Times New Roman;serif" w:hAnsi="Times New Roman;serif"/>
          <w:b w:val="false"/>
          <w:color w:val="000000"/>
          <w:sz w:val="24"/>
        </w:rPr>
        <w:t>(d)    maintain a website to which holders, prospective investors, broker-dealers and securities analysts are given access and to which all of the reports and press releases required by this Section 4.03 are posted within the time periods required by this Section 4.03.</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Wynn Resorts Finance shall furnish to holders, prospective investors, broker dealers and securities analysts, upon their request, any information required to be delivered pursuant to Rule 144A(d)(4) under the Securities Act so long as the Notes are not freely transferable under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(4)    Notwithstanding anything to the contrary in this Section 4.03, Wynn Resorts Finance may fulfill the requirement to furnish any such information described in Section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4.03(1)(a), (b) and (c) by filing the information with the SEC within the time periods specified in the SEC’s rules and regulations that are then applicable to Wynn Resorts Finance.</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Parent Entity may satisfy the obligations of Wynn Resorts Finance set forth in this Section 4.03 by providing the requisite financial and other information of such Parent Entity instead of Wynn Resorts Finance; provided that to the extent such information related to such Parent Entity, such information is accompanied by consolidating information, which may be unaudited, that explains in reasonable detail the differences between the information of such Parent Entity, on the one hand, and the information relating to Wynn Resorts Finance and its Subsidiaries on a stand-alone basis, on the other hand.</w:t>
      </w:r>
    </w:p>
    <w:p>
      <w:pPr>
        <w:pStyle w:val="TextBody"/>
        <w:bidi w:val="0"/>
        <w:spacing w:lineRule="auto" w:line="288" w:before="0" w:after="240"/>
        <w:ind w:left="0" w:right="0" w:hanging="720"/>
        <w:jc w:val="both"/>
        <w:rPr/>
      </w:pPr>
      <w:bookmarkStart w:id="151" w:name="if0a3c0cf8a574a72b0b4b5599470cfa9"/>
      <w:bookmarkEnd w:id="151"/>
      <w:r>
        <w:rPr>
          <w:rFonts w:ascii="Times New Roman;serif" w:hAnsi="Times New Roman;serif"/>
          <w:b w:val="false"/>
          <w:color w:val="000000"/>
          <w:sz w:val="24"/>
        </w:rPr>
        <w:t>Section 4.04    </w:t>
      </w:r>
      <w:r>
        <w:rPr>
          <w:rFonts w:ascii="Times New Roman;serif" w:hAnsi="Times New Roman;serif"/>
          <w:b w:val="false"/>
          <w:i/>
          <w:color w:val="000000"/>
          <w:sz w:val="24"/>
        </w:rPr>
        <w:t xml:space="preserve">Compliance Certificate.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2" w:name="i359bb68bbf37451689335dcdfcd08f5a"/>
      <w:bookmarkEnd w:id="152"/>
      <w:r>
        <w:rPr>
          <w:rFonts w:ascii="Times New Roman;serif" w:hAnsi="Times New Roman;serif"/>
          <w:b w:val="false"/>
          <w:color w:val="000000"/>
          <w:sz w:val="24"/>
        </w:rPr>
        <w:t>(a)    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3" w:name="if65d42ad3fd342269b806a40fc6f477b"/>
      <w:bookmarkEnd w:id="153"/>
      <w:r>
        <w:rPr>
          <w:rFonts w:ascii="Times New Roman;serif" w:hAnsi="Times New Roman;serif"/>
          <w:b w:val="false"/>
          <w:color w:val="000000"/>
          <w:sz w:val="24"/>
        </w:rPr>
        <w:t xml:space="preserve">(b)    So long as not contrary to the then current recommendations of the American Institute of Certified Public Accountants, the year-end financial statements delivered pursuant to Section 4.03(1)(a)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4" w:name="ifc8b7bb9703c4a76a5d63ff5cf900678"/>
      <w:bookmarkEnd w:id="154"/>
      <w:r>
        <w:rPr>
          <w:rFonts w:ascii="Times New Roman;serif" w:hAnsi="Times New Roman;serif"/>
          <w:b w:val="false"/>
          <w:color w:val="000000"/>
          <w:sz w:val="24"/>
        </w:rPr>
        <w:t xml:space="preserve">(c)    So long as any of the Notes are outstanding, the Issuers shall deliver to the Trustee, forthwith upon any Officer becoming aware of any Default or Event of Default, an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Officers’ Certificate specifying such Default or Event of Default and what action the Issuers are taking or proposes to take with respect thereto.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ind w:left="0" w:right="0" w:hanging="720"/>
        <w:jc w:val="both"/>
        <w:rPr/>
      </w:pPr>
      <w:bookmarkStart w:id="155" w:name="i72e399378c3146b493d56d70f8158970"/>
      <w:bookmarkEnd w:id="155"/>
      <w:r>
        <w:rPr>
          <w:rFonts w:ascii="Times New Roman;serif" w:hAnsi="Times New Roman;serif"/>
          <w:b w:val="false"/>
          <w:color w:val="000000"/>
          <w:sz w:val="24"/>
        </w:rPr>
        <w:t>Section 4.05    </w:t>
      </w:r>
      <w:r>
        <w:rPr>
          <w:rFonts w:ascii="Times New Roman;serif" w:hAnsi="Times New Roman;serif"/>
          <w:b w:val="false"/>
          <w:i/>
          <w:color w:val="000000"/>
          <w:sz w:val="24"/>
        </w:rPr>
        <w:t xml:space="preserve">Taxes.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 </w:t>
      </w:r>
    </w:p>
    <w:p>
      <w:pPr>
        <w:pStyle w:val="TextBody"/>
        <w:bidi w:val="0"/>
        <w:spacing w:lineRule="auto" w:line="288" w:before="0" w:after="240"/>
        <w:ind w:left="0" w:right="0" w:hanging="720"/>
        <w:jc w:val="both"/>
        <w:rPr/>
      </w:pPr>
      <w:bookmarkStart w:id="156" w:name="i7df975a3b7a747f9935cbefaefa49bcd"/>
      <w:bookmarkEnd w:id="156"/>
      <w:r>
        <w:rPr>
          <w:rFonts w:ascii="Times New Roman;serif" w:hAnsi="Times New Roman;serif"/>
          <w:b w:val="false"/>
          <w:color w:val="000000"/>
          <w:sz w:val="24"/>
        </w:rPr>
        <w:t>Section 4.06    </w:t>
      </w:r>
      <w:r>
        <w:rPr>
          <w:rFonts w:ascii="Times New Roman;serif" w:hAnsi="Times New Roman;serif"/>
          <w:b w:val="false"/>
          <w:i/>
          <w:color w:val="000000"/>
          <w:sz w:val="24"/>
        </w:rPr>
        <w:t xml:space="preserve">Stay, Extension and Usury Laws.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 </w:t>
      </w:r>
    </w:p>
    <w:p>
      <w:pPr>
        <w:pStyle w:val="TextBody"/>
        <w:bidi w:val="0"/>
        <w:spacing w:lineRule="auto" w:line="288" w:before="0" w:after="240"/>
        <w:ind w:left="0" w:right="0" w:hanging="720"/>
        <w:jc w:val="both"/>
        <w:rPr/>
      </w:pPr>
      <w:bookmarkStart w:id="157" w:name="i3d2342d8f7be4636900ada0233a8399d"/>
      <w:bookmarkEnd w:id="157"/>
      <w:r>
        <w:rPr>
          <w:rFonts w:ascii="Times New Roman;serif" w:hAnsi="Times New Roman;serif"/>
          <w:b w:val="false"/>
          <w:color w:val="000000"/>
          <w:sz w:val="24"/>
        </w:rPr>
        <w:t>Section 4.07    </w:t>
      </w:r>
      <w:r>
        <w:rPr>
          <w:rFonts w:ascii="Times New Roman;serif" w:hAnsi="Times New Roman;serif"/>
          <w:b w:val="false"/>
          <w:i/>
          <w:color w:val="000000"/>
          <w:sz w:val="24"/>
        </w:rPr>
        <w:t>Limitation on Liens Securing Indebtedness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Issue Date) without effectively providing that the Notes shall be secured equally and ratably with (or prior to) such Indebtedness so long as such Indebtedness shall be so secured, except that this restriction will not apply to:</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8" w:name="i146547b034314ad2a9c59e21c46329a8"/>
      <w:bookmarkEnd w:id="158"/>
      <w:r>
        <w:rPr>
          <w:rFonts w:ascii="Times New Roman;serif" w:hAnsi="Times New Roman;serif"/>
          <w:b w:val="false"/>
          <w:color w:val="000000"/>
          <w:sz w:val="24"/>
        </w:rPr>
        <w:t xml:space="preserve">(a)    Liens existing on the Issue Date (excluding Liens securing the Senior Credit Facilities);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9" w:name="i56e1237c72a34212ba49417cc5003482"/>
      <w:bookmarkEnd w:id="159"/>
      <w:r>
        <w:rPr>
          <w:rFonts w:ascii="Times New Roman;serif" w:hAnsi="Times New Roman;serif"/>
          <w:b w:val="false"/>
          <w:color w:val="000000"/>
          <w:sz w:val="24"/>
        </w:rPr>
        <w:t>(b)    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 a Guarantor or such merger or consolidation and do not extend to or cover property of an Issuer or any Guarantor other than property of the entity so acquired or which becomes a Guarantor);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0" w:name="i30abfc1076144b0d87814883ff38a8f0"/>
      <w:bookmarkEnd w:id="160"/>
      <w:r>
        <w:rPr>
          <w:rFonts w:ascii="Times New Roman;serif" w:hAnsi="Times New Roman;serif"/>
          <w:b w:val="false"/>
          <w:color w:val="000000"/>
          <w:sz w:val="24"/>
        </w:rPr>
        <w:t xml:space="preserve">(c)    Liens (including purchase money Liens) existing at the time of acquisition thereof on property acquired after the Issue Date or to secure Indebtedness incurred prior to, at the time of, or within 24 months after the acquisition for the purpose of financing all or part of the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purchase price of property acquired after the Issue Date (provided that such Liens do not extend to or cover any property of an Issuer or any Guarantor other than the property so acquired);</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1" w:name="i632923198c9240e08eac7356a9717a5f"/>
      <w:bookmarkEnd w:id="161"/>
      <w:r>
        <w:rPr>
          <w:rFonts w:ascii="Times New Roman;serif" w:hAnsi="Times New Roman;serif"/>
          <w:b w:val="false"/>
          <w:color w:val="000000"/>
          <w:sz w:val="24"/>
        </w:rPr>
        <w:t>(d)    Liens on any property acquired, developed, constructed or otherwise improved by Wynn Resorts Finance or any Subsidiary (including liens on the Equity Interests of any Subsidiary of Wynn Resorts Finance and substantially all assets of such Subsidiary, in each case to the extent such property constitutes substantially all of the business of such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2" w:name="i23ec662f0e1749d79078b2b17309bb54"/>
      <w:bookmarkEnd w:id="162"/>
      <w:r>
        <w:rPr>
          <w:rFonts w:ascii="Times New Roman;serif" w:hAnsi="Times New Roman;serif"/>
          <w:b w:val="false"/>
          <w:color w:val="000000"/>
          <w:sz w:val="24"/>
        </w:rPr>
        <w:t>(e)    Liens in favor of the Issuers or the Guarantors;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3" w:name="iad147edca2fa4344862cdbb8891be5bd"/>
      <w:bookmarkEnd w:id="163"/>
      <w:r>
        <w:rPr>
          <w:rFonts w:ascii="Times New Roman;serif" w:hAnsi="Times New Roman;serif"/>
          <w:b w:val="false"/>
          <w:color w:val="000000"/>
          <w:sz w:val="24"/>
        </w:rPr>
        <w:t>(f)    Liens on the stock, partnership or other equity interest of Wynn Resorts Finance or any Guarantor in any Joint Venture or any Subsidiary that owns an equity interest in such Joint Venture to secure Indebtedness, provided the amount of such Indebtedness is contributed and/or advanced solely to such Joint Venture;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4" w:name="i62f4fc8a74b14b2cb7fe9aeea7b99b49"/>
      <w:bookmarkEnd w:id="164"/>
      <w:r>
        <w:rPr>
          <w:rFonts w:ascii="Times New Roman;serif" w:hAnsi="Times New Roman;serif"/>
          <w:b w:val="false"/>
          <w:color w:val="000000"/>
          <w:sz w:val="24"/>
        </w:rPr>
        <w:t>(g)    Liens to government entities, including pollution control or industrial revenue bond financing;</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5" w:name="id0d0aeb841b1463cb10e4de69647f2c8"/>
      <w:bookmarkEnd w:id="165"/>
      <w:r>
        <w:rPr>
          <w:rFonts w:ascii="Times New Roman;serif" w:hAnsi="Times New Roman;serif"/>
          <w:b w:val="false"/>
          <w:color w:val="000000"/>
          <w:sz w:val="24"/>
        </w:rPr>
        <w:t>(h)    Liens required by any contract or statute in order to permit Wynn Resorts Finance or a Subsidiary of Wynn Resorts Finance to perform any contract or subcontract made by it with or at the request of a governmental entity;</w: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66" w:name="i4fd1fed22ad8480da98de2521c770397"/>
      <w:bookmarkEnd w:id="166"/>
      <w:r>
        <w:rPr>
          <w:rFonts w:ascii="Times New Roman;serif" w:hAnsi="Times New Roman;serif"/>
          <w:b w:val="false"/>
          <w:color w:val="000000"/>
          <w:sz w:val="24"/>
        </w:rPr>
        <w:t>(i)    Liens imposed by Gaming Laws or Gaming Authorities, and Liens on deposits made to secure Gaming License applications or to secure the performance of surety or other bonds issued in connection therewith; provided, however, that to the extent such Liens are not imposed by law, such Liens shall in no event encumber any property other than cash and cash equivalents;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7" w:name="if64d2078af9745d1809a392086ef9c5b"/>
      <w:bookmarkEnd w:id="167"/>
      <w:r>
        <w:rPr>
          <w:rFonts w:ascii="Times New Roman;serif" w:hAnsi="Times New Roman;serif"/>
          <w:b w:val="false"/>
          <w:color w:val="000000"/>
          <w:sz w:val="24"/>
        </w:rPr>
        <w:t>(j)    mechanic’s, materialman’s, carrier’s or other like Liens, arising in the ordinary course of business;</w: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68" w:name="i63043c9783e343b3903912dcfd22f1d2"/>
      <w:bookmarkEnd w:id="168"/>
      <w:r>
        <w:rPr>
          <w:rFonts w:ascii="Times New Roman;serif" w:hAnsi="Times New Roman;serif"/>
          <w:b w:val="false"/>
          <w:color w:val="000000"/>
          <w:sz w:val="24"/>
        </w:rPr>
        <w:t>(k)    licenses and sublicenses of software and other technology licenses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9" w:name="i81864abb3f24441e9ff681c54712c862"/>
      <w:bookmarkEnd w:id="169"/>
      <w:r>
        <w:rPr>
          <w:rFonts w:ascii="Times New Roman;serif" w:hAnsi="Times New Roman;serif"/>
          <w:b w:val="false"/>
          <w:color w:val="000000"/>
          <w:sz w:val="24"/>
        </w:rPr>
        <w:t>(l)    Liens for taxes, assessments or governmental charges, levies or claims that are not yet due and payable or delinquent or that are being contested in good faith by appropriate proceedings;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0" w:name="ic2fe819cb560435f8e1ed405bdd07cbe"/>
      <w:bookmarkEnd w:id="170"/>
      <w:r>
        <w:rPr>
          <w:rFonts w:ascii="Times New Roman;serif" w:hAnsi="Times New Roman;serif"/>
          <w:b w:val="false"/>
          <w:color w:val="000000"/>
          <w:sz w:val="24"/>
        </w:rPr>
        <w:t>(m)    filing of Uniform Commercial Code financing statements as a precautionary measure in connection with operating leases entered into in the ordinary course of business;</w: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71" w:name="ic1141cafa1b24057bcb9a15ccfe80816"/>
      <w:bookmarkEnd w:id="171"/>
      <w:r>
        <w:rPr>
          <w:rFonts w:ascii="Times New Roman;serif" w:hAnsi="Times New Roman;serif"/>
          <w:b w:val="false"/>
          <w:color w:val="000000"/>
          <w:sz w:val="24"/>
        </w:rPr>
        <w:t>(n)    survey exceptions, easements, encroachments, subdivisions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individually or in the aggregate materially adversely affect the value of said properties or materially impair their use in the operation of the business of such Person; and</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2" w:name="i5896f2ed17f5434ab26068d2cb30b60d"/>
      <w:bookmarkEnd w:id="172"/>
      <w:r>
        <w:rPr>
          <w:rFonts w:ascii="Times New Roman;serif" w:hAnsi="Times New Roman;serif"/>
          <w:b w:val="false"/>
          <w:color w:val="000000"/>
          <w:sz w:val="24"/>
        </w:rPr>
        <w:t>(o)    any extension, renewal, replacement or refinancing of any Indebtedness secured by a Lien permitted by any of the foregoing clauses (a) through (f) and (n).</w:t>
      </w:r>
    </w:p>
    <w:p>
      <w:pPr>
        <w:pStyle w:val="TextBody"/>
        <w:bidi w:val="0"/>
        <w:spacing w:lineRule="auto" w:line="288" w:before="0" w:after="240"/>
        <w:ind w:left="0" w:right="0" w:hanging="720"/>
        <w:jc w:val="both"/>
        <w:rPr/>
      </w:pPr>
      <w:bookmarkStart w:id="173" w:name="ia8d15207360048ef95e6269d277dcf2d"/>
      <w:bookmarkEnd w:id="173"/>
      <w:r>
        <w:rPr>
          <w:rFonts w:ascii="Times New Roman;serif" w:hAnsi="Times New Roman;serif"/>
          <w:b w:val="false"/>
          <w:color w:val="000000"/>
          <w:sz w:val="24"/>
        </w:rPr>
        <w:t>Section 4.08    </w:t>
      </w:r>
      <w:r>
        <w:rPr>
          <w:rFonts w:ascii="Times New Roman;serif" w:hAnsi="Times New Roman;serif"/>
          <w:b w:val="false"/>
          <w:i/>
          <w:color w:val="000000"/>
          <w:sz w:val="24"/>
        </w:rPr>
        <w:t xml:space="preserve">Limitation on Sale and Leaseback Transactions.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Other than as provided below under Section 4.09, neither Issuer nor any Guarantor will enter into any Sale and Leaseback Transaction unless either: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4" w:name="i397869cc1f2246a7a16f9aba088919a7"/>
      <w:bookmarkEnd w:id="174"/>
      <w:r>
        <w:rPr>
          <w:rFonts w:ascii="Times New Roman;serif" w:hAnsi="Times New Roman;serif"/>
          <w:b w:val="false"/>
          <w:color w:val="000000"/>
          <w:sz w:val="24"/>
        </w:rPr>
        <w:t>(a)    such Issuer or such Guarantor would be entitled, pursuant to the provisions described in clauses (a) through (o) under Section 4.07 to create, assume or suffer to exist a Lien on the property to be leased without equally and ratably securing the Notes;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5" w:name="if41c1afaa9984a2db0a19c2669662cca"/>
      <w:bookmarkEnd w:id="175"/>
      <w:r>
        <w:rPr>
          <w:rFonts w:ascii="Times New Roman;serif" w:hAnsi="Times New Roman;serif"/>
          <w:b w:val="false"/>
          <w:color w:val="000000"/>
          <w:sz w:val="24"/>
        </w:rPr>
        <w:t>(b)    with respect to any Sale and Leaseback Transaction entered into after the Issue Date, an amount equal to the greater of the net cash proceeds of such sale or the Fair Market Value of such property (in the good faith opinion of the Board of Directors of Wynn Resorts Capital) is applied within 120 days to the retirement or other discharge of its Funded Debt.</w:t>
      </w:r>
    </w:p>
    <w:p>
      <w:pPr>
        <w:pStyle w:val="TextBody"/>
        <w:bidi w:val="0"/>
        <w:spacing w:lineRule="auto" w:line="288" w:before="0" w:after="240"/>
        <w:ind w:left="0" w:right="0" w:hanging="720"/>
        <w:jc w:val="both"/>
        <w:rPr/>
      </w:pPr>
      <w:bookmarkStart w:id="176" w:name="i62dbb62ef55b4019ba0b87061e00fb24"/>
      <w:bookmarkEnd w:id="176"/>
      <w:r>
        <w:rPr>
          <w:rFonts w:ascii="Times New Roman;serif" w:hAnsi="Times New Roman;serif"/>
          <w:b w:val="false"/>
          <w:color w:val="000000"/>
          <w:sz w:val="24"/>
        </w:rPr>
        <w:t>Section 4.09    </w:t>
      </w:r>
      <w:r>
        <w:rPr>
          <w:rFonts w:ascii="Times New Roman;serif" w:hAnsi="Times New Roman;serif"/>
          <w:b w:val="false"/>
          <w:i/>
          <w:color w:val="000000"/>
          <w:sz w:val="24"/>
        </w:rPr>
        <w:t>Exempted Liens and Sale and Leaseback Transactions.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 exceed the greater of (x) $1,850.0 million and (y) an amount that would cause the Consolidated Senior Secured Net Leverage Ratio to be greater than 3.00 to 1.00 on a pro forma basis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 of such amount).</w:t>
      </w:r>
    </w:p>
    <w:p>
      <w:pPr>
        <w:pStyle w:val="TextBody"/>
        <w:bidi w:val="0"/>
        <w:spacing w:lineRule="auto" w:line="288" w:before="0" w:after="240"/>
        <w:ind w:left="0" w:right="0" w:hanging="720"/>
        <w:jc w:val="both"/>
        <w:rPr/>
      </w:pPr>
      <w:bookmarkStart w:id="177" w:name="ie4fdba53e7454405aeff02c0435d0743"/>
      <w:bookmarkEnd w:id="177"/>
      <w:r>
        <w:rPr>
          <w:rFonts w:ascii="Times New Roman;serif" w:hAnsi="Times New Roman;serif"/>
          <w:b w:val="false"/>
          <w:color w:val="000000"/>
          <w:sz w:val="24"/>
        </w:rPr>
        <w:t>Section 4.10    </w:t>
      </w:r>
      <w:r>
        <w:rPr>
          <w:rFonts w:ascii="Times New Roman;serif" w:hAnsi="Times New Roman;serif"/>
          <w:b w:val="false"/>
          <w:i/>
          <w:color w:val="000000"/>
          <w:sz w:val="24"/>
        </w:rPr>
        <w:t xml:space="preserve">Corporate and Organizational Existence.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Article 5 hereof, except in the case of a Permitted C-Corp. Conversion, each of the Issuers shall, and shall cause the Guarantors to, do or cause to be done all things necessary to preserve and keep in full force and effect: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8" w:name="if6bb4b5f486d41edbddafa34aaf942e8"/>
      <w:bookmarkEnd w:id="178"/>
      <w:r>
        <w:rPr>
          <w:rFonts w:ascii="Times New Roman;serif" w:hAnsi="Times New Roman;serif"/>
          <w:b w:val="false"/>
          <w:color w:val="000000"/>
          <w:sz w:val="24"/>
        </w:rPr>
        <w:t xml:space="preserve">(a)    its corporate or limited liability company existence, and the corporate, partnership or other existence of each of its Subsidiaries, in accordance with their respective organizational documents (as the same may be amended from time to time); and </w:t>
      </w:r>
    </w:p>
    <w:p>
      <w:pPr>
        <w:pStyle w:val="TextBody"/>
        <w:bidi w:val="0"/>
        <w:spacing w:lineRule="auto" w:line="288" w:before="0" w:after="240"/>
        <w:ind w:left="0" w:right="0" w:firstLine="720"/>
        <w:jc w:val="both"/>
        <w:rPr/>
      </w:pPr>
      <w:bookmarkStart w:id="179" w:name="i2aff9587e505440993099f23d5e15c69"/>
      <w:bookmarkEnd w:id="179"/>
      <w:r>
        <w:rPr>
          <w:rFonts w:ascii="Times New Roman;serif" w:hAnsi="Times New Roman;serif"/>
          <w:b w:val="false"/>
          <w:color w:val="000000"/>
          <w:sz w:val="24"/>
        </w:rPr>
        <w:t xml:space="preserve">(b)    the rights (charter and statutory), licenses and franchises of the Issuers and their respective Subsidiaries;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Issuers and the Guarantors shall not be required to preserve any such right, license or franchise, or the corporate, partnership or other existence of any of their respective Subsidiaries (other than the Issuers), if the Board of Directors of Wynn Resorts Capital or the applicable Guarantor shall determine that the preservation thereof is no longer desirable in the conduct of the business of Wynn Resorts Finance and the Guarantors, taken as a whole, and that the loss thereof is not adverse in any material respect to the Holders of the Notes. </w:t>
      </w:r>
    </w:p>
    <w:p>
      <w:pPr>
        <w:pStyle w:val="TextBody"/>
        <w:bidi w:val="0"/>
        <w:spacing w:lineRule="auto" w:line="288" w:before="0" w:after="240"/>
        <w:ind w:left="0" w:right="0" w:hanging="720"/>
        <w:jc w:val="both"/>
        <w:rPr/>
      </w:pPr>
      <w:bookmarkStart w:id="180" w:name="i7b7146c47aa247afab3740c0c145d649"/>
      <w:bookmarkEnd w:id="180"/>
      <w:r>
        <w:rPr>
          <w:rFonts w:ascii="Times New Roman;serif" w:hAnsi="Times New Roman;serif"/>
          <w:b w:val="false"/>
          <w:color w:val="000000"/>
          <w:sz w:val="24"/>
        </w:rPr>
        <w:t>Section 4.11    </w:t>
      </w:r>
      <w:r>
        <w:rPr>
          <w:rFonts w:ascii="Times New Roman;serif" w:hAnsi="Times New Roman;serif"/>
          <w:b w:val="false"/>
          <w:i/>
          <w:color w:val="000000"/>
          <w:sz w:val="24"/>
        </w:rPr>
        <w:t xml:space="preserve">Offer to Purchase Upon Change of Control. </w:t>
      </w:r>
    </w:p>
    <w:p>
      <w:pPr>
        <w:pStyle w:val="TextBody"/>
        <w:bidi w:val="0"/>
        <w:spacing w:lineRule="auto" w:line="288" w:before="0" w:after="240"/>
        <w:ind w:left="0" w:right="0" w:firstLine="720"/>
        <w:jc w:val="both"/>
        <w:rPr/>
      </w:pPr>
      <w:bookmarkStart w:id="181" w:name="i2b12c23b018e45068f2c30002f21b30c"/>
      <w:bookmarkEnd w:id="181"/>
      <w:r>
        <w:rPr>
          <w:rFonts w:ascii="Times New Roman;serif" w:hAnsi="Times New Roman;serif"/>
          <w:b w:val="false"/>
          <w:color w:val="000000"/>
          <w:sz w:val="24"/>
        </w:rPr>
        <w:t>(a)    Upon the occurrence of a Change of Control Triggering Event, the Issuers shall make an offer (a “</w:t>
      </w:r>
      <w:r>
        <w:rPr>
          <w:rFonts w:ascii="Times New Roman;serif" w:hAnsi="Times New Roman;serif"/>
          <w:b w:val="false"/>
          <w:i/>
          <w:color w:val="000000"/>
          <w:sz w:val="24"/>
          <w:u w:val="single"/>
        </w:rPr>
        <w:t>Change of Control Offer</w:t>
      </w:r>
      <w:r>
        <w:rPr>
          <w:color w:val="000000"/>
        </w:rPr>
        <w:t>”</w:t>
      </w:r>
      <w:r>
        <w:rPr>
          <w:rFonts w:ascii="Times New Roman;serif" w:hAnsi="Times New Roman;serif"/>
          <w:b w:val="false"/>
          <w:color w:val="000000"/>
          <w:sz w:val="24"/>
        </w:rPr>
        <w:t>) to each Holder to repurchase all or any part (equal to $2,000 or an integral multiple of $1,000 in excess of $2,000) of each Holder’s Notes at a purchase price equal to 101% of the aggregate principal amount thereof plus accrued and unpaid interest on the Notes purchased, if any, to, but not including, the date of purchase (the “</w:t>
      </w:r>
      <w:r>
        <w:rPr>
          <w:rFonts w:ascii="Times New Roman;serif" w:hAnsi="Times New Roman;serif"/>
          <w:b w:val="false"/>
          <w:i/>
          <w:color w:val="000000"/>
          <w:sz w:val="24"/>
          <w:u w:val="single"/>
        </w:rPr>
        <w:t>Change of Control Payment</w:t>
      </w:r>
      <w:r>
        <w:rPr>
          <w:color w:val="000000"/>
        </w:rPr>
        <w:t>”</w:t>
      </w:r>
      <w:r>
        <w:rPr>
          <w:rFonts w:ascii="Times New Roman;serif" w:hAnsi="Times New Roman;serif"/>
          <w:b w:val="false"/>
          <w:color w:val="000000"/>
          <w:sz w:val="24"/>
        </w:rPr>
        <w:t xml:space="preserve">). Within ten days following any Change of Control Triggering Event, the Issuers shall deliver a notice to each Holder describing the transaction or transactions that constitute the Change of Control Triggering Event and stating: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2" w:name="i5ac457652fa24ce68e2ba401623a1c00"/>
      <w:bookmarkEnd w:id="182"/>
      <w:r>
        <w:rPr>
          <w:rFonts w:ascii="Times New Roman;serif" w:hAnsi="Times New Roman;serif"/>
          <w:b w:val="false"/>
          <w:color w:val="000000"/>
          <w:sz w:val="24"/>
        </w:rPr>
        <w:t xml:space="preserve">(1)    that the Change of Control Offer is being made pursuant to this Section 4.11 and that all Notes tendered shall be accepted for payment; </w:t>
      </w:r>
    </w:p>
    <w:p>
      <w:pPr>
        <w:pStyle w:val="TextBody"/>
        <w:bidi w:val="0"/>
        <w:spacing w:lineRule="auto" w:line="288" w:before="0" w:after="240"/>
        <w:ind w:left="0" w:right="0" w:firstLine="720"/>
        <w:jc w:val="both"/>
        <w:rPr/>
      </w:pPr>
      <w:bookmarkStart w:id="183" w:name="i10bd5d3822f1433b8d85135a114d28da"/>
      <w:bookmarkEnd w:id="183"/>
      <w:r>
        <w:rPr>
          <w:rFonts w:ascii="Times New Roman;serif" w:hAnsi="Times New Roman;serif"/>
          <w:b w:val="false"/>
          <w:color w:val="000000"/>
          <w:sz w:val="24"/>
        </w:rPr>
        <w:t>(2)    the purchase price and the purchase date, which shall be no earlier than 15 days and no later than 60 days from the date such notice is delivered (the “</w:t>
      </w:r>
      <w:r>
        <w:rPr>
          <w:rFonts w:ascii="Times New Roman;serif" w:hAnsi="Times New Roman;serif"/>
          <w:b w:val="false"/>
          <w:i/>
          <w:color w:val="000000"/>
          <w:sz w:val="24"/>
          <w:u w:val="single"/>
        </w:rPr>
        <w:t>Change of Control Payment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4" w:name="i37a6d7197fa24d0ea53fa8e881e884ce"/>
      <w:bookmarkEnd w:id="184"/>
      <w:r>
        <w:rPr>
          <w:rFonts w:ascii="Times New Roman;serif" w:hAnsi="Times New Roman;serif"/>
          <w:b w:val="false"/>
          <w:color w:val="000000"/>
          <w:sz w:val="24"/>
        </w:rPr>
        <w:t xml:space="preserve">(3)    that any Note not tendered shall continue to accrue interest;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5" w:name="i0ed2359753294654bb8cedf62395e864"/>
      <w:bookmarkEnd w:id="185"/>
      <w:r>
        <w:rPr>
          <w:rFonts w:ascii="Times New Roman;serif" w:hAnsi="Times New Roman;serif"/>
          <w:b w:val="false"/>
          <w:color w:val="000000"/>
          <w:sz w:val="24"/>
        </w:rPr>
        <w:t xml:space="preserve">(4)    that, unless the Issuers default in the payment of the Change of Control Payment, all Notes accepted for payment pursuant to the Change of Control Offer shall cease to accrue interest after the Change of Control Payment Date;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6" w:name="if1eb257b4b5f4d909f9dea1054c79006"/>
      <w:bookmarkEnd w:id="186"/>
      <w:r>
        <w:rPr>
          <w:rFonts w:ascii="Times New Roman;serif" w:hAnsi="Times New Roman;serif"/>
          <w:b w:val="false"/>
          <w:color w:val="000000"/>
          <w:sz w:val="24"/>
        </w:rPr>
        <w:t xml:space="preserve">(5)    that Holders electing to have any Notes purchased pursuant to a Change of Control Offer shall be required to surrender the Notes, with the form entitled “Option of Holder to Elect Purchase” attached to the Notes completed, or transfer by book-entry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transfer, to the Paying Agent at the address specified in the notice prior to the close of business on the third Business Day preceding the Change of Control Payment Date;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7" w:name="i27b1d52589164332993437b3fdcc6c36"/>
      <w:bookmarkEnd w:id="187"/>
      <w:r>
        <w:rPr>
          <w:rFonts w:ascii="Times New Roman;serif" w:hAnsi="Times New Roman;serif"/>
          <w:b w:val="false"/>
          <w:color w:val="000000"/>
          <w:sz w:val="24"/>
        </w:rPr>
        <w:t xml:space="preserve">(6)    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8" w:name="i708054dfb5d943a6ac44f30288b8c2e1"/>
      <w:bookmarkEnd w:id="188"/>
      <w:r>
        <w:rPr>
          <w:rFonts w:ascii="Times New Roman;serif" w:hAnsi="Times New Roman;serif"/>
          <w:b w:val="false"/>
          <w:color w:val="000000"/>
          <w:sz w:val="24"/>
        </w:rPr>
        <w:t>(7)    that Holders whose Notes are being purchased only in part shall be issued new Notes equal in principal amount to the unpurchased portion of the Notes surrendered, which unpurchased portion must be equal to $2,000 or in integral multiples of $1,000 in excess of $2,000.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shall comply with the requirements of Rule 14e-1 under the Exchange Act and any other securities laws and regulations thereunder to the extent those laws and regulations are applicable in connection with the purchase of the Notes as a result of a Change of Control. To the extent that the provisions of any securities laws or regulations conflict with the provisions of Section 4.11 of this Indenture, the Issuers shall comply with the applicable securities laws and regulations and shall not be deemed to have breached their obligations under this Section 4.11 by virtue of such compliance.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9" w:name="i9f177f95d6cd47a7b471dff55bcbcd00"/>
      <w:bookmarkEnd w:id="189"/>
      <w:r>
        <w:rPr>
          <w:rFonts w:ascii="Times New Roman;serif" w:hAnsi="Times New Roman;serif"/>
          <w:b w:val="false"/>
          <w:color w:val="000000"/>
          <w:sz w:val="24"/>
        </w:rPr>
        <w:t xml:space="preserve">(b)    On the Change of Control Payment Date, the Issuers shall, to the extent lawful: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0" w:name="ida54a63767ac4ede8dea35f3c2686e38"/>
      <w:bookmarkEnd w:id="190"/>
      <w:r>
        <w:rPr>
          <w:rFonts w:ascii="Times New Roman;serif" w:hAnsi="Times New Roman;serif"/>
          <w:b w:val="false"/>
          <w:color w:val="000000"/>
          <w:sz w:val="24"/>
        </w:rPr>
        <w:t xml:space="preserve">(1)    accept for payment all Notes or portions thereof properly tendered pursuant to the Change of Control Offer;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1" w:name="ibef76ee1743c4b1b8d2c65aa49e0a886"/>
      <w:bookmarkEnd w:id="191"/>
      <w:r>
        <w:rPr>
          <w:rFonts w:ascii="Times New Roman;serif" w:hAnsi="Times New Roman;serif"/>
          <w:b w:val="false"/>
          <w:color w:val="000000"/>
          <w:sz w:val="24"/>
        </w:rPr>
        <w:t xml:space="preserve">(2)    deposit with the Paying Agent an amount equal to the Change of Control Payment in respect of all Notes or portions of Notes properly tendered;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2" w:name="i71732438b38e4d598154a02a3c591a54"/>
      <w:bookmarkEnd w:id="192"/>
      <w:r>
        <w:rPr>
          <w:rFonts w:ascii="Times New Roman;serif" w:hAnsi="Times New Roman;serif"/>
          <w:b w:val="false"/>
          <w:color w:val="000000"/>
          <w:sz w:val="24"/>
        </w:rPr>
        <w:t>(3)    deliver or cause to be delivered to the Trustee the Notes properly accepted together with an Officers’ Certificate stating the aggregate principal amount of Notes or portions of Notes being purchased by the Issuers.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Paying Agent shall promptly deliver to each Holder of Notes properly tendered the Change of Control Payment for such Notes, and the Trustee shall promptly authenticate and deliver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93" w:name="i9bdcdfba913f4831a9cd767e52e6e204"/>
      <w:bookmarkEnd w:id="193"/>
      <w:r>
        <w:rPr>
          <w:rFonts w:ascii="Times New Roman;serif" w:hAnsi="Times New Roman;serif"/>
          <w:b w:val="false"/>
          <w:color w:val="000000"/>
          <w:sz w:val="24"/>
        </w:rPr>
        <w:t xml:space="preserve">(c)    Notwithstanding anything to the contrary in this Section 4.11, the Issuers shall not be required to make a Change of Control Offer upon a Change of Control Triggering Event if (1) a third party makes the Change of Control Offer in the manner, at the times and otherwise in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compliance with the requirements set forth in this Section 4.11 and purchases all Notes properly tendered and not withdrawn under the Change of Control Offer, or (2) a notice of redemption has been given pursuant to this Indenture as described above under Section 3.03 hereof, unless and until there is a default in payment of the applicable redemption price. Notwithstanding anything to the contrary contained herein, a Change of Control Offer may be made in advance of a Change of Control Triggering Event, conditioned upon the consummation of such Change of Control, if a definitive agreement is in place for the Change of Control at the time the Change of Control Offer is made.</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76" w:before="0" w:after="240"/>
        <w:ind w:left="0" w:right="0" w:firstLine="720"/>
        <w:jc w:val="both"/>
        <w:rPr>
          <w:rFonts w:ascii="Times New Roman;serif" w:hAnsi="Times New Roman;serif"/>
          <w:b w:val="false"/>
          <w:color w:val="000000"/>
          <w:sz w:val="24"/>
        </w:rPr>
      </w:pPr>
      <w:bookmarkStart w:id="194" w:name="iff130e51430f4d0c880aae4dbcafaf4c"/>
      <w:bookmarkEnd w:id="194"/>
      <w:r>
        <w:rPr>
          <w:rFonts w:ascii="Times New Roman;serif" w:hAnsi="Times New Roman;serif"/>
          <w:b w:val="false"/>
          <w:color w:val="000000"/>
          <w:sz w:val="24"/>
        </w:rPr>
        <w:t>(d)    If Holders of not less than 90% in aggregate principal amount of the outstanding Notes properly tender and do not withdraw such Notes in a Change of Control Offer and the Issuers, or any third party making a Change of Control Offer in lieu of the Issuers as described in Section 4.11(c),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not including, the date of redemption (subject to the right of Holders of record of Notes on the relevant record date to receive interest due on the relevant interest payment date).</w:t>
      </w:r>
    </w:p>
    <w:p>
      <w:pPr>
        <w:pStyle w:val="TextBody"/>
        <w:bidi w:val="0"/>
        <w:spacing w:lineRule="auto" w:line="288" w:before="0" w:after="240"/>
        <w:jc w:val="center"/>
        <w:rPr>
          <w:rFonts w:ascii="Times New Roman;serif" w:hAnsi="Times New Roman;serif"/>
          <w:b/>
          <w:color w:val="000000"/>
          <w:sz w:val="24"/>
        </w:rPr>
      </w:pPr>
      <w:bookmarkStart w:id="195" w:name="iee7ae77bc4f54ebe9037f65b3af1fa76"/>
      <w:bookmarkEnd w:id="195"/>
      <w:r>
        <w:rPr>
          <w:rFonts w:ascii="Times New Roman;serif" w:hAnsi="Times New Roman;serif"/>
          <w:b/>
          <w:color w:val="000000"/>
          <w:sz w:val="24"/>
        </w:rPr>
        <w:t>ARTICLE 5.</w:t>
        <w:br/>
        <w:t xml:space="preserve">SUCCESSORS </w:t>
      </w:r>
    </w:p>
    <w:p>
      <w:pPr>
        <w:pStyle w:val="TextBody"/>
        <w:bidi w:val="0"/>
        <w:spacing w:lineRule="auto" w:line="288" w:before="0" w:after="240"/>
        <w:ind w:left="0" w:right="0" w:hanging="720"/>
        <w:jc w:val="both"/>
        <w:rPr/>
      </w:pPr>
      <w:bookmarkStart w:id="196" w:name="iac3e41a0997e41fb963e7666fb0023ad"/>
      <w:bookmarkEnd w:id="196"/>
      <w:r>
        <w:rPr>
          <w:rFonts w:ascii="Times New Roman;serif" w:hAnsi="Times New Roman;serif"/>
          <w:b w:val="false"/>
          <w:color w:val="000000"/>
          <w:sz w:val="24"/>
        </w:rPr>
        <w:t>Section 5.01    </w:t>
      </w:r>
      <w:r>
        <w:rPr>
          <w:rFonts w:ascii="Times New Roman;serif" w:hAnsi="Times New Roman;serif"/>
          <w:b w:val="false"/>
          <w:i/>
          <w:color w:val="000000"/>
          <w:sz w:val="24"/>
        </w:rPr>
        <w:t>Merger, Consolidation, or Sale of Assets.</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7" w:name="i8b339aa7bb5a4c3aa70b49a7a47520d6"/>
      <w:bookmarkEnd w:id="197"/>
      <w:r>
        <w:rPr>
          <w:rFonts w:ascii="Times New Roman;serif" w:hAnsi="Times New Roman;serif"/>
          <w:b w:val="false"/>
          <w:color w:val="000000"/>
          <w:sz w:val="24"/>
        </w:rPr>
        <w:t xml:space="preserve">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8" w:name="ie0420a8b42bd4a8690e75445306f8a35"/>
      <w:bookmarkEnd w:id="198"/>
      <w:r>
        <w:rPr>
          <w:rFonts w:ascii="Times New Roman;serif" w:hAnsi="Times New Roman;serif"/>
          <w:b w:val="false"/>
          <w:color w:val="000000"/>
          <w:sz w:val="24"/>
        </w:rPr>
        <w:t xml:space="preserve">(a)    either (1) such Issuer is the surviving entity or (2)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 </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199" w:name="i26011c7b9b964ec6ae162399cf644d6a"/>
      <w:bookmarkEnd w:id="199"/>
      <w:r>
        <w:rPr>
          <w:rFonts w:ascii="Times New Roman;serif" w:hAnsi="Times New Roman;serif"/>
          <w:b w:val="false"/>
          <w:color w:val="000000"/>
          <w:sz w:val="24"/>
        </w:rPr>
        <w:t>(b)    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200" w:name="i1b898119ab7740a394cd4e6ce0247cc7"/>
      <w:bookmarkEnd w:id="200"/>
      <w:r>
        <w:rPr>
          <w:rFonts w:ascii="Times New Roman;serif" w:hAnsi="Times New Roman;serif"/>
          <w:b w:val="false"/>
          <w:color w:val="000000"/>
          <w:sz w:val="24"/>
        </w:rPr>
        <w:t>(c)    immediately after such transaction, no Default or Event of Default exists.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no Issuer may, directly or indirectly, lease all or substantially all of its properties or assets, taken as a whole, in one or more related transactions, to any other Person.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provisions of this Section 5.01, Wynn Resorts Finance or any of the Guarantors that is not a subchapter “C” corporation is permitted to convert into a corporation pursuant to a Permitted C-Corp. Conversion.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ind w:left="0" w:right="0" w:hanging="720"/>
        <w:jc w:val="both"/>
        <w:rPr/>
      </w:pPr>
      <w:bookmarkStart w:id="201" w:name="i5a5a687c2aac425092f456afe01c81d5"/>
      <w:bookmarkEnd w:id="201"/>
      <w:r>
        <w:rPr>
          <w:rFonts w:ascii="Times New Roman;serif" w:hAnsi="Times New Roman;serif"/>
          <w:b w:val="false"/>
          <w:color w:val="000000"/>
          <w:sz w:val="24"/>
        </w:rPr>
        <w:t>Section 5.02    </w:t>
      </w:r>
      <w:r>
        <w:rPr>
          <w:rFonts w:ascii="Times New Roman;serif" w:hAnsi="Times New Roman;serif"/>
          <w:b w:val="false"/>
          <w:i/>
          <w:color w:val="000000"/>
          <w:sz w:val="24"/>
        </w:rPr>
        <w:t>Successor Corporation Substituted.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pStyle w:val="TextBody"/>
        <w:bidi w:val="0"/>
        <w:spacing w:lineRule="auto" w:line="288" w:before="0" w:after="240"/>
        <w:jc w:val="center"/>
        <w:rPr>
          <w:rFonts w:ascii="Times New Roman;serif" w:hAnsi="Times New Roman;serif"/>
          <w:b/>
          <w:color w:val="000000"/>
          <w:sz w:val="24"/>
        </w:rPr>
      </w:pPr>
      <w:bookmarkStart w:id="202" w:name="i4747aa94ad8c46e397ea965ab66e58f6"/>
      <w:bookmarkEnd w:id="202"/>
      <w:r>
        <w:rPr>
          <w:rFonts w:ascii="Times New Roman;serif" w:hAnsi="Times New Roman;serif"/>
          <w:b/>
          <w:color w:val="000000"/>
          <w:sz w:val="24"/>
        </w:rPr>
        <w:t>ARTICLE 6.</w:t>
        <w:br/>
        <w:t xml:space="preserve">DEFAULTS AND REMEDIES </w:t>
      </w:r>
    </w:p>
    <w:p>
      <w:pPr>
        <w:pStyle w:val="TextBody"/>
        <w:bidi w:val="0"/>
        <w:spacing w:lineRule="auto" w:line="288" w:before="0" w:after="240"/>
        <w:ind w:left="0" w:right="0" w:hanging="720"/>
        <w:jc w:val="both"/>
        <w:rPr/>
      </w:pPr>
      <w:bookmarkStart w:id="203" w:name="i02db4231184244b3bb7e0735e32271bd"/>
      <w:bookmarkEnd w:id="203"/>
      <w:r>
        <w:rPr>
          <w:rFonts w:ascii="Times New Roman;serif" w:hAnsi="Times New Roman;serif"/>
          <w:b w:val="false"/>
          <w:color w:val="000000"/>
          <w:sz w:val="24"/>
        </w:rPr>
        <w:t>Section 6.01    </w:t>
      </w:r>
      <w:r>
        <w:rPr>
          <w:rFonts w:ascii="Times New Roman;serif" w:hAnsi="Times New Roman;serif"/>
          <w:b w:val="false"/>
          <w:i/>
          <w:color w:val="000000"/>
          <w:sz w:val="24"/>
        </w:rPr>
        <w:t>Events of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of the following is an “Event of Default”: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4" w:name="if74f0a8e6e274717b28bb7d48c294bf4"/>
      <w:bookmarkEnd w:id="204"/>
      <w:r>
        <w:rPr>
          <w:rFonts w:ascii="Times New Roman;serif" w:hAnsi="Times New Roman;serif"/>
          <w:b w:val="false"/>
          <w:color w:val="000000"/>
          <w:sz w:val="24"/>
        </w:rPr>
        <w:t>(a)    default for 30 days in the payment when due of interest on the Notes;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5" w:name="if2d0d7eb73244e68ab310e14d7f24a75"/>
      <w:bookmarkEnd w:id="205"/>
      <w:r>
        <w:rPr>
          <w:rFonts w:ascii="Times New Roman;serif" w:hAnsi="Times New Roman;serif"/>
          <w:b w:val="false"/>
          <w:color w:val="000000"/>
          <w:sz w:val="24"/>
        </w:rPr>
        <w:t>(b)    default in the payment when due (at maturity, upon redemption, repurchase or otherwise) of the principal of, or premium, if any, on, the Notes;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6" w:name="i2731a06b638d431e84d21bab2a627286"/>
      <w:bookmarkEnd w:id="206"/>
      <w:r>
        <w:rPr>
          <w:rFonts w:ascii="Times New Roman;serif" w:hAnsi="Times New Roman;serif"/>
          <w:b w:val="false"/>
          <w:color w:val="000000"/>
          <w:sz w:val="24"/>
        </w:rPr>
        <w:t>(c)    failure by Wynn Resorts Capital, Wynn Resorts Finance or any Guarantor: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7" w:name="i156b5035b46344f29b696cbb65c08f63"/>
      <w:bookmarkEnd w:id="207"/>
      <w:r>
        <w:rPr>
          <w:rFonts w:ascii="Times New Roman;serif" w:hAnsi="Times New Roman;serif"/>
          <w:b w:val="false"/>
          <w:color w:val="000000"/>
          <w:sz w:val="24"/>
        </w:rPr>
        <w:t xml:space="preserve">(1)    to comply with any payment obligations (including, without limitation, obligations as to the timing or amount of such payments) described under Section 4.11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8" w:name="ie9132eb41c3d4f219e2f9ba323fce75c"/>
      <w:bookmarkEnd w:id="208"/>
      <w:r>
        <w:rPr>
          <w:rFonts w:ascii="Times New Roman;serif" w:hAnsi="Times New Roman;serif"/>
          <w:b w:val="false"/>
          <w:color w:val="000000"/>
          <w:sz w:val="24"/>
        </w:rPr>
        <w:t xml:space="preserve">(2)    to comply with Section 5.01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9" w:name="ic0db87afc4b4474b81f471f75f8ef730"/>
      <w:bookmarkEnd w:id="209"/>
      <w:r>
        <w:rPr>
          <w:rFonts w:ascii="Times New Roman;serif" w:hAnsi="Times New Roman;serif"/>
          <w:b w:val="false"/>
          <w:color w:val="000000"/>
          <w:sz w:val="24"/>
        </w:rPr>
        <w:t xml:space="preserve">(d)    failure by Wynn Resorts Capital, Wynn Resorts Finance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0" w:name="i6a9fc4459c4647be9e628f7c7b69f34b"/>
      <w:bookmarkEnd w:id="210"/>
      <w:r>
        <w:rPr>
          <w:rFonts w:ascii="Times New Roman;serif" w:hAnsi="Times New Roman;serif"/>
          <w:b w:val="false"/>
          <w:color w:val="000000"/>
          <w:sz w:val="24"/>
        </w:rPr>
        <w:t xml:space="preserve">(e)    default under any mortgage, indenture or instrument under which there may be issued or by which there may be secured or evidenced any Indebtedness for money borrowed by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Wynn Resorts Finance or any Guarantor (or the payment of which is guaranteed by Wynn Resorts Finance or any of the Guarantors) whether such Indebtedness or guarantee exists on the Issue Date, or is created after the Issue Date,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this Indenture;</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1" w:name="i00ccd30a754a4e6a8109b2c319cc8e0e"/>
      <w:bookmarkEnd w:id="211"/>
      <w:r>
        <w:rPr>
          <w:rFonts w:ascii="Times New Roman;serif" w:hAnsi="Times New Roman;serif"/>
          <w:b w:val="false"/>
          <w:color w:val="000000"/>
          <w:sz w:val="24"/>
        </w:rPr>
        <w:t xml:space="preserve">(f)    failure by Wynn Resorts Capital, Wynn Resorts Finance or any Guarantor to pay final non-appealable judgments (not paid or covered by insurance as to which the relevant insurance company has not denied responsibility) aggregating in excess of $125.0 million, which judgments are not paid, bonded, discharged or stayed for a period of 60 days;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2" w:name="i6f7ca593078f4234b1458281e9913d56"/>
      <w:bookmarkEnd w:id="212"/>
      <w:r>
        <w:rPr>
          <w:rFonts w:ascii="Times New Roman;serif" w:hAnsi="Times New Roman;serif"/>
          <w:b w:val="false"/>
          <w:color w:val="000000"/>
          <w:sz w:val="24"/>
        </w:rPr>
        <w:t xml:space="preserve">(g)    either Issuer or any Guarantor: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3" w:name="i93bd6c48cf7a4af595f622ead301abff"/>
      <w:bookmarkEnd w:id="213"/>
      <w:r>
        <w:rPr>
          <w:rFonts w:ascii="Times New Roman;serif" w:hAnsi="Times New Roman;serif"/>
          <w:b w:val="false"/>
          <w:color w:val="000000"/>
          <w:sz w:val="24"/>
        </w:rPr>
        <w:t xml:space="preserve">(1)    commences a voluntary case,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4" w:name="i3d8d0a6faff4488caa7023db08d600a0"/>
      <w:bookmarkEnd w:id="214"/>
      <w:r>
        <w:rPr>
          <w:rFonts w:ascii="Times New Roman;serif" w:hAnsi="Times New Roman;serif"/>
          <w:b w:val="false"/>
          <w:color w:val="000000"/>
          <w:sz w:val="24"/>
        </w:rPr>
        <w:t xml:space="preserve">(2)    consents to the entry of an order for relief against it in an involuntary case,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5" w:name="i5bacd1bc158b401b9cce0b822aaf19a0"/>
      <w:bookmarkEnd w:id="215"/>
      <w:r>
        <w:rPr>
          <w:rFonts w:ascii="Times New Roman;serif" w:hAnsi="Times New Roman;serif"/>
          <w:b w:val="false"/>
          <w:color w:val="000000"/>
          <w:sz w:val="24"/>
        </w:rPr>
        <w:t xml:space="preserve">(3)    consents to the appointment of a custodian of it or for all or substantially all of its property,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6" w:name="i69b09246c3a84b599e3a0b5a15f356a9"/>
      <w:bookmarkEnd w:id="216"/>
      <w:r>
        <w:rPr>
          <w:rFonts w:ascii="Times New Roman;serif" w:hAnsi="Times New Roman;serif"/>
          <w:b w:val="false"/>
          <w:color w:val="000000"/>
          <w:sz w:val="24"/>
        </w:rPr>
        <w:t xml:space="preserve">(4)    makes a general assignment for the benefit of its creditors,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7" w:name="i4fb70990415a40919e8a2ef9d941f0eb"/>
      <w:bookmarkEnd w:id="217"/>
      <w:r>
        <w:rPr>
          <w:rFonts w:ascii="Times New Roman;serif" w:hAnsi="Times New Roman;serif"/>
          <w:b w:val="false"/>
          <w:color w:val="000000"/>
          <w:sz w:val="24"/>
        </w:rPr>
        <w:t xml:space="preserve">(5)    generally is not paying its debts as they become due;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8" w:name="i95df48e6065d4dfc9a25eb4ac6bae18c"/>
      <w:bookmarkEnd w:id="218"/>
      <w:r>
        <w:rPr>
          <w:rFonts w:ascii="Times New Roman;serif" w:hAnsi="Times New Roman;serif"/>
          <w:b w:val="false"/>
          <w:color w:val="000000"/>
          <w:sz w:val="24"/>
        </w:rPr>
        <w:t xml:space="preserve">(h)    a court of competent jurisdiction enters an order or decree under any Bankruptcy Law that: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9" w:name="i634280ce29e64ef2a2434ddad8ed25aa"/>
      <w:bookmarkEnd w:id="219"/>
      <w:r>
        <w:rPr>
          <w:rFonts w:ascii="Times New Roman;serif" w:hAnsi="Times New Roman;serif"/>
          <w:b w:val="false"/>
          <w:color w:val="000000"/>
          <w:sz w:val="24"/>
        </w:rPr>
        <w:t xml:space="preserve">(1)    is for relief against either Issuer or any Guarantor in an involuntary case;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0" w:name="ia6ce47d6276c43a99653ca6224a86e60"/>
      <w:bookmarkEnd w:id="220"/>
      <w:r>
        <w:rPr>
          <w:rFonts w:ascii="Times New Roman;serif" w:hAnsi="Times New Roman;serif"/>
          <w:b w:val="false"/>
          <w:color w:val="000000"/>
          <w:sz w:val="24"/>
        </w:rPr>
        <w:t xml:space="preserve">(2)    appoints a custodian of either Issuer or any Guarantor;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1" w:name="i81b4e5c67d3f44b786fb013f7d68af7f"/>
      <w:bookmarkEnd w:id="221"/>
      <w:r>
        <w:rPr>
          <w:rFonts w:ascii="Times New Roman;serif" w:hAnsi="Times New Roman;serif"/>
          <w:b w:val="false"/>
          <w:color w:val="000000"/>
          <w:sz w:val="24"/>
        </w:rPr>
        <w:t xml:space="preserve">(3)    orders the liquidation of either Issuer or any Guarantor; </w:t>
      </w:r>
    </w:p>
    <w:p>
      <w:pPr>
        <w:pStyle w:val="TextBody"/>
        <w:bidi w:val="0"/>
        <w:spacing w:lineRule="auto" w:line="288" w:before="0" w:after="240"/>
        <w:jc w:val="both"/>
        <w:rPr/>
      </w:pPr>
      <w:r>
        <w:rPr>
          <w:rFonts w:ascii="Times New Roman;serif" w:hAnsi="Times New Roman;serif"/>
          <w:b w:val="false"/>
          <w:color w:val="000000"/>
          <w:sz w:val="24"/>
        </w:rPr>
        <w:t xml:space="preserve">and the order or decree remains unstayed and in effect for 60 consecutive days;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if a Default for a failure to report or failure to deliver a required certificate in connection with another default (the “</w:t>
      </w:r>
      <w:r>
        <w:rPr>
          <w:rFonts w:ascii="Times New Roman;serif" w:hAnsi="Times New Roman;serif"/>
          <w:b w:val="false"/>
          <w:i/>
          <w:color w:val="000000"/>
          <w:sz w:val="24"/>
        </w:rPr>
        <w:t>Initial Default</w:t>
      </w:r>
      <w:r>
        <w:rPr>
          <w:color w:val="000000"/>
        </w:rPr>
        <w:t>”</w:t>
      </w:r>
      <w:r>
        <w:rPr>
          <w:rFonts w:ascii="Times New Roman;serif" w:hAnsi="Times New Roman;serif"/>
          <w:b w:val="false"/>
          <w:color w:val="000000"/>
          <w:sz w:val="24"/>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pStyle w:val="TextBody"/>
        <w:bidi w:val="0"/>
        <w:spacing w:lineRule="auto" w:line="288" w:before="0" w:after="240"/>
        <w:ind w:left="0" w:right="0" w:hanging="720"/>
        <w:jc w:val="both"/>
        <w:rPr/>
      </w:pPr>
      <w:bookmarkStart w:id="222" w:name="i3094a485bd254e8daefbc494d01a210d"/>
      <w:bookmarkEnd w:id="222"/>
      <w:r>
        <w:rPr>
          <w:rFonts w:ascii="Times New Roman;serif" w:hAnsi="Times New Roman;serif"/>
          <w:b w:val="false"/>
          <w:color w:val="000000"/>
          <w:sz w:val="24"/>
        </w:rPr>
        <w:t>Section 6.02    </w:t>
      </w:r>
      <w:r>
        <w:rPr>
          <w:rFonts w:ascii="Times New Roman;serif" w:hAnsi="Times New Roman;serif"/>
          <w:b w:val="false"/>
          <w:i/>
          <w:color w:val="000000"/>
          <w:sz w:val="24"/>
        </w:rPr>
        <w:t>Acceleration.</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case of an Event of Default specified in clause (g) or (h)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pStyle w:val="TextBody"/>
        <w:bidi w:val="0"/>
        <w:spacing w:lineRule="auto" w:line="288" w:before="0" w:after="240"/>
        <w:ind w:left="0" w:right="0" w:hanging="720"/>
        <w:jc w:val="both"/>
        <w:rPr/>
      </w:pPr>
      <w:bookmarkStart w:id="223" w:name="i580e3b06615945a6972bbfc8c9cec669"/>
      <w:bookmarkEnd w:id="223"/>
      <w:r>
        <w:rPr>
          <w:rFonts w:ascii="Times New Roman;serif" w:hAnsi="Times New Roman;serif"/>
          <w:b w:val="false"/>
          <w:color w:val="000000"/>
          <w:sz w:val="24"/>
        </w:rPr>
        <w:t>Section 6.03    </w:t>
      </w:r>
      <w:r>
        <w:rPr>
          <w:rFonts w:ascii="Times New Roman;serif" w:hAnsi="Times New Roman;serif"/>
          <w:b w:val="false"/>
          <w:i/>
          <w:color w:val="000000"/>
          <w:sz w:val="24"/>
        </w:rPr>
        <w:t>Other Remedies.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occurs and is continuing, the Trustee may pursue any available remedy to collect the payment of principal, premium, if any, and interest on the Notes or to enforce the performance of any provision of the Notes or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lineRule="auto" w:line="288" w:before="0" w:after="240"/>
        <w:ind w:left="0" w:right="0" w:hanging="720"/>
        <w:jc w:val="both"/>
        <w:rPr/>
      </w:pPr>
      <w:bookmarkStart w:id="224" w:name="ib45f8cb7b5844811940fbbb83be15dec"/>
      <w:bookmarkEnd w:id="224"/>
      <w:r>
        <w:rPr>
          <w:rFonts w:ascii="Times New Roman;serif" w:hAnsi="Times New Roman;serif"/>
          <w:b w:val="false"/>
          <w:color w:val="000000"/>
          <w:sz w:val="24"/>
        </w:rPr>
        <w:t>Section 6.04    </w:t>
      </w:r>
      <w:r>
        <w:rPr>
          <w:rFonts w:ascii="Times New Roman;serif" w:hAnsi="Times New Roman;serif"/>
          <w:b w:val="false"/>
          <w:i/>
          <w:color w:val="000000"/>
          <w:sz w:val="24"/>
        </w:rPr>
        <w:t>Waiver of Past Defaults.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lineRule="auto" w:line="288" w:before="0" w:after="240"/>
        <w:ind w:left="0" w:right="0" w:hanging="720"/>
        <w:jc w:val="both"/>
        <w:rPr/>
      </w:pPr>
      <w:bookmarkStart w:id="225" w:name="iec24cbc787104d818880cb884fd1ac58"/>
      <w:bookmarkEnd w:id="225"/>
      <w:r>
        <w:rPr>
          <w:rFonts w:ascii="Times New Roman;serif" w:hAnsi="Times New Roman;serif"/>
          <w:b w:val="false"/>
          <w:color w:val="000000"/>
          <w:sz w:val="24"/>
        </w:rPr>
        <w:t>Section 6.05    </w:t>
      </w:r>
      <w:r>
        <w:rPr>
          <w:rFonts w:ascii="Times New Roman;serif" w:hAnsi="Times New Roman;serif"/>
          <w:b w:val="false"/>
          <w:i/>
          <w:color w:val="000000"/>
          <w:sz w:val="24"/>
        </w:rPr>
        <w:t>Control by Majority.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(it being understood that the Trustee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does not have an affirmative duty to ascertain whether or not any such directions are unduly prejudicial to such Holders) or that may involve the Trustee in personal liability.</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ind w:left="0" w:right="0" w:hanging="720"/>
        <w:jc w:val="both"/>
        <w:rPr/>
      </w:pPr>
      <w:bookmarkStart w:id="226" w:name="i9ac53e5f3be24f47a8248ceefabdabc9"/>
      <w:bookmarkEnd w:id="226"/>
      <w:r>
        <w:rPr>
          <w:rFonts w:ascii="Times New Roman;serif" w:hAnsi="Times New Roman;serif"/>
          <w:b w:val="false"/>
          <w:color w:val="000000"/>
          <w:sz w:val="24"/>
        </w:rPr>
        <w:t>Section 6.06    </w:t>
      </w:r>
      <w:r>
        <w:rPr>
          <w:rFonts w:ascii="Times New Roman;serif" w:hAnsi="Times New Roman;serif"/>
          <w:b w:val="false"/>
          <w:i/>
          <w:color w:val="000000"/>
          <w:sz w:val="24"/>
        </w:rPr>
        <w:t>Limitation on Suits.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to enforce the right to receive payment of principal, interest, or premium, if any, when due, a Holder of a Note may pursue a remedy with respect to this Indenture or the Notes only if: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7" w:name="i91937bb51fd142209063ec4f9c9da8f9"/>
      <w:bookmarkEnd w:id="227"/>
      <w:r>
        <w:rPr>
          <w:rFonts w:ascii="Times New Roman;serif" w:hAnsi="Times New Roman;serif"/>
          <w:b w:val="false"/>
          <w:color w:val="000000"/>
          <w:sz w:val="24"/>
        </w:rPr>
        <w:t xml:space="preserve">(a)    such Holder of a Note gives to the Trustee written notice that an Event of Default is continuing;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8" w:name="i5d871e5cac344b5f81172ff1e6ecf65d"/>
      <w:bookmarkEnd w:id="228"/>
      <w:r>
        <w:rPr>
          <w:rFonts w:ascii="Times New Roman;serif" w:hAnsi="Times New Roman;serif"/>
          <w:b w:val="false"/>
          <w:color w:val="000000"/>
          <w:sz w:val="24"/>
        </w:rPr>
        <w:t xml:space="preserve">(b)    the Holders of at least 25% in aggregate principal amount of the then outstanding Notes make a written request to the Trustee to pursue the remedy;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9" w:name="id751d5375ae446b08958477d1adb55c3"/>
      <w:bookmarkEnd w:id="229"/>
      <w:r>
        <w:rPr>
          <w:rFonts w:ascii="Times New Roman;serif" w:hAnsi="Times New Roman;serif"/>
          <w:b w:val="false"/>
          <w:color w:val="000000"/>
          <w:sz w:val="24"/>
        </w:rPr>
        <w:t xml:space="preserve">(c)    such Holder or Holders offer and, if requested, provide to the Trustee security or indemnity reasonably satisfactory to the Trustee against any loss, liability or expense;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0" w:name="ia77f4a2034e54069b7fd051b531c0bea"/>
      <w:bookmarkEnd w:id="230"/>
      <w:r>
        <w:rPr>
          <w:rFonts w:ascii="Times New Roman;serif" w:hAnsi="Times New Roman;serif"/>
          <w:b w:val="false"/>
          <w:color w:val="000000"/>
          <w:sz w:val="24"/>
        </w:rPr>
        <w:t xml:space="preserve">(d)    the Trustee does not comply with the request within 60 days after receipt of the request and the offer of security or indemnity;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1" w:name="i2848137c2e8c4abda22892701cf1665b"/>
      <w:bookmarkEnd w:id="231"/>
      <w:r>
        <w:rPr>
          <w:rFonts w:ascii="Times New Roman;serif" w:hAnsi="Times New Roman;serif"/>
          <w:b w:val="false"/>
          <w:color w:val="000000"/>
          <w:sz w:val="24"/>
        </w:rPr>
        <w:t>(e)    during such 60-day period, the Holders of a majority in aggregate principal amount of the then outstanding Notes do not give the Trustee a direction inconsistent with such request within such 60-day period.</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Notwithstanding the foregoing, any notice of Default, notice of acceleration or instruction to the Trustee to provide a notice of Default, notice of acceleration or take any other action (a “</w:t>
      </w:r>
      <w:r>
        <w:rPr>
          <w:rFonts w:ascii="Times New Roman;serif" w:hAnsi="Times New Roman;serif"/>
          <w:b w:val="false"/>
          <w:i/>
          <w:color w:val="000000"/>
          <w:sz w:val="24"/>
        </w:rPr>
        <w:t>Noteholder Direction</w:t>
      </w:r>
      <w:r>
        <w:rPr>
          <w:color w:val="000000"/>
        </w:rPr>
        <w:t>”</w:t>
      </w:r>
      <w:r>
        <w:rPr>
          <w:rFonts w:ascii="Times New Roman;serif" w:hAnsi="Times New Roman;serif"/>
          <w:b w:val="false"/>
          <w:color w:val="000000"/>
          <w:sz w:val="24"/>
        </w:rPr>
        <w:t>) provided by any one or more Holders (each a “</w:t>
      </w:r>
      <w:r>
        <w:rPr>
          <w:rFonts w:ascii="Times New Roman;serif" w:hAnsi="Times New Roman;serif"/>
          <w:b w:val="false"/>
          <w:i/>
          <w:color w:val="000000"/>
          <w:sz w:val="24"/>
        </w:rPr>
        <w:t>Directing Holder</w:t>
      </w:r>
      <w:r>
        <w:rPr>
          <w:color w:val="000000"/>
        </w:rPr>
        <w:t>”</w:t>
      </w:r>
      <w:r>
        <w:rPr>
          <w:rFonts w:ascii="Times New Roman;serif" w:hAnsi="Times New Roman;serif"/>
          <w:b w:val="false"/>
          <w:color w:val="000000"/>
          <w:sz w:val="24"/>
        </w:rPr>
        <w:t>) must be accompanied by a written representation from each such Holder to Wynn Resorts Finance and the Trustee that such Holder is not (or, in the case such Holder is the Depositary or its nominee, that such Holder is being instructed solely by Beneficial Owners that are not) Net Short (a “</w:t>
      </w:r>
      <w:r>
        <w:rPr>
          <w:rFonts w:ascii="Times New Roman;serif" w:hAnsi="Times New Roman;serif"/>
          <w:b w:val="false"/>
          <w:i/>
          <w:color w:val="000000"/>
          <w:sz w:val="24"/>
        </w:rPr>
        <w:t>Position Representation</w:t>
      </w:r>
      <w:r>
        <w:rPr>
          <w:color w:val="000000"/>
        </w:rPr>
        <w:t>”</w:t>
      </w:r>
      <w:r>
        <w:rPr>
          <w:rFonts w:ascii="Times New Roman;serif" w:hAnsi="Times New Roman;serif"/>
          <w:b w:val="false"/>
          <w:color w:val="000000"/>
          <w:sz w:val="24"/>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Holder’s Position Representation within five Business Days of request therefor (a “</w:t>
      </w:r>
      <w:r>
        <w:rPr>
          <w:rFonts w:ascii="Times New Roman;serif" w:hAnsi="Times New Roman;serif"/>
          <w:b w:val="false"/>
          <w:i/>
          <w:color w:val="000000"/>
          <w:sz w:val="24"/>
        </w:rPr>
        <w:t>Verification Covenant</w:t>
      </w:r>
      <w:r>
        <w:rPr>
          <w:color w:val="000000"/>
        </w:rPr>
        <w:t>”</w:t>
      </w:r>
      <w:r>
        <w:rPr>
          <w:rFonts w:ascii="Times New Roman;serif" w:hAnsi="Times New Roman;serif"/>
          <w:b w:val="false"/>
          <w:color w:val="000000"/>
          <w:sz w:val="24"/>
        </w:rPr>
        <w:t>). In any case in which the Holder is the Depositary or its nominee, any Position Representation or Verification Covenant required hereunder shall be provided by the Beneficial Owner of the Notes in lieu of the Depositary or its nominee.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Trustee shall not have any obligation to check, verify or confirm any information in any Position Representation and may rely conclusively on any Position Representation delivered to it.</w:t>
      </w:r>
    </w:p>
    <w:p>
      <w:pPr>
        <w:pStyle w:val="TextBody"/>
        <w:bidi w:val="0"/>
        <w:spacing w:before="0" w:after="283"/>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Holder of a Note may not use this Indenture to prejudice the rights of another Holder of a Note or to obtain a preference or priority over another Holder of a Note.</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ind w:left="0" w:right="0" w:hanging="720"/>
        <w:jc w:val="both"/>
        <w:rPr/>
      </w:pPr>
      <w:bookmarkStart w:id="232" w:name="ia964cf248c5d4aeaa3ac8624bfbae79a"/>
      <w:bookmarkEnd w:id="232"/>
      <w:r>
        <w:rPr>
          <w:rFonts w:ascii="Times New Roman;serif" w:hAnsi="Times New Roman;serif"/>
          <w:b w:val="false"/>
          <w:color w:val="000000"/>
          <w:sz w:val="24"/>
        </w:rPr>
        <w:t>Section 6.07    </w:t>
      </w:r>
      <w:r>
        <w:rPr>
          <w:rFonts w:ascii="Times New Roman;serif" w:hAnsi="Times New Roman;serif"/>
          <w:b w:val="false"/>
          <w:i/>
          <w:color w:val="000000"/>
          <w:sz w:val="24"/>
        </w:rPr>
        <w:t>Rights of Holders of Notes to Receive Payment.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pStyle w:val="TextBody"/>
        <w:bidi w:val="0"/>
        <w:spacing w:lineRule="auto" w:line="288" w:before="0" w:after="240"/>
        <w:ind w:left="0" w:right="0" w:hanging="720"/>
        <w:jc w:val="both"/>
        <w:rPr/>
      </w:pPr>
      <w:bookmarkStart w:id="233" w:name="ifa8710634e344f3fb88e027f8eab4a65"/>
      <w:bookmarkEnd w:id="233"/>
      <w:r>
        <w:rPr>
          <w:rFonts w:ascii="Times New Roman;serif" w:hAnsi="Times New Roman;serif"/>
          <w:b w:val="false"/>
          <w:color w:val="000000"/>
          <w:sz w:val="24"/>
        </w:rPr>
        <w:t>Section 6.08    </w:t>
      </w:r>
      <w:r>
        <w:rPr>
          <w:rFonts w:ascii="Times New Roman;serif" w:hAnsi="Times New Roman;serif"/>
          <w:b w:val="false"/>
          <w:i/>
          <w:color w:val="000000"/>
          <w:sz w:val="24"/>
        </w:rPr>
        <w:t>Collection Suit by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lineRule="auto" w:line="288" w:before="0" w:after="240"/>
        <w:ind w:left="0" w:right="0" w:hanging="720"/>
        <w:jc w:val="both"/>
        <w:rPr/>
      </w:pPr>
      <w:bookmarkStart w:id="234" w:name="i3528d9b689d64eb1815d16f958183581"/>
      <w:bookmarkEnd w:id="234"/>
      <w:r>
        <w:rPr>
          <w:rFonts w:ascii="Times New Roman;serif" w:hAnsi="Times New Roman;serif"/>
          <w:b w:val="false"/>
          <w:color w:val="000000"/>
          <w:sz w:val="24"/>
        </w:rPr>
        <w:t>Section 6.09    </w:t>
      </w:r>
      <w:r>
        <w:rPr>
          <w:rFonts w:ascii="Times New Roman;serif" w:hAnsi="Times New Roman;serif"/>
          <w:b w:val="false"/>
          <w:i/>
          <w:color w:val="000000"/>
          <w:sz w:val="24"/>
        </w:rPr>
        <w:t>Trustee May File Proofs of Claim.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arrangement, adjustment or composition affecting the Notes or the rights of any Holder, or to authorize the Trustee to vote in respect of the claim of any Holder in any such proceeding.</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ind w:left="0" w:right="0" w:hanging="720"/>
        <w:jc w:val="both"/>
        <w:rPr/>
      </w:pPr>
      <w:bookmarkStart w:id="235" w:name="i2b4c5c718a4348a1b40c36a2365acf83"/>
      <w:bookmarkEnd w:id="235"/>
      <w:r>
        <w:rPr>
          <w:rFonts w:ascii="Times New Roman;serif" w:hAnsi="Times New Roman;serif"/>
          <w:b w:val="false"/>
          <w:color w:val="000000"/>
          <w:sz w:val="24"/>
        </w:rPr>
        <w:t>Section 6.10    </w:t>
      </w:r>
      <w:r>
        <w:rPr>
          <w:rFonts w:ascii="Times New Roman;serif" w:hAnsi="Times New Roman;serif"/>
          <w:b w:val="false"/>
          <w:i/>
          <w:color w:val="000000"/>
          <w:sz w:val="24"/>
        </w:rPr>
        <w:t>Priorities.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collects any money pursuant to this Article 6, it shall pay out the money in the following order:</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First</w:t>
      </w:r>
      <w:r>
        <w:rPr>
          <w:rFonts w:ascii="Times New Roman;serif" w:hAnsi="Times New Roman;serif"/>
          <w:b w:val="false"/>
          <w:color w:val="000000"/>
          <w:sz w:val="24"/>
        </w:rPr>
        <w:t>:    to the Trustee, for amounts due under Section 7.06 hereof, including payment of all compensation, expense and liabilities incurred, and all advances made, by the Trustee and the costs and expenses of collection;</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Second:</w:t>
      </w:r>
      <w:r>
        <w:rPr>
          <w:color w:val="000000"/>
        </w:rPr>
        <w:t>    </w:t>
      </w:r>
      <w:r>
        <w:rPr>
          <w:rFonts w:ascii="Times New Roman;serif" w:hAnsi="Times New Roman;serif"/>
          <w:b w:val="false"/>
          <w:color w:val="000000"/>
          <w:sz w:val="24"/>
        </w:rPr>
        <w:t xml:space="preserve">to Holders of Notes for amounts due and unpaid on the Notes for principal, premium, if any, and interest, ratably, without preference or priority of any kind, according to the amounts due and payable on the Notes for principal, premium, if any and interest, respectively; and </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Third:</w:t>
      </w:r>
      <w:r>
        <w:rPr>
          <w:color w:val="000000"/>
        </w:rPr>
        <w:t>    </w:t>
      </w:r>
      <w:r>
        <w:rPr>
          <w:rFonts w:ascii="Times New Roman;serif" w:hAnsi="Times New Roman;serif"/>
          <w:b w:val="false"/>
          <w:color w:val="000000"/>
          <w:sz w:val="24"/>
        </w:rPr>
        <w:t>to the Issuers or to such party as a court of competent jurisdiction shall direct.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fix a record date and payment date for any payment to Holders of Notes pursuant to this Section 6.10.</w:t>
      </w:r>
    </w:p>
    <w:p>
      <w:pPr>
        <w:pStyle w:val="TextBody"/>
        <w:bidi w:val="0"/>
        <w:spacing w:lineRule="auto" w:line="288" w:before="0" w:after="240"/>
        <w:ind w:left="0" w:right="0" w:hanging="720"/>
        <w:jc w:val="both"/>
        <w:rPr/>
      </w:pPr>
      <w:bookmarkStart w:id="236" w:name="i05f01ea4783345f3a3ea3727e3d220b4"/>
      <w:bookmarkEnd w:id="236"/>
      <w:r>
        <w:rPr>
          <w:rFonts w:ascii="Times New Roman;serif" w:hAnsi="Times New Roman;serif"/>
          <w:b w:val="false"/>
          <w:color w:val="000000"/>
          <w:sz w:val="24"/>
        </w:rPr>
        <w:t>Section 6.11    </w:t>
      </w:r>
      <w:r>
        <w:rPr>
          <w:rFonts w:ascii="Times New Roman;serif" w:hAnsi="Times New Roman;serif"/>
          <w:b w:val="false"/>
          <w:i/>
          <w:color w:val="000000"/>
          <w:sz w:val="24"/>
        </w:rPr>
        <w:t>Undertaking for Costs.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pStyle w:val="TextBody"/>
        <w:bidi w:val="0"/>
        <w:spacing w:lineRule="auto" w:line="288" w:before="0" w:after="240"/>
        <w:jc w:val="center"/>
        <w:rPr>
          <w:rFonts w:ascii="Times New Roman;serif" w:hAnsi="Times New Roman;serif"/>
          <w:b/>
          <w:color w:val="000000"/>
          <w:sz w:val="24"/>
        </w:rPr>
      </w:pPr>
      <w:bookmarkStart w:id="237" w:name="iac6b6e48781f43ae932a88b45ce40bdb"/>
      <w:bookmarkEnd w:id="237"/>
      <w:r>
        <w:rPr>
          <w:rFonts w:ascii="Times New Roman;serif" w:hAnsi="Times New Roman;serif"/>
          <w:b/>
          <w:color w:val="000000"/>
          <w:sz w:val="24"/>
        </w:rPr>
        <w:t>ARTICLE 7.</w:t>
        <w:br/>
        <w:t xml:space="preserve">TRUSTEE </w:t>
      </w:r>
    </w:p>
    <w:p>
      <w:pPr>
        <w:pStyle w:val="TextBody"/>
        <w:bidi w:val="0"/>
        <w:spacing w:lineRule="auto" w:line="288" w:before="0" w:after="240"/>
        <w:ind w:left="0" w:right="0" w:hanging="720"/>
        <w:jc w:val="both"/>
        <w:rPr/>
      </w:pPr>
      <w:bookmarkStart w:id="238" w:name="i16d435f12d2644b48b2771742afbf546"/>
      <w:bookmarkEnd w:id="238"/>
      <w:r>
        <w:rPr>
          <w:rFonts w:ascii="Times New Roman;serif" w:hAnsi="Times New Roman;serif"/>
          <w:b w:val="false"/>
          <w:color w:val="000000"/>
          <w:sz w:val="24"/>
        </w:rPr>
        <w:t>Section 7.01    </w:t>
      </w:r>
      <w:r>
        <w:rPr>
          <w:rFonts w:ascii="Times New Roman;serif" w:hAnsi="Times New Roman;serif"/>
          <w:b w:val="false"/>
          <w:i/>
          <w:color w:val="000000"/>
          <w:sz w:val="24"/>
        </w:rPr>
        <w:t>Duties of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9" w:name="ib0400ce448904146877fe093d1282822"/>
      <w:bookmarkEnd w:id="239"/>
      <w:r>
        <w:rPr>
          <w:rFonts w:ascii="Times New Roman;serif" w:hAnsi="Times New Roman;serif"/>
          <w:b w:val="false"/>
          <w:color w:val="000000"/>
          <w:sz w:val="24"/>
        </w:rPr>
        <w:t>(a)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0" w:name="iceff16c051444684a793b5968fe84e04"/>
      <w:bookmarkEnd w:id="240"/>
      <w:r>
        <w:rPr>
          <w:rFonts w:ascii="Times New Roman;serif" w:hAnsi="Times New Roman;serif"/>
          <w:b w:val="false"/>
          <w:color w:val="000000"/>
          <w:sz w:val="24"/>
        </w:rPr>
        <w:t xml:space="preserve">(b)    Except during the continuance of an Event of Default: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1" w:name="ifecb6c29fe5a401087788694097d20e4"/>
      <w:bookmarkEnd w:id="241"/>
      <w:r>
        <w:rPr>
          <w:rFonts w:ascii="Times New Roman;serif" w:hAnsi="Times New Roman;serif"/>
          <w:b w:val="false"/>
          <w:color w:val="000000"/>
          <w:sz w:val="24"/>
        </w:rPr>
        <w:t xml:space="preserve">(1)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2" w:name="i981006f0167c496a827df965c7543b4d"/>
      <w:bookmarkEnd w:id="242"/>
      <w:r>
        <w:rPr>
          <w:rFonts w:ascii="Times New Roman;serif" w:hAnsi="Times New Roman;serif"/>
          <w:b w:val="false"/>
          <w:color w:val="000000"/>
          <w:sz w:val="24"/>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3" w:name="ida357cb6696445c9b9106b5a59ad40aa"/>
      <w:bookmarkEnd w:id="243"/>
      <w:r>
        <w:rPr>
          <w:rFonts w:ascii="Times New Roman;serif" w:hAnsi="Times New Roman;serif"/>
          <w:b w:val="false"/>
          <w:color w:val="000000"/>
          <w:sz w:val="24"/>
        </w:rPr>
        <w:t xml:space="preserve">(c)    The Trustee may not be relieved from liabilities for its own negligent action, its own negligent failure to act, or its own willful misconduct, except that: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4" w:name="ie218e8bfc5014a959b4cd7809f72ae4a"/>
      <w:bookmarkEnd w:id="244"/>
      <w:r>
        <w:rPr>
          <w:rFonts w:ascii="Times New Roman;serif" w:hAnsi="Times New Roman;serif"/>
          <w:b w:val="false"/>
          <w:color w:val="000000"/>
          <w:sz w:val="24"/>
        </w:rPr>
        <w:t xml:space="preserve">(1)    this Section 7.01(c) does not limit the effect of paragraph (b) of this Section 7.01;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5" w:name="i430ef51a505944639c6402fed8df654e"/>
      <w:bookmarkEnd w:id="245"/>
      <w:r>
        <w:rPr>
          <w:rFonts w:ascii="Times New Roman;serif" w:hAnsi="Times New Roman;serif"/>
          <w:b w:val="false"/>
          <w:color w:val="000000"/>
          <w:sz w:val="24"/>
        </w:rPr>
        <w:t xml:space="preserve">(2)    the Trustee shall not be liable for any error of judgment made in good faith by a Responsible Officer, unless it is proved that the Trustee was negligent in ascertaining the pertinent facts;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6" w:name="i3d123f9d81514637a93f79527546d996"/>
      <w:bookmarkEnd w:id="246"/>
      <w:r>
        <w:rPr>
          <w:rFonts w:ascii="Times New Roman;serif" w:hAnsi="Times New Roman;serif"/>
          <w:b w:val="false"/>
          <w:color w:val="000000"/>
          <w:sz w:val="24"/>
        </w:rPr>
        <w:t>(3)    the Trustee shall not be liable with respect to any action it takes or omits to take in good faith in accordance with a direction received by it pursuant to Section 6.05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7" w:name="icbc85b8b6aa24b1082bd0b8f422eeee0"/>
      <w:bookmarkEnd w:id="247"/>
      <w:r>
        <w:rPr>
          <w:rFonts w:ascii="Times New Roman;serif" w:hAnsi="Times New Roman;serif"/>
          <w:b w:val="false"/>
          <w:color w:val="000000"/>
          <w:sz w:val="24"/>
        </w:rPr>
        <w:t>(d)    Whether or not therein expressly so provided, every provision of this Indenture that in any way relates to the Trustee is subject to paragraphs (a), (b), and (c) of this Section 7.01.</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8" w:name="i84189819e36e4634b174efda39c6b588"/>
      <w:bookmarkEnd w:id="248"/>
      <w:r>
        <w:rPr>
          <w:rFonts w:ascii="Times New Roman;serif" w:hAnsi="Times New Roman;serif"/>
          <w:b w:val="false"/>
          <w:color w:val="000000"/>
          <w:sz w:val="24"/>
        </w:rPr>
        <w:t>(e)    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reasonably satisfactory to it against any loss, liability or expense.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9" w:name="i7028cc293eab4dd18e5ae55a580458f8"/>
      <w:bookmarkEnd w:id="249"/>
      <w:r>
        <w:rPr>
          <w:rFonts w:ascii="Times New Roman;serif" w:hAnsi="Times New Roman;serif"/>
          <w:b w:val="false"/>
          <w:color w:val="000000"/>
          <w:sz w:val="24"/>
        </w:rPr>
        <w:t>(f)    The Trustee shall not be liable for interest on any money received by it except as the Trustee may agree in writing with the Issuers. Money held in trust by the Trustee need not be segregated from other funds except to the extent required by law.</w:t>
      </w:r>
    </w:p>
    <w:p>
      <w:pPr>
        <w:pStyle w:val="TextBody"/>
        <w:bidi w:val="0"/>
        <w:spacing w:lineRule="auto" w:line="288" w:before="0" w:after="240"/>
        <w:ind w:left="0" w:right="0" w:hanging="720"/>
        <w:jc w:val="both"/>
        <w:rPr/>
      </w:pPr>
      <w:bookmarkStart w:id="250" w:name="i71d01839494b4618b1d9e5e827e30dc3"/>
      <w:bookmarkEnd w:id="250"/>
      <w:r>
        <w:rPr>
          <w:rFonts w:ascii="Times New Roman;serif" w:hAnsi="Times New Roman;serif"/>
          <w:b w:val="false"/>
          <w:color w:val="000000"/>
          <w:sz w:val="24"/>
        </w:rPr>
        <w:t>Section 7.02    </w:t>
      </w:r>
      <w:r>
        <w:rPr>
          <w:rFonts w:ascii="Times New Roman;serif" w:hAnsi="Times New Roman;serif"/>
          <w:b w:val="false"/>
          <w:i/>
          <w:color w:val="000000"/>
          <w:sz w:val="24"/>
        </w:rPr>
        <w:t>Rights of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1" w:name="i74a71e282dd24e1b9b16bfa66e4e07e9"/>
      <w:bookmarkEnd w:id="251"/>
      <w:r>
        <w:rPr>
          <w:rFonts w:ascii="Times New Roman;serif" w:hAnsi="Times New Roman;serif"/>
          <w:b w:val="false"/>
          <w:color w:val="000000"/>
          <w:sz w:val="24"/>
        </w:rPr>
        <w:t>(a)    The Trustee may conclusively rely upon any document believed by it to be genuine and to have been signed or presented by the proper Person. The Trustee need not investigate any fact or matter stated in the document.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2" w:name="ib33c948db60a4c57bb15ae22b129c206"/>
      <w:bookmarkEnd w:id="252"/>
      <w:r>
        <w:rPr>
          <w:rFonts w:ascii="Times New Roman;serif" w:hAnsi="Times New Roman;serif"/>
          <w:b w:val="false"/>
          <w:color w:val="000000"/>
          <w:sz w:val="24"/>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3" w:name="i576e1fba0962465ca8827851283b81a3"/>
      <w:bookmarkEnd w:id="253"/>
      <w:r>
        <w:rPr>
          <w:rFonts w:ascii="Times New Roman;serif" w:hAnsi="Times New Roman;serif"/>
          <w:b w:val="false"/>
          <w:color w:val="000000"/>
          <w:sz w:val="24"/>
        </w:rPr>
        <w:t>(c)    The Trustee may act through its attorneys and agents and shall not be responsible for the misconduct or negligence of any agent appointed with due care.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4" w:name="i62d10e4f78094ec1b3e77565a65abad2"/>
      <w:bookmarkEnd w:id="254"/>
      <w:r>
        <w:rPr>
          <w:rFonts w:ascii="Times New Roman;serif" w:hAnsi="Times New Roman;serif"/>
          <w:b w:val="false"/>
          <w:color w:val="000000"/>
          <w:sz w:val="24"/>
        </w:rPr>
        <w:t>(d)    The Trustee shall not be liable for any action it takes or omits to take in good faith that it believes to be authorized or within the rights or powers conferred upon it by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5" w:name="i589e462ebef54277a56bf489be2168d6"/>
      <w:bookmarkEnd w:id="255"/>
      <w:r>
        <w:rPr>
          <w:rFonts w:ascii="Times New Roman;serif" w:hAnsi="Times New Roman;serif"/>
          <w:b w:val="false"/>
          <w:color w:val="000000"/>
          <w:sz w:val="24"/>
        </w:rPr>
        <w:t>(e)    Unless otherwise specifically provided in this Indenture, any demand, request, direction or notice from the Issuers shall be sufficient if signed by an Officer of either Issuer.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6" w:name="if5f0bb082f3b4fde8762fabe0c20c4da"/>
      <w:bookmarkEnd w:id="256"/>
      <w:r>
        <w:rPr>
          <w:rFonts w:ascii="Times New Roman;serif" w:hAnsi="Times New Roman;serif"/>
          <w:b w:val="false"/>
          <w:color w:val="000000"/>
          <w:sz w:val="24"/>
        </w:rPr>
        <w:t>(f)    [Reserved].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7" w:name="i799dd6b11c4941a592f5be54e55be106"/>
      <w:bookmarkEnd w:id="257"/>
      <w:r>
        <w:rPr>
          <w:rFonts w:ascii="Times New Roman;serif" w:hAnsi="Times New Roman;serif"/>
          <w:b w:val="false"/>
          <w:color w:val="000000"/>
          <w:sz w:val="24"/>
        </w:rPr>
        <w:t>(g)    Except as expressly provided herein, the Trustee shall have no duty to inquire as to the performance of the Issuers with respect to the covenants contained in Articles 4 and 5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8" w:name="ibbd09354b2214bcd8fbc77e5d1300427"/>
      <w:bookmarkEnd w:id="258"/>
      <w:r>
        <w:rPr>
          <w:rFonts w:ascii="Times New Roman;serif" w:hAnsi="Times New Roman;serif"/>
          <w:b w:val="false"/>
          <w:color w:val="000000"/>
          <w:sz w:val="24"/>
        </w:rPr>
        <w:t>(h)    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9" w:name="id143df4a98d4459fa23d920e674176a7"/>
      <w:bookmarkEnd w:id="259"/>
      <w:r>
        <w:rPr>
          <w:rFonts w:ascii="Times New Roman;serif" w:hAnsi="Times New Roman;serif"/>
          <w:b w:val="false"/>
          <w:color w:val="000000"/>
          <w:sz w:val="24"/>
        </w:rPr>
        <w:t>(i)    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0" w:name="i6bd26451658f4068918b71a2175d8b29"/>
      <w:bookmarkEnd w:id="260"/>
      <w:r>
        <w:rPr>
          <w:rFonts w:ascii="Times New Roman;serif" w:hAnsi="Times New Roman;serif"/>
          <w:b w:val="false"/>
          <w:color w:val="000000"/>
          <w:sz w:val="24"/>
        </w:rPr>
        <w:t>(j)    Any permissive right granted to the Trustee shall not be construed as a mandatory duty.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1" w:name="i69564b2e57cf44afb1d9ba206e2d4ef4"/>
      <w:bookmarkEnd w:id="261"/>
      <w:r>
        <w:rPr>
          <w:rFonts w:ascii="Times New Roman;serif" w:hAnsi="Times New Roman;serif"/>
          <w:b w:val="false"/>
          <w:color w:val="000000"/>
          <w:sz w:val="24"/>
        </w:rPr>
        <w:t>(k)    The Trustee shall not be required to give any bond or surety in respect of the performance of its powers and duties hereunder.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2" w:name="idb65b51add5b44ceb13464433ae36f58"/>
      <w:bookmarkEnd w:id="262"/>
      <w:r>
        <w:rPr>
          <w:rFonts w:ascii="Times New Roman;serif" w:hAnsi="Times New Roman;serif"/>
          <w:b w:val="false"/>
          <w:color w:val="000000"/>
          <w:sz w:val="24"/>
        </w:rPr>
        <w:t xml:space="preserve">(l)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consistent with accepted practices in the banking industry to resume performance as soon as practicable under the circumstances.</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3" w:name="i6df31877724e4834a74ce266c281037b"/>
      <w:bookmarkEnd w:id="263"/>
      <w:r>
        <w:rPr>
          <w:rFonts w:ascii="Times New Roman;serif" w:hAnsi="Times New Roman;serif"/>
          <w:b w:val="false"/>
          <w:color w:val="000000"/>
          <w:sz w:val="24"/>
        </w:rPr>
        <w:t>(m)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lineRule="auto" w:line="288" w:before="0" w:after="240"/>
        <w:ind w:left="0" w:right="0" w:hanging="720"/>
        <w:jc w:val="both"/>
        <w:rPr/>
      </w:pPr>
      <w:bookmarkStart w:id="264" w:name="i567cbd8cc7a14e46956454bc3d51b03e"/>
      <w:bookmarkEnd w:id="264"/>
      <w:r>
        <w:rPr>
          <w:rFonts w:ascii="Times New Roman;serif" w:hAnsi="Times New Roman;serif"/>
          <w:b w:val="false"/>
          <w:color w:val="000000"/>
          <w:sz w:val="24"/>
        </w:rPr>
        <w:t>Section 7.03    </w:t>
      </w:r>
      <w:r>
        <w:rPr>
          <w:rFonts w:ascii="Times New Roman;serif" w:hAnsi="Times New Roman;serif"/>
          <w:b w:val="false"/>
          <w:i/>
          <w:color w:val="000000"/>
          <w:sz w:val="24"/>
        </w:rPr>
        <w:t>Individual Rights of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pStyle w:val="TextBody"/>
        <w:bidi w:val="0"/>
        <w:spacing w:lineRule="auto" w:line="288" w:before="0" w:after="240"/>
        <w:ind w:left="0" w:right="0" w:hanging="720"/>
        <w:jc w:val="both"/>
        <w:rPr/>
      </w:pPr>
      <w:bookmarkStart w:id="265" w:name="if686a5664ac8457a9c7d406f736cdd44"/>
      <w:bookmarkEnd w:id="265"/>
      <w:r>
        <w:rPr>
          <w:rFonts w:ascii="Times New Roman;serif" w:hAnsi="Times New Roman;serif"/>
          <w:b w:val="false"/>
          <w:color w:val="000000"/>
          <w:sz w:val="24"/>
        </w:rPr>
        <w:t>Section 7.04    </w:t>
      </w:r>
      <w:r>
        <w:rPr>
          <w:rFonts w:ascii="Times New Roman;serif" w:hAnsi="Times New Roman;serif"/>
          <w:b w:val="false"/>
          <w:i/>
          <w:color w:val="000000"/>
          <w:sz w:val="24"/>
        </w:rPr>
        <w:t>Trustee’s Disclaimer.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pStyle w:val="TextBody"/>
        <w:bidi w:val="0"/>
        <w:spacing w:lineRule="auto" w:line="288" w:before="0" w:after="240"/>
        <w:ind w:left="0" w:right="0" w:hanging="720"/>
        <w:jc w:val="both"/>
        <w:rPr/>
      </w:pPr>
      <w:bookmarkStart w:id="266" w:name="i3c48f938875347e08003c2e8f57862a2"/>
      <w:bookmarkEnd w:id="266"/>
      <w:r>
        <w:rPr>
          <w:rFonts w:ascii="Times New Roman;serif" w:hAnsi="Times New Roman;serif"/>
          <w:b w:val="false"/>
          <w:color w:val="000000"/>
          <w:sz w:val="24"/>
        </w:rPr>
        <w:t>Section 7.05    </w:t>
      </w:r>
      <w:r>
        <w:rPr>
          <w:rFonts w:ascii="Times New Roman;serif" w:hAnsi="Times New Roman;serif"/>
          <w:b w:val="false"/>
          <w:i/>
          <w:color w:val="000000"/>
          <w:sz w:val="24"/>
        </w:rPr>
        <w:t>Notice of Defaults.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Default or Event of Default occurs and is continuing and if it is known to the Trustee, the Trustee shall deliver a notice of the Default or Event of Default to Holders within 90 days after it occurs. Except in the case of a Default or Event of Default in payment of principal of, premium, if any, or interest on, any Note, the Trustee may withhold the notice if and so long as the Trustee in good faith determines that withholding the notice is in the interests of the Holders of the Notes.</w:t>
      </w:r>
    </w:p>
    <w:p>
      <w:pPr>
        <w:pStyle w:val="TextBody"/>
        <w:bidi w:val="0"/>
        <w:spacing w:lineRule="auto" w:line="288" w:before="0" w:after="240"/>
        <w:ind w:left="0" w:right="0" w:hanging="720"/>
        <w:jc w:val="both"/>
        <w:rPr/>
      </w:pPr>
      <w:bookmarkStart w:id="267" w:name="i39eb5d56f5ac4eadb5de6165eea3266c"/>
      <w:bookmarkEnd w:id="267"/>
      <w:r>
        <w:rPr>
          <w:rFonts w:ascii="Times New Roman;serif" w:hAnsi="Times New Roman;serif"/>
          <w:b w:val="false"/>
          <w:color w:val="000000"/>
          <w:sz w:val="24"/>
        </w:rPr>
        <w:t>Section 7.06    </w:t>
      </w:r>
      <w:r>
        <w:rPr>
          <w:rFonts w:ascii="Times New Roman;serif" w:hAnsi="Times New Roman;serif"/>
          <w:b w:val="false"/>
          <w:i/>
          <w:color w:val="000000"/>
          <w:sz w:val="24"/>
        </w:rPr>
        <w:t>Compensation and Indemnity.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8" w:name="i93fdbe6942414ec9834b6120b765fbd9"/>
      <w:bookmarkEnd w:id="268"/>
      <w:r>
        <w:rPr>
          <w:rFonts w:ascii="Times New Roman;serif" w:hAnsi="Times New Roman;serif"/>
          <w:b w:val="false"/>
          <w:color w:val="000000"/>
          <w:sz w:val="24"/>
        </w:rPr>
        <w:t>(a)    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9" w:name="i004e5613b23c40a6b7021e8768485ff0"/>
      <w:bookmarkEnd w:id="269"/>
      <w:r>
        <w:rPr>
          <w:rFonts w:ascii="Times New Roman;serif" w:hAnsi="Times New Roman;serif"/>
          <w:b w:val="false"/>
          <w:color w:val="000000"/>
          <w:sz w:val="24"/>
        </w:rPr>
        <w:t>(b)    The Issuers and the Guarantors shall indemnify, jointly and severally, the Trustee (acting in any capacity hereunder) and each of its officers, directors and employees against any and all losses, liabilities or expenses (including attorney’s fees and expenses) incurred by it arising out of or in connection with the acceptance or administration of its duties under this Indenture, including the costs and expenses of enforcing 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willful misconduct as finally adjudicated by a court of competent jurisdiction.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0" w:name="i0967ca31fdc747fcb953211f618d2067"/>
      <w:bookmarkEnd w:id="270"/>
      <w:r>
        <w:rPr>
          <w:rFonts w:ascii="Times New Roman;serif" w:hAnsi="Times New Roman;serif"/>
          <w:b w:val="false"/>
          <w:color w:val="000000"/>
          <w:sz w:val="24"/>
        </w:rPr>
        <w:t>(c)    The obligations of the Issuers and the Guarantors under this Section 7.06 shall survive the satisfaction and discharge of this Indenture, and the resignation or removal of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1" w:name="i2708b0e0c9e043db9cd1a572f0b27134"/>
      <w:bookmarkEnd w:id="271"/>
      <w:r>
        <w:rPr>
          <w:rFonts w:ascii="Times New Roman;serif" w:hAnsi="Times New Roman;serif"/>
          <w:b w:val="false"/>
          <w:color w:val="000000"/>
          <w:sz w:val="24"/>
        </w:rPr>
        <w:t>(d)    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2" w:name="i46f3801a890240209de2d7c33e8a3237"/>
      <w:bookmarkEnd w:id="272"/>
      <w:r>
        <w:rPr>
          <w:rFonts w:ascii="Times New Roman;serif" w:hAnsi="Times New Roman;serif"/>
          <w:b w:val="false"/>
          <w:color w:val="000000"/>
          <w:sz w:val="24"/>
        </w:rPr>
        <w:t>(e)    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pStyle w:val="TextBody"/>
        <w:bidi w:val="0"/>
        <w:spacing w:lineRule="auto" w:line="288" w:before="0" w:after="240"/>
        <w:ind w:left="0" w:right="0" w:hanging="720"/>
        <w:jc w:val="both"/>
        <w:rPr/>
      </w:pPr>
      <w:bookmarkStart w:id="273" w:name="ic1a0989cae4d4d6d9ce3eea4b56d7198"/>
      <w:bookmarkEnd w:id="273"/>
      <w:r>
        <w:rPr>
          <w:rFonts w:ascii="Times New Roman;serif" w:hAnsi="Times New Roman;serif"/>
          <w:b w:val="false"/>
          <w:color w:val="000000"/>
          <w:sz w:val="24"/>
        </w:rPr>
        <w:t>Section 7.07    </w:t>
      </w:r>
      <w:r>
        <w:rPr>
          <w:rFonts w:ascii="Times New Roman;serif" w:hAnsi="Times New Roman;serif"/>
          <w:b w:val="false"/>
          <w:i/>
          <w:color w:val="000000"/>
          <w:sz w:val="24"/>
        </w:rPr>
        <w:t>Replacement of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4" w:name="i6e3dbee7b78b4c1496144f2828c4b6af"/>
      <w:bookmarkEnd w:id="274"/>
      <w:r>
        <w:rPr>
          <w:rFonts w:ascii="Times New Roman;serif" w:hAnsi="Times New Roman;serif"/>
          <w:b w:val="false"/>
          <w:color w:val="000000"/>
          <w:sz w:val="24"/>
        </w:rPr>
        <w:t>(a)    A resignation or removal of the Trustee and appointment of a successor Trustee shall become effective only upon the successor Trustee’s acceptance of appointment as provided in this Section 7.07.</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5" w:name="i2676cb6ff10248838dd9212f8041f2cd"/>
      <w:bookmarkEnd w:id="275"/>
      <w:r>
        <w:rPr>
          <w:rFonts w:ascii="Times New Roman;serif" w:hAnsi="Times New Roman;serif"/>
          <w:b w:val="false"/>
          <w:color w:val="000000"/>
          <w:sz w:val="24"/>
        </w:rPr>
        <w:t xml:space="preserve">(b)    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6" w:name="i135868c1117f441cad61c2eca9c1e507"/>
      <w:bookmarkEnd w:id="276"/>
      <w:r>
        <w:rPr>
          <w:rFonts w:ascii="Times New Roman;serif" w:hAnsi="Times New Roman;serif"/>
          <w:b w:val="false"/>
          <w:color w:val="000000"/>
          <w:sz w:val="24"/>
        </w:rPr>
        <w:t xml:space="preserve">(1)    the Trustee fails to comply with Section 7.09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7" w:name="i27ab1777e7d34bb2acf7f9305bbf640c"/>
      <w:bookmarkEnd w:id="277"/>
      <w:r>
        <w:rPr>
          <w:rFonts w:ascii="Times New Roman;serif" w:hAnsi="Times New Roman;serif"/>
          <w:b w:val="false"/>
          <w:color w:val="000000"/>
          <w:sz w:val="24"/>
        </w:rPr>
        <w:t xml:space="preserve">(2)    the Trustee is adjudged a bankrupt or an insolvent or an order for relief is entered with respect to the Trustee under any Bankruptcy Law; </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8" w:name="id17c346221b94aac9172de66b5b94f20"/>
      <w:bookmarkEnd w:id="278"/>
      <w:r>
        <w:rPr>
          <w:rFonts w:ascii="Times New Roman;serif" w:hAnsi="Times New Roman;serif"/>
          <w:b w:val="false"/>
          <w:color w:val="000000"/>
          <w:sz w:val="24"/>
        </w:rPr>
        <w:t xml:space="preserve">(3)    a custodian or public officer takes charge of the Trustee or its property;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9" w:name="ia665c07727af4a65b5623f3e70e42371"/>
      <w:bookmarkEnd w:id="279"/>
      <w:r>
        <w:rPr>
          <w:rFonts w:ascii="Times New Roman;serif" w:hAnsi="Times New Roman;serif"/>
          <w:b w:val="false"/>
          <w:color w:val="000000"/>
          <w:sz w:val="24"/>
        </w:rPr>
        <w:t>(4)    the Trustee becomes incapable of acting.</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80" w:name="ifde4f990d96241849c611b4ae1e4107a"/>
      <w:bookmarkEnd w:id="280"/>
      <w:r>
        <w:rPr>
          <w:rFonts w:ascii="Times New Roman;serif" w:hAnsi="Times New Roman;serif"/>
          <w:b w:val="false"/>
          <w:color w:val="000000"/>
          <w:sz w:val="24"/>
        </w:rPr>
        <w:t>(c)    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81" w:name="i165acbda2230430e8c71b163787627bb"/>
      <w:bookmarkEnd w:id="281"/>
      <w:r>
        <w:rPr>
          <w:rFonts w:ascii="Times New Roman;serif" w:hAnsi="Times New Roman;serif"/>
          <w:b w:val="false"/>
          <w:color w:val="000000"/>
          <w:sz w:val="24"/>
        </w:rPr>
        <w:t>(d)    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82" w:name="ib54e4c206ce84785ad6535ea22fc7f88"/>
      <w:bookmarkEnd w:id="282"/>
      <w:r>
        <w:rPr>
          <w:rFonts w:ascii="Times New Roman;serif" w:hAnsi="Times New Roman;serif"/>
          <w:b w:val="false"/>
          <w:color w:val="000000"/>
          <w:sz w:val="24"/>
        </w:rPr>
        <w:t>(e)    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pStyle w:val="TextBody"/>
        <w:bidi w:val="0"/>
        <w:spacing w:lineRule="auto" w:line="288" w:before="0" w:after="240"/>
        <w:ind w:left="0" w:right="0" w:firstLine="720"/>
        <w:jc w:val="both"/>
        <w:rPr/>
      </w:pPr>
      <w:bookmarkStart w:id="283" w:name="ic17f85b3d1cb4550a7ce95c43e67cc90"/>
      <w:bookmarkEnd w:id="283"/>
      <w:r>
        <w:rPr>
          <w:rFonts w:ascii="Times New Roman;serif" w:hAnsi="Times New Roman;serif"/>
          <w:b w:val="false"/>
          <w:color w:val="000000"/>
          <w:sz w:val="24"/>
        </w:rPr>
        <w:t xml:space="preserve">(f)    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deliver a notice of its succession to Holders. The retiring Trustee shall promptly transfer all property held by it as Trustee to the successor Trustee, provided all sums owing to the Trustee hereunder have been paid and subject to the Lien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for in Section 7.06 hereof. Notwithstanding replacement of the Trustee pursuant to this Section 7.07, the Issuers’ obligations under Section 7.06 hereof shall continue for the benefit of the retiring Trustee.</w:t>
      </w:r>
    </w:p>
    <w:p>
      <w:pPr>
        <w:pStyle w:val="TextBody"/>
        <w:bidi w:val="0"/>
        <w:spacing w:lineRule="auto" w:line="288" w:before="0" w:after="240"/>
        <w:ind w:left="0" w:right="0" w:hanging="720"/>
        <w:jc w:val="both"/>
        <w:rPr/>
      </w:pPr>
      <w:bookmarkStart w:id="284" w:name="ie81843f8c4fa488292180697bf20bf0a"/>
      <w:bookmarkEnd w:id="284"/>
      <w:r>
        <w:rPr>
          <w:rFonts w:ascii="Times New Roman;serif" w:hAnsi="Times New Roman;serif"/>
          <w:b w:val="false"/>
          <w:color w:val="000000"/>
          <w:sz w:val="24"/>
        </w:rPr>
        <w:t>Section 7.08    </w:t>
      </w:r>
      <w:r>
        <w:rPr>
          <w:rFonts w:ascii="Times New Roman;serif" w:hAnsi="Times New Roman;serif"/>
          <w:b w:val="false"/>
          <w:i/>
          <w:color w:val="000000"/>
          <w:sz w:val="24"/>
        </w:rPr>
        <w:t>Successor Trustee by Merger,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consolidates, merges or converts into, or transfers all or substantially all of its corporate trust business to, another corporation, the successor corporation without any further act shall be the successor Trustee.</w:t>
      </w:r>
    </w:p>
    <w:p>
      <w:pPr>
        <w:pStyle w:val="TextBody"/>
        <w:bidi w:val="0"/>
        <w:spacing w:lineRule="auto" w:line="288" w:before="0" w:after="240"/>
        <w:ind w:left="0" w:right="0" w:hanging="720"/>
        <w:jc w:val="both"/>
        <w:rPr/>
      </w:pPr>
      <w:bookmarkStart w:id="285" w:name="id84845ba5df74826aaf5eedd7a951f65"/>
      <w:bookmarkEnd w:id="285"/>
      <w:r>
        <w:rPr>
          <w:rFonts w:ascii="Times New Roman;serif" w:hAnsi="Times New Roman;serif"/>
          <w:b w:val="false"/>
          <w:color w:val="000000"/>
          <w:sz w:val="24"/>
        </w:rPr>
        <w:t>Section 7.09    </w:t>
      </w:r>
      <w:r>
        <w:rPr>
          <w:rFonts w:ascii="Times New Roman;serif" w:hAnsi="Times New Roman;serif"/>
          <w:b w:val="false"/>
          <w:i/>
          <w:color w:val="000000"/>
          <w:sz w:val="24"/>
        </w:rPr>
        <w:t>Eligibility; Disqualification; Conflicting Interests.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 million as set forth in its most recent published annual report of condition.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the Trustee has or shall acquire any “conflicting interest” within the meaning of Section 310(b) of the Trust Indenture Act, the Trustee and the Issuers shall in all respects comply with the provisions of Section 310(b) of the Trust Indenture Act.</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ind w:left="0" w:right="0" w:hanging="720"/>
        <w:jc w:val="both"/>
        <w:rPr/>
      </w:pPr>
      <w:bookmarkStart w:id="286" w:name="i55d767859a624db9943d559dac28da96"/>
      <w:bookmarkEnd w:id="286"/>
      <w:r>
        <w:rPr>
          <w:rFonts w:ascii="Times New Roman;serif" w:hAnsi="Times New Roman;serif"/>
          <w:b w:val="false"/>
          <w:color w:val="000000"/>
          <w:sz w:val="24"/>
        </w:rPr>
        <w:t>Section 7.10    </w:t>
      </w:r>
      <w:r>
        <w:rPr>
          <w:rFonts w:ascii="Times New Roman;serif" w:hAnsi="Times New Roman;serif"/>
          <w:b w:val="false"/>
          <w:i/>
          <w:color w:val="000000"/>
          <w:sz w:val="24"/>
        </w:rPr>
        <w:t>Preferential Collection of Claims Against the Issuers.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comply with Section 311(a) of the Trust Indenture Act, excluding any creditor relationship described in Section 311(b) of the Trust Indenture Act. A Trustee who has resigned or been removed shall continue to be subject to Section 311(a) of the Trust Indenture Act.</w:t>
      </w:r>
    </w:p>
    <w:p>
      <w:pPr>
        <w:pStyle w:val="TextBody"/>
        <w:bidi w:val="0"/>
        <w:spacing w:lineRule="auto" w:line="288" w:before="0" w:after="240"/>
        <w:jc w:val="center"/>
        <w:rPr>
          <w:rFonts w:ascii="Times New Roman;serif" w:hAnsi="Times New Roman;serif"/>
          <w:b/>
          <w:color w:val="000000"/>
          <w:sz w:val="24"/>
        </w:rPr>
      </w:pPr>
      <w:bookmarkStart w:id="287" w:name="ief1a55e756cd4f68a93dc9c3b3e55298"/>
      <w:bookmarkEnd w:id="287"/>
      <w:r>
        <w:rPr>
          <w:rFonts w:ascii="Times New Roman;serif" w:hAnsi="Times New Roman;serif"/>
          <w:b/>
          <w:color w:val="000000"/>
          <w:sz w:val="24"/>
        </w:rPr>
        <w:t>ARTICLE 8.</w:t>
        <w:br/>
        <w:t xml:space="preserve">LEGAL DEFEASANCE AND COVENANT DEFEASANCE </w:t>
      </w:r>
    </w:p>
    <w:p>
      <w:pPr>
        <w:pStyle w:val="TextBody"/>
        <w:bidi w:val="0"/>
        <w:spacing w:lineRule="auto" w:line="288" w:before="0" w:after="240"/>
        <w:ind w:left="0" w:right="0" w:hanging="720"/>
        <w:jc w:val="both"/>
        <w:rPr/>
      </w:pPr>
      <w:bookmarkStart w:id="288" w:name="i34947120179d40d0b2a02c0810a9f4e4"/>
      <w:bookmarkEnd w:id="288"/>
      <w:r>
        <w:rPr>
          <w:rFonts w:ascii="Times New Roman;serif" w:hAnsi="Times New Roman;serif"/>
          <w:b w:val="false"/>
          <w:color w:val="000000"/>
          <w:sz w:val="24"/>
        </w:rPr>
        <w:t>Section 8.01    </w:t>
      </w:r>
      <w:r>
        <w:rPr>
          <w:rFonts w:ascii="Times New Roman;serif" w:hAnsi="Times New Roman;serif"/>
          <w:b w:val="false"/>
          <w:i/>
          <w:color w:val="000000"/>
          <w:sz w:val="24"/>
        </w:rPr>
        <w:t>Option to Effect Legal Defeasance or Covenant Defeasance.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pStyle w:val="TextBody"/>
        <w:bidi w:val="0"/>
        <w:spacing w:lineRule="auto" w:line="288" w:before="0" w:after="240"/>
        <w:ind w:left="0" w:right="0" w:hanging="720"/>
        <w:jc w:val="both"/>
        <w:rPr/>
      </w:pPr>
      <w:bookmarkStart w:id="289" w:name="i44fe9e5614b2456197c7d0bff71e1c83"/>
      <w:bookmarkEnd w:id="289"/>
      <w:r>
        <w:rPr>
          <w:rFonts w:ascii="Times New Roman;serif" w:hAnsi="Times New Roman;serif"/>
          <w:b w:val="false"/>
          <w:color w:val="000000"/>
          <w:sz w:val="24"/>
        </w:rPr>
        <w:t>Section 8.02    </w:t>
      </w:r>
      <w:r>
        <w:rPr>
          <w:rFonts w:ascii="Times New Roman;serif" w:hAnsi="Times New Roman;serif"/>
          <w:b w:val="false"/>
          <w:i/>
          <w:color w:val="000000"/>
          <w:sz w:val="24"/>
        </w:rPr>
        <w:t>Legal Defeasance and Discharge.</w:t>
      </w:r>
    </w:p>
    <w:p>
      <w:pPr>
        <w:pStyle w:val="TextBody"/>
        <w:bidi w:val="0"/>
        <w:spacing w:lineRule="auto" w:line="288" w:before="0" w:after="240"/>
        <w:ind w:left="0" w:right="0" w:firstLine="720"/>
        <w:jc w:val="both"/>
        <w:rPr/>
      </w:pPr>
      <w:r>
        <w:rPr>
          <w:rFonts w:ascii="Times New Roman;serif" w:hAnsi="Times New Roman;serif"/>
          <w:b w:val="false"/>
          <w:color w:val="000000"/>
          <w:sz w:val="24"/>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on the date the conditions set forth below are satisfied (hereinafter, “</w:t>
      </w:r>
      <w:r>
        <w:rPr>
          <w:rFonts w:ascii="Times New Roman;serif" w:hAnsi="Times New Roman;serif"/>
          <w:b w:val="false"/>
          <w:i/>
          <w:color w:val="000000"/>
          <w:sz w:val="24"/>
          <w:u w:val="single"/>
        </w:rPr>
        <w:t>Legal Defeasance</w:t>
      </w:r>
      <w:r>
        <w:rPr>
          <w:color w:val="000000"/>
        </w:rPr>
        <w:t>”</w:t>
      </w:r>
      <w:r>
        <w:rPr>
          <w:rFonts w:ascii="Times New Roman;serif" w:hAnsi="Times New Roman;serif"/>
          <w:b w:val="false"/>
          <w:color w:val="000000"/>
          <w:sz w:val="24"/>
        </w:rPr>
        <w:t xml:space="preserve">).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and this Indenture (and the Trustee, on demand of and at the expense of the Issuers, shall execute proper instruments acknowledging the same), except for the following provisions which shall survive until otherwise terminated or discharged hereunder: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0" w:name="ie4399336e9ea4fdda1a2e3d93013261e"/>
      <w:bookmarkEnd w:id="290"/>
      <w:r>
        <w:rPr>
          <w:rFonts w:ascii="Times New Roman;serif" w:hAnsi="Times New Roman;serif"/>
          <w:b w:val="false"/>
          <w:color w:val="000000"/>
          <w:sz w:val="24"/>
        </w:rPr>
        <w:t xml:space="preserve">(a)    the rights of Holders of outstanding Notes to receive payments in respect of the principal of, or interest or premium, if any, on such Notes when such payments are due from the trust referred to in Section 8.04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1" w:name="i12d740c5d0434f40a02641ee847fab05"/>
      <w:bookmarkEnd w:id="291"/>
      <w:r>
        <w:rPr>
          <w:rFonts w:ascii="Times New Roman;serif" w:hAnsi="Times New Roman;serif"/>
          <w:b w:val="false"/>
          <w:color w:val="000000"/>
          <w:sz w:val="24"/>
        </w:rPr>
        <w:t xml:space="preserve">(b)    the Issuers’ obligations with respect to such Notes under Article 2 and Section 4.02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2" w:name="i0da7fb3f06fa4f7c912d92ae30ee5da3"/>
      <w:bookmarkEnd w:id="292"/>
      <w:r>
        <w:rPr>
          <w:rFonts w:ascii="Times New Roman;serif" w:hAnsi="Times New Roman;serif"/>
          <w:b w:val="false"/>
          <w:color w:val="000000"/>
          <w:sz w:val="24"/>
        </w:rPr>
        <w:t xml:space="preserve">(c)    the rights, powers, trusts, duties and immunities of the Trustee hereunder and the Issuers’ and the Guarantors’ obligations in connection therewith; and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3" w:name="iff3104bc62aa46ef91c38682daf2ea82"/>
      <w:bookmarkEnd w:id="293"/>
      <w:r>
        <w:rPr>
          <w:rFonts w:ascii="Times New Roman;serif" w:hAnsi="Times New Roman;serif"/>
          <w:b w:val="false"/>
          <w:color w:val="000000"/>
          <w:sz w:val="24"/>
        </w:rPr>
        <w:t>(d)    this Article 8.</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compliance with this Article 8, the Issuers may exercise their option under this Section 8.02 notwithstanding the prior exercise of its option under Section 8.03 hereof.</w:t>
      </w:r>
    </w:p>
    <w:p>
      <w:pPr>
        <w:pStyle w:val="TextBody"/>
        <w:bidi w:val="0"/>
        <w:spacing w:lineRule="auto" w:line="288" w:before="0" w:after="240"/>
        <w:ind w:left="0" w:right="0" w:hanging="720"/>
        <w:jc w:val="both"/>
        <w:rPr/>
      </w:pPr>
      <w:bookmarkStart w:id="294" w:name="id18aebc7d6404ed79eb89e704e4876d3"/>
      <w:bookmarkEnd w:id="294"/>
      <w:r>
        <w:rPr>
          <w:rFonts w:ascii="Times New Roman;serif" w:hAnsi="Times New Roman;serif"/>
          <w:b w:val="false"/>
          <w:color w:val="000000"/>
          <w:sz w:val="24"/>
        </w:rPr>
        <w:t>Section 8.03    </w:t>
      </w:r>
      <w:r>
        <w:rPr>
          <w:rFonts w:ascii="Times New Roman;serif" w:hAnsi="Times New Roman;serif"/>
          <w:b w:val="false"/>
          <w:i/>
          <w:color w:val="000000"/>
          <w:sz w:val="24"/>
        </w:rPr>
        <w:t>Covenant Defeasance.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Upon the Issuers’ exercise under Section 8.01 hereof of the option applicable to this Section 8.03, the Issuers and any Guarantors shall, subject to the satisfaction of the conditions set forth in Section 8.04 hereof, be released from each of their obligations under the covenants contained in Sections 4.07, 4.08, 4.10 and 4.11 hereof with respect to the outstanding Notes on and after the date the conditions set forth in Section 8.04 hereof are satisfied (hereinafter, “</w:t>
      </w:r>
      <w:r>
        <w:rPr>
          <w:rFonts w:ascii="Times New Roman;serif" w:hAnsi="Times New Roman;serif"/>
          <w:b w:val="false"/>
          <w:i/>
          <w:color w:val="000000"/>
          <w:sz w:val="24"/>
          <w:u w:val="single"/>
        </w:rPr>
        <w:t>Covenant Defeasance</w:t>
      </w:r>
      <w:r>
        <w:rPr>
          <w:color w:val="000000"/>
        </w:rPr>
        <w:t>”</w:t>
      </w:r>
      <w:r>
        <w:rPr>
          <w:rFonts w:ascii="Times New Roman;serif" w:hAnsi="Times New Roman;serif"/>
          <w:b w:val="false"/>
          <w:color w:val="000000"/>
          <w:sz w:val="24"/>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6.01(g) hereof shall not constitute Events of Default.</w:t>
      </w:r>
    </w:p>
    <w:p>
      <w:pPr>
        <w:pStyle w:val="TextBody"/>
        <w:bidi w:val="0"/>
        <w:spacing w:lineRule="auto" w:line="288" w:before="0" w:after="240"/>
        <w:ind w:left="0" w:right="0" w:hanging="720"/>
        <w:jc w:val="both"/>
        <w:rPr/>
      </w:pPr>
      <w:bookmarkStart w:id="295" w:name="i65beb2d245424897a2b86c40cf641233"/>
      <w:bookmarkEnd w:id="295"/>
      <w:r>
        <w:rPr>
          <w:rFonts w:ascii="Times New Roman;serif" w:hAnsi="Times New Roman;serif"/>
          <w:b w:val="false"/>
          <w:color w:val="000000"/>
          <w:sz w:val="24"/>
        </w:rPr>
        <w:t>Section 8.04    </w:t>
      </w:r>
      <w:r>
        <w:rPr>
          <w:rFonts w:ascii="Times New Roman;serif" w:hAnsi="Times New Roman;serif"/>
          <w:b w:val="false"/>
          <w:i/>
          <w:color w:val="000000"/>
          <w:sz w:val="24"/>
        </w:rPr>
        <w:t>Conditions to Legal or Covenant Defeasance.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order to exercise either Legal Defeasance or Covenant Defeasance under either Section 8.02 or 8.03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6" w:name="i4939cb938167494aa44cbba6102cb959"/>
      <w:bookmarkEnd w:id="296"/>
      <w:r>
        <w:rPr>
          <w:rFonts w:ascii="Times New Roman;serif" w:hAnsi="Times New Roman;serif"/>
          <w:b w:val="false"/>
          <w:color w:val="000000"/>
          <w:sz w:val="24"/>
        </w:rPr>
        <w:t xml:space="preserve">(a)    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7" w:name="iafcacc08ad1c40fb81d971b9118ae23c"/>
      <w:bookmarkEnd w:id="297"/>
      <w:r>
        <w:rPr>
          <w:rFonts w:ascii="Times New Roman;serif" w:hAnsi="Times New Roman;serif"/>
          <w:b w:val="false"/>
          <w:color w:val="000000"/>
          <w:sz w:val="24"/>
        </w:rPr>
        <w:t xml:space="preserve">(b)    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Issue Date,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 </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8" w:name="i3a57044b300949e187bc874b6101ef3d"/>
      <w:bookmarkEnd w:id="298"/>
      <w:r>
        <w:rPr>
          <w:rFonts w:ascii="Times New Roman;serif" w:hAnsi="Times New Roman;serif"/>
          <w:b w:val="false"/>
          <w:color w:val="000000"/>
          <w:sz w:val="24"/>
        </w:rPr>
        <w:t xml:space="preserve">(c)    in the case of an election under Section 8.03 hereof, the Issuers have delivered to the Trustee an Opinion of Counsel reasonably acceptable to the Trustee confirming that the Holders of the outstanding Notes shall not recognize income, gain or loss for United States federal income tax purposes as a result of such Covenant Defeasance and shall be subject to United States federal income tax on the same amounts, in the same manner and at the same times as would have been the case if such Covenant Defeasance had not occurred;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99" w:name="i11600b68738a473d8b4ca496adfd1ec8"/>
      <w:bookmarkEnd w:id="299"/>
      <w:r>
        <w:rPr>
          <w:rFonts w:ascii="Times New Roman;serif" w:hAnsi="Times New Roman;serif"/>
          <w:b w:val="false"/>
          <w:color w:val="000000"/>
          <w:sz w:val="24"/>
        </w:rPr>
        <w:t xml:space="preserve">(d)    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0" w:name="i7a779c4995734d1ab90593da6a37c55a"/>
      <w:bookmarkEnd w:id="300"/>
      <w:r>
        <w:rPr>
          <w:rFonts w:ascii="Times New Roman;serif" w:hAnsi="Times New Roman;serif"/>
          <w:b w:val="false"/>
          <w:color w:val="000000"/>
          <w:sz w:val="24"/>
        </w:rPr>
        <w:t xml:space="preserve">(e)    such Legal Defeasance or Covenant Defeasance shall not result in a breach or violation of, or constitute a default under any material agreement or instrument (other than this Indenture) to which either Issuer or any Guarantor is a party or by which any such Person is bound;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1" w:name="ia6a2ab3339d14e5bac0bb1434aedcc2a"/>
      <w:bookmarkEnd w:id="301"/>
      <w:r>
        <w:rPr>
          <w:rFonts w:ascii="Times New Roman;serif" w:hAnsi="Times New Roman;serif"/>
          <w:b w:val="false"/>
          <w:color w:val="000000"/>
          <w:sz w:val="24"/>
        </w:rPr>
        <w:t xml:space="preserve">(f)    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2" w:name="i09ac2f3bcc4f4762b576315ffc450fdb"/>
      <w:bookmarkEnd w:id="302"/>
      <w:r>
        <w:rPr>
          <w:rFonts w:ascii="Times New Roman;serif" w:hAnsi="Times New Roman;serif"/>
          <w:b w:val="false"/>
          <w:color w:val="000000"/>
          <w:sz w:val="24"/>
        </w:rPr>
        <w:t xml:space="preserve">(g)    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3" w:name="i597d8f965978413991b0858c221d444c"/>
      <w:bookmarkEnd w:id="303"/>
      <w:r>
        <w:rPr>
          <w:rFonts w:ascii="Times New Roman;serif" w:hAnsi="Times New Roman;serif"/>
          <w:b w:val="false"/>
          <w:color w:val="000000"/>
          <w:sz w:val="24"/>
        </w:rPr>
        <w:t xml:space="preserve">(h)    the Issuers must deliver to the Trustee an Officers’ Certificate and an Opinion of Counsel, each stating that all conditions precedent relating to the Legal Defeasance or the Covenant Defeasance have been complied with. </w:t>
      </w:r>
    </w:p>
    <w:p>
      <w:pPr>
        <w:pStyle w:val="TextBody"/>
        <w:bidi w:val="0"/>
        <w:spacing w:lineRule="auto" w:line="288" w:before="0" w:after="240"/>
        <w:ind w:left="0" w:right="0" w:hanging="720"/>
        <w:jc w:val="both"/>
        <w:rPr/>
      </w:pPr>
      <w:bookmarkStart w:id="304" w:name="ic4e6072860d6455d9b7d7bb6b355a035"/>
      <w:bookmarkEnd w:id="304"/>
      <w:r>
        <w:rPr>
          <w:rFonts w:ascii="Times New Roman;serif" w:hAnsi="Times New Roman;serif"/>
          <w:b w:val="false"/>
          <w:color w:val="000000"/>
          <w:sz w:val="24"/>
        </w:rPr>
        <w:t>Section 8.05    </w:t>
      </w:r>
      <w:r>
        <w:rPr>
          <w:rFonts w:ascii="Times New Roman;serif" w:hAnsi="Times New Roman;serif"/>
          <w:b w:val="false"/>
          <w:i/>
          <w:color w:val="000000"/>
          <w:sz w:val="24"/>
        </w:rPr>
        <w:t>Deposited Money and Government Securities to be Held in Trust; Other Miscellaneous Provisions.</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Subject to Section 8.06 hereof, all money and Government Securities (including the proceeds thereof) deposited with the Trustee (or other qualifying trustee, collectively for purposes of this Section 8.05,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pStyle w:val="TextBody"/>
        <w:bidi w:val="0"/>
        <w:spacing w:lineRule="auto" w:line="288" w:before="0" w:after="240"/>
        <w:ind w:left="0" w:right="0" w:hanging="720"/>
        <w:jc w:val="both"/>
        <w:rPr/>
      </w:pPr>
      <w:bookmarkStart w:id="305" w:name="ib7c005fad14540788a1d87ca610c6bef"/>
      <w:bookmarkEnd w:id="305"/>
      <w:r>
        <w:rPr>
          <w:rFonts w:ascii="Times New Roman;serif" w:hAnsi="Times New Roman;serif"/>
          <w:b w:val="false"/>
          <w:color w:val="000000"/>
          <w:sz w:val="24"/>
        </w:rPr>
        <w:t>Section 8.06    </w:t>
      </w:r>
      <w:r>
        <w:rPr>
          <w:rFonts w:ascii="Times New Roman;serif" w:hAnsi="Times New Roman;serif"/>
          <w:b w:val="false"/>
          <w:i/>
          <w:color w:val="000000"/>
          <w:sz w:val="24"/>
        </w:rPr>
        <w:t>Repayment to Issuers.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escheatment law, 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w:t>
      </w:r>
    </w:p>
    <w:p>
      <w:pPr>
        <w:pStyle w:val="TextBody"/>
        <w:bidi w:val="0"/>
        <w:spacing w:lineRule="auto" w:line="288" w:before="0" w:after="240"/>
        <w:ind w:left="0" w:right="0" w:hanging="720"/>
        <w:jc w:val="both"/>
        <w:rPr/>
      </w:pPr>
      <w:bookmarkStart w:id="306" w:name="ibdd07546f33d4bfda8735661112d3c90"/>
      <w:bookmarkEnd w:id="306"/>
      <w:r>
        <w:rPr>
          <w:rFonts w:ascii="Times New Roman;serif" w:hAnsi="Times New Roman;serif"/>
          <w:b w:val="false"/>
          <w:color w:val="000000"/>
          <w:sz w:val="24"/>
        </w:rPr>
        <w:t>Section 8.07    </w:t>
      </w:r>
      <w:r>
        <w:rPr>
          <w:rFonts w:ascii="Times New Roman;serif" w:hAnsi="Times New Roman;serif"/>
          <w:b w:val="false"/>
          <w:i/>
          <w:color w:val="000000"/>
          <w:sz w:val="24"/>
        </w:rPr>
        <w:t>Reinstatement.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and the Note Guarantee shall be revived and reinstated as though no deposit had occurred pursuant to Section 8.02 or 8.03 hereof until such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time as the Trustee or Paying Agent is permitted to apply all such money in accordance with Section 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bookmarkStart w:id="307" w:name="i1aa48f9053724f25be7b33d690f4d5d1"/>
      <w:bookmarkEnd w:id="307"/>
      <w:r>
        <w:rPr>
          <w:rFonts w:ascii="Times New Roman;serif" w:hAnsi="Times New Roman;serif"/>
          <w:b/>
          <w:color w:val="000000"/>
          <w:sz w:val="24"/>
        </w:rPr>
        <w:t>ARTICLE 9.</w:t>
        <w:br/>
        <w:t xml:space="preserve">AMENDMENT, SUPPLEMENT AND WAIVER </w:t>
      </w:r>
    </w:p>
    <w:p>
      <w:pPr>
        <w:pStyle w:val="TextBody"/>
        <w:bidi w:val="0"/>
        <w:spacing w:lineRule="auto" w:line="288" w:before="0" w:after="240"/>
        <w:ind w:left="0" w:right="0" w:hanging="720"/>
        <w:jc w:val="both"/>
        <w:rPr/>
      </w:pPr>
      <w:bookmarkStart w:id="308" w:name="i48e96e5c1a7047da86137b2256525cc3"/>
      <w:bookmarkEnd w:id="308"/>
      <w:r>
        <w:rPr>
          <w:rFonts w:ascii="Times New Roman;serif" w:hAnsi="Times New Roman;serif"/>
          <w:b w:val="false"/>
          <w:color w:val="000000"/>
          <w:sz w:val="24"/>
        </w:rPr>
        <w:t>Section 9.01    </w:t>
      </w:r>
      <w:r>
        <w:rPr>
          <w:rFonts w:ascii="Times New Roman;serif" w:hAnsi="Times New Roman;serif"/>
          <w:b w:val="false"/>
          <w:i/>
          <w:color w:val="000000"/>
          <w:sz w:val="24"/>
        </w:rPr>
        <w:t>Without Consent of Holders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Section 9.02 of this Indenture, without the consent of any Holder, the Issuers, the Guarantors and the Trustee may amend or supplement this Indenture, the Notes or the Note Guarantees to: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9" w:name="i9725b7633205414d83523e731c7bc28e"/>
      <w:bookmarkEnd w:id="309"/>
      <w:r>
        <w:rPr>
          <w:rFonts w:ascii="Times New Roman;serif" w:hAnsi="Times New Roman;serif"/>
          <w:b w:val="false"/>
          <w:color w:val="000000"/>
          <w:sz w:val="24"/>
        </w:rPr>
        <w:t xml:space="preserve">(a)    cure any ambiguity, defect or inconsistency;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0" w:name="i985553b85ec949039533fb082f0fcc0d"/>
      <w:bookmarkEnd w:id="310"/>
      <w:r>
        <w:rPr>
          <w:rFonts w:ascii="Times New Roman;serif" w:hAnsi="Times New Roman;serif"/>
          <w:b w:val="false"/>
          <w:color w:val="000000"/>
          <w:sz w:val="24"/>
        </w:rPr>
        <w:t xml:space="preserve">(b)    provide for uncertificated Notes in addition to or in place of certificated Notes;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1" w:name="i48a1776af832409489c8357d4af0eedd"/>
      <w:bookmarkEnd w:id="311"/>
      <w:r>
        <w:rPr>
          <w:rFonts w:ascii="Times New Roman;serif" w:hAnsi="Times New Roman;serif"/>
          <w:b w:val="false"/>
          <w:color w:val="000000"/>
          <w:sz w:val="24"/>
        </w:rPr>
        <w:t xml:space="preserve">(c)    provide for the assumption of the Issuers’ or any Guarantor’s obligations to the Holders of the Notes and Note Guarantees by a successor to the Issuers or such Guarantor, as the case may be, in the case of a merger or consolidation or sale of all or substantially all of Wynn Resorts Finance’s or such Guarantor’s assets pursuant to Article 5 or Article 11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2" w:name="i1fff7d8203a84f3895a7a7c04d7d90f3"/>
      <w:bookmarkEnd w:id="312"/>
      <w:r>
        <w:rPr>
          <w:rFonts w:ascii="Times New Roman;serif" w:hAnsi="Times New Roman;serif"/>
          <w:b w:val="false"/>
          <w:color w:val="000000"/>
          <w:sz w:val="24"/>
        </w:rPr>
        <w:t xml:space="preserve">(d)    make any change that would provide any additional rights or benefits to the Holders of the Notes or that does not adversely affect the legal rights hereunder of any such Holder;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3" w:name="i6322c47b2b4f4210bbb9178b1f719c24"/>
      <w:bookmarkEnd w:id="313"/>
      <w:r>
        <w:rPr>
          <w:rFonts w:ascii="Times New Roman;serif" w:hAnsi="Times New Roman;serif"/>
          <w:b w:val="false"/>
          <w:color w:val="000000"/>
          <w:sz w:val="24"/>
        </w:rPr>
        <w:t>(e)    conform the text of this Indenture, the Notes or the Note Guarantees to any provision of the “Description of the Notes” in the Issuers’ Offering Memorandum, dated as of September 10, 2026,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4" w:name="i153ff083c75d4c76878a7fb44d9fa96e"/>
      <w:bookmarkEnd w:id="314"/>
      <w:r>
        <w:rPr>
          <w:rFonts w:ascii="Times New Roman;serif" w:hAnsi="Times New Roman;serif"/>
          <w:b w:val="false"/>
          <w:color w:val="000000"/>
          <w:sz w:val="24"/>
        </w:rPr>
        <w:t xml:space="preserve">(f)    to release the Note Guarantee of a Guarantor in accordance with the terms of this Indenture;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5" w:name="i4cbd64368a274c4bafd54c3a2055fdf7"/>
      <w:bookmarkEnd w:id="315"/>
      <w:r>
        <w:rPr>
          <w:rFonts w:ascii="Times New Roman;serif" w:hAnsi="Times New Roman;serif"/>
          <w:b w:val="false"/>
          <w:color w:val="000000"/>
          <w:sz w:val="24"/>
        </w:rPr>
        <w:t xml:space="preserve">(g)    provide for the issuance of Additional Notes in accordance with the limitations set forth in this Indenture as of the Issue Date;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6" w:name="i1d3a6feead5c4e208d5f2ed90f915b95"/>
      <w:bookmarkEnd w:id="316"/>
      <w:r>
        <w:rPr>
          <w:rFonts w:ascii="Times New Roman;serif" w:hAnsi="Times New Roman;serif"/>
          <w:b w:val="false"/>
          <w:color w:val="000000"/>
          <w:sz w:val="24"/>
        </w:rPr>
        <w:t>(h)    allow any Guarantor to execute a supplemental indenture and/or a Note Guarantee with respect to the Notes;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7" w:name="ic6ae08cceaea45ab803341da5485aa7e"/>
      <w:bookmarkEnd w:id="317"/>
      <w:r>
        <w:rPr>
          <w:rFonts w:ascii="Times New Roman;serif" w:hAnsi="Times New Roman;serif"/>
          <w:b w:val="false"/>
          <w:color w:val="000000"/>
          <w:sz w:val="24"/>
        </w:rPr>
        <w:t>(i)    to comply with requirements of the SEC in order to effect or maintain the qualification of this Indenture under the Trust Indenture Act, if then applicable;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8" w:name="i184b906625a84864932db2aa8906f0c4"/>
      <w:bookmarkEnd w:id="318"/>
      <w:r>
        <w:rPr>
          <w:rFonts w:ascii="Times New Roman;serif" w:hAnsi="Times New Roman;serif"/>
          <w:b w:val="false"/>
          <w:color w:val="000000"/>
          <w:sz w:val="24"/>
        </w:rPr>
        <w:t>(j)    to comply with requirements of applicable Gaming Laws or to provide for requirements imposed by applicable Gaming Authorities;</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9" w:name="i65f9ac23ffb24d0b88f62f23442a483f"/>
      <w:bookmarkEnd w:id="319"/>
      <w:r>
        <w:rPr>
          <w:rFonts w:ascii="Times New Roman;serif" w:hAnsi="Times New Roman;serif"/>
          <w:b w:val="false"/>
          <w:color w:val="000000"/>
          <w:sz w:val="24"/>
        </w:rPr>
        <w:t>(k)    to provide for the acceptance or appointment of a successor trustee;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0" w:name="id50e14cd8b064f68833fead1270b907f"/>
      <w:bookmarkEnd w:id="320"/>
      <w:r>
        <w:rPr>
          <w:rFonts w:ascii="Times New Roman;serif" w:hAnsi="Times New Roman;serif"/>
          <w:b w:val="false"/>
          <w:color w:val="000000"/>
          <w:sz w:val="24"/>
        </w:rPr>
        <w:t>(l)    provide for the Notes to become secured.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pStyle w:val="TextBody"/>
        <w:bidi w:val="0"/>
        <w:spacing w:lineRule="auto" w:line="288" w:before="0" w:after="240"/>
        <w:ind w:left="0" w:right="0" w:hanging="720"/>
        <w:jc w:val="both"/>
        <w:rPr/>
      </w:pPr>
      <w:bookmarkStart w:id="321" w:name="i8b112f873f91486e8bb946ef58462e1c"/>
      <w:bookmarkEnd w:id="321"/>
      <w:r>
        <w:rPr>
          <w:rFonts w:ascii="Times New Roman;serif" w:hAnsi="Times New Roman;serif"/>
          <w:b w:val="false"/>
          <w:color w:val="000000"/>
          <w:sz w:val="24"/>
        </w:rPr>
        <w:t>Section 9.02    </w:t>
      </w:r>
      <w:r>
        <w:rPr>
          <w:rFonts w:ascii="Times New Roman;serif" w:hAnsi="Times New Roman;serif"/>
          <w:b w:val="false"/>
          <w:i/>
          <w:color w:val="000000"/>
          <w:sz w:val="24"/>
        </w:rPr>
        <w:t>With Consent of Holders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provided below in this Section 9.02, the Issuers, the Guarantors and the Trustee may amend or supplement this Indenture (including, without limitation, Section 4.11 hereof),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not necessary for the consent of the Holders of Notes under this Section 9.02 to approve the particular form of any proposed amendment or waiver, but it is sufficient if such consent approves the substance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After an amendment, supplement or waiver under this Section 9.02 becomes effective, the Issuers shall deliver to the Holders of Notes affected thereby a notice briefly describing the amendment, supplement or waiver. Any failure of the Issuers to deliver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 </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2" w:name="i3b6c26d000d1410f84c821bf83ef4dd3"/>
      <w:bookmarkEnd w:id="322"/>
      <w:r>
        <w:rPr>
          <w:rFonts w:ascii="Times New Roman;serif" w:hAnsi="Times New Roman;serif"/>
          <w:b w:val="false"/>
          <w:color w:val="000000"/>
          <w:sz w:val="24"/>
        </w:rPr>
        <w:t xml:space="preserve">(a)    reduce the principal amount of Notes whose Holders must consent to an amendment, supplement or waiver;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3" w:name="iade6674dc2e64d7295542ec1b25d46c5"/>
      <w:bookmarkEnd w:id="323"/>
      <w:r>
        <w:rPr>
          <w:rFonts w:ascii="Times New Roman;serif" w:hAnsi="Times New Roman;serif"/>
          <w:b w:val="false"/>
          <w:color w:val="000000"/>
          <w:sz w:val="24"/>
        </w:rPr>
        <w:t xml:space="preserve">(b)    reduce the principal of or change the fixed maturity of any Note or alter or waive any of the provisions with respect to the redemption of the Notes, except as provided above with respect to Section 4.11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4" w:name="i0052d7f7bca04d0fa20ff1c30217850f"/>
      <w:bookmarkEnd w:id="324"/>
      <w:r>
        <w:rPr>
          <w:rFonts w:ascii="Times New Roman;serif" w:hAnsi="Times New Roman;serif"/>
          <w:b w:val="false"/>
          <w:color w:val="000000"/>
          <w:sz w:val="24"/>
        </w:rPr>
        <w:t xml:space="preserve">(c)    reduce the rate of or change the time for payment of interest, including default interest, on any Note;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5" w:name="if214180d67914bd99a82c29bcce5bacf"/>
      <w:bookmarkEnd w:id="325"/>
      <w:r>
        <w:rPr>
          <w:rFonts w:ascii="Times New Roman;serif" w:hAnsi="Times New Roman;serif"/>
          <w:b w:val="false"/>
          <w:color w:val="000000"/>
          <w:sz w:val="24"/>
        </w:rPr>
        <w:t xml:space="preserve">(d)    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6" w:name="idf0f23cfca374aebbc368554cd391dc2"/>
      <w:bookmarkEnd w:id="326"/>
      <w:r>
        <w:rPr>
          <w:rFonts w:ascii="Times New Roman;serif" w:hAnsi="Times New Roman;serif"/>
          <w:b w:val="false"/>
          <w:color w:val="000000"/>
          <w:sz w:val="24"/>
        </w:rPr>
        <w:t xml:space="preserve">(e)    make any Note payable in money other than that stated in the Notes;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7" w:name="i8eb3a2c58f2b49a9870b4720b5aeb6c0"/>
      <w:bookmarkEnd w:id="327"/>
      <w:r>
        <w:rPr>
          <w:rFonts w:ascii="Times New Roman;serif" w:hAnsi="Times New Roman;serif"/>
          <w:b w:val="false"/>
          <w:color w:val="000000"/>
          <w:sz w:val="24"/>
        </w:rPr>
        <w:t xml:space="preserve">(f)    make any change in the provisions of this Indenture relating to waivers of past Defaults or the rights of Holders of Notes to receive payments of principal of, or interest or premium, if any, on the Notes;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8" w:name="i44066ab2dde444d38e99012cc35db64c"/>
      <w:bookmarkEnd w:id="328"/>
      <w:r>
        <w:rPr>
          <w:rFonts w:ascii="Times New Roman;serif" w:hAnsi="Times New Roman;serif"/>
          <w:b w:val="false"/>
          <w:color w:val="000000"/>
          <w:sz w:val="24"/>
        </w:rPr>
        <w:t xml:space="preserve">(g)    waive a redemption payment with respect to any Note (other than a payment required by Sections 4.11 hereof);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9" w:name="ia994299a69174edbbe5e8826a362e144"/>
      <w:bookmarkEnd w:id="329"/>
      <w:r>
        <w:rPr>
          <w:rFonts w:ascii="Times New Roman;serif" w:hAnsi="Times New Roman;serif"/>
          <w:b w:val="false"/>
          <w:color w:val="000000"/>
          <w:sz w:val="24"/>
        </w:rPr>
        <w:t>(h)    amend or modify any Note Guarantee in a manner that would adversely affect the holders of the Notes or release any Guarantor from any of its obligations under its Note Guarantee or this Indenture (except in accordance with the terms of this Indenture);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0" w:name="iff10d3add6eb460baa3a7e9d20117c17"/>
      <w:bookmarkEnd w:id="330"/>
      <w:r>
        <w:rPr>
          <w:rFonts w:ascii="Times New Roman;serif" w:hAnsi="Times New Roman;serif"/>
          <w:b w:val="false"/>
          <w:color w:val="000000"/>
          <w:sz w:val="24"/>
        </w:rPr>
        <w:t>(i)    make any change in the foregoing amendment and waiver provisions.</w:t>
      </w:r>
    </w:p>
    <w:p>
      <w:pPr>
        <w:pStyle w:val="TextBody"/>
        <w:bidi w:val="0"/>
        <w:spacing w:lineRule="auto" w:line="288" w:before="0" w:after="240"/>
        <w:ind w:left="0" w:right="0" w:hanging="720"/>
        <w:jc w:val="both"/>
        <w:rPr/>
      </w:pPr>
      <w:bookmarkStart w:id="331" w:name="i1d625b62e56a4b898432e6e6b7ad6eae"/>
      <w:bookmarkEnd w:id="331"/>
      <w:r>
        <w:rPr>
          <w:rFonts w:ascii="Times New Roman;serif" w:hAnsi="Times New Roman;serif"/>
          <w:b w:val="false"/>
          <w:color w:val="000000"/>
          <w:sz w:val="24"/>
        </w:rPr>
        <w:t>Section 9.03    </w:t>
      </w:r>
      <w:r>
        <w:rPr>
          <w:rFonts w:ascii="Times New Roman;serif" w:hAnsi="Times New Roman;serif"/>
          <w:b w:val="false"/>
          <w:i/>
          <w:color w:val="000000"/>
          <w:sz w:val="24"/>
        </w:rPr>
        <w:t>Revocation and Effect of Consents.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ind w:left="0" w:right="0" w:hanging="720"/>
        <w:jc w:val="both"/>
        <w:rPr/>
      </w:pPr>
      <w:bookmarkStart w:id="332" w:name="i6dfd003a009841eaadd4d5867d0665e9"/>
      <w:bookmarkEnd w:id="332"/>
      <w:r>
        <w:rPr>
          <w:rFonts w:ascii="Times New Roman;serif" w:hAnsi="Times New Roman;serif"/>
          <w:b w:val="false"/>
          <w:color w:val="000000"/>
          <w:sz w:val="24"/>
        </w:rPr>
        <w:t>Section 9.04    </w:t>
      </w:r>
      <w:r>
        <w:rPr>
          <w:rFonts w:ascii="Times New Roman;serif" w:hAnsi="Times New Roman;serif"/>
          <w:b w:val="false"/>
          <w:i/>
          <w:color w:val="000000"/>
          <w:sz w:val="24"/>
        </w:rPr>
        <w:t>Notation on or Exchange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Failure to make the appropriate notation or issue a new Note shall not affect the validity and effect of such amendment, supplement or waiver.</w:t>
      </w:r>
    </w:p>
    <w:p>
      <w:pPr>
        <w:pStyle w:val="TextBody"/>
        <w:bidi w:val="0"/>
        <w:spacing w:lineRule="auto" w:line="288" w:before="0" w:after="240"/>
        <w:ind w:left="0" w:right="0" w:hanging="720"/>
        <w:jc w:val="both"/>
        <w:rPr/>
      </w:pPr>
      <w:bookmarkStart w:id="333" w:name="i83d9c8a037db4c61b6d9666b7e9b880b"/>
      <w:bookmarkEnd w:id="333"/>
      <w:r>
        <w:rPr>
          <w:rFonts w:ascii="Times New Roman;serif" w:hAnsi="Times New Roman;serif"/>
          <w:b w:val="false"/>
          <w:color w:val="000000"/>
          <w:sz w:val="24"/>
        </w:rPr>
        <w:t>Section 9.05    </w:t>
      </w:r>
      <w:r>
        <w:rPr>
          <w:rFonts w:ascii="Times New Roman;serif" w:hAnsi="Times New Roman;serif"/>
          <w:b w:val="false"/>
          <w:i/>
          <w:color w:val="000000"/>
          <w:sz w:val="24"/>
        </w:rPr>
        <w:t>Trustee to Sign Amendments,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 and an Opinion of Counsel stating that the supplemental indenture is a valid and binding obligation of the Issuers, enforceable against each of them in accordance with its terms.</w:t>
      </w:r>
    </w:p>
    <w:p>
      <w:pPr>
        <w:pStyle w:val="TextBody"/>
        <w:bidi w:val="0"/>
        <w:spacing w:lineRule="auto" w:line="288" w:before="0" w:after="240"/>
        <w:jc w:val="center"/>
        <w:rPr>
          <w:rFonts w:ascii="Times New Roman;serif" w:hAnsi="Times New Roman;serif"/>
          <w:b/>
          <w:color w:val="000000"/>
          <w:sz w:val="24"/>
        </w:rPr>
      </w:pPr>
      <w:bookmarkStart w:id="334" w:name="ie16d4f00e7124861814451b6ea6baca1"/>
      <w:bookmarkEnd w:id="334"/>
      <w:r>
        <w:rPr>
          <w:rFonts w:ascii="Times New Roman;serif" w:hAnsi="Times New Roman;serif"/>
          <w:b/>
          <w:color w:val="000000"/>
          <w:sz w:val="24"/>
        </w:rPr>
        <w:t>ARTICLE 10.</w:t>
        <w:br/>
        <w:t>[RESERVED]</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rPr>
      </w:pPr>
      <w:bookmarkStart w:id="335" w:name="i8dff9c21f597444e879831b69a8dc990"/>
      <w:bookmarkEnd w:id="335"/>
      <w:r>
        <w:rPr>
          <w:rFonts w:ascii="Times New Roman;serif" w:hAnsi="Times New Roman;serif"/>
          <w:b/>
          <w:color w:val="000000"/>
          <w:sz w:val="24"/>
        </w:rPr>
        <w:t>ARTICLE 11.</w:t>
        <w:br/>
        <w:t xml:space="preserve">NOTE GUARANTEES </w:t>
      </w:r>
    </w:p>
    <w:p>
      <w:pPr>
        <w:pStyle w:val="TextBody"/>
        <w:bidi w:val="0"/>
        <w:spacing w:lineRule="auto" w:line="288" w:before="0" w:after="240"/>
        <w:ind w:left="0" w:right="0" w:hanging="720"/>
        <w:jc w:val="both"/>
        <w:rPr/>
      </w:pPr>
      <w:bookmarkStart w:id="336" w:name="ia50053dee6dd4c438c5fa9fae7bc44db"/>
      <w:bookmarkEnd w:id="336"/>
      <w:r>
        <w:rPr>
          <w:rFonts w:ascii="Times New Roman;serif" w:hAnsi="Times New Roman;serif"/>
          <w:b w:val="false"/>
          <w:color w:val="000000"/>
          <w:sz w:val="24"/>
        </w:rPr>
        <w:t>Section 11.01    </w:t>
      </w:r>
      <w:r>
        <w:rPr>
          <w:rFonts w:ascii="Times New Roman;serif" w:hAnsi="Times New Roman;serif"/>
          <w:b w:val="false"/>
          <w:i/>
          <w:color w:val="000000"/>
          <w:sz w:val="24"/>
        </w:rPr>
        <w:t>Note Guarantee.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7" w:name="i2c9ff9f4956f4e1cb475c08d11492484"/>
      <w:bookmarkEnd w:id="337"/>
      <w:r>
        <w:rPr>
          <w:rFonts w:ascii="Times New Roman;serif" w:hAnsi="Times New Roman;serif"/>
          <w:b w:val="false"/>
          <w:color w:val="000000"/>
          <w:sz w:val="24"/>
        </w:rPr>
        <w:t>(a)    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8" w:name="id015ef20fece4115a8cfb87b49b5bc06"/>
      <w:bookmarkEnd w:id="338"/>
      <w:r>
        <w:rPr>
          <w:rFonts w:ascii="Times New Roman;serif" w:hAnsi="Times New Roman;serif"/>
          <w:b w:val="false"/>
          <w:color w:val="000000"/>
          <w:sz w:val="24"/>
        </w:rPr>
        <w:t xml:space="preserve">(1)    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thereunder shall be promptly paid in full or performed, all in accordance with the terms hereof and thereof; and </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9" w:name="i0af12e380abb457497a3c889c1a02efd"/>
      <w:bookmarkEnd w:id="339"/>
      <w:r>
        <w:rPr>
          <w:rFonts w:ascii="Times New Roman;serif" w:hAnsi="Times New Roman;serif"/>
          <w:b w:val="false"/>
          <w:color w:val="000000"/>
          <w:sz w:val="24"/>
        </w:rPr>
        <w:t>(2)    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0" w:name="i26f433cfea534105905ffabdf8ec5b2b"/>
      <w:bookmarkEnd w:id="340"/>
      <w:r>
        <w:rPr>
          <w:rFonts w:ascii="Times New Roman;serif" w:hAnsi="Times New Roman;serif"/>
          <w:b w:val="false"/>
          <w:color w:val="000000"/>
          <w:sz w:val="24"/>
        </w:rPr>
        <w:t>(b)    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1" w:name="i809a0b55da454fa7819b6a44c50e297e"/>
      <w:bookmarkEnd w:id="341"/>
      <w:r>
        <w:rPr>
          <w:rFonts w:ascii="Times New Roman;serif" w:hAnsi="Times New Roman;serif"/>
          <w:b w:val="false"/>
          <w:color w:val="000000"/>
          <w:sz w:val="24"/>
        </w:rPr>
        <w:t>(c)    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2" w:name="i873fe556d52345538d7f69102dd6ddf9"/>
      <w:bookmarkEnd w:id="342"/>
      <w:r>
        <w:rPr>
          <w:rFonts w:ascii="Times New Roman;serif" w:hAnsi="Times New Roman;serif"/>
          <w:b w:val="false"/>
          <w:color w:val="000000"/>
          <w:sz w:val="24"/>
        </w:rPr>
        <w:t xml:space="preserve">(d)    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contribution from any non-paying Guarantor, as the case may be, so long as the exercise of such right does not impair the rights of the Holders under the Note Guarantee.</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0" w:after="240"/>
        <w:ind w:left="0" w:right="0" w:hanging="720"/>
        <w:jc w:val="both"/>
        <w:rPr/>
      </w:pPr>
      <w:bookmarkStart w:id="343" w:name="iaf560ed256514d39be9fc5494d9b9dcf"/>
      <w:bookmarkEnd w:id="343"/>
      <w:r>
        <w:rPr>
          <w:rFonts w:ascii="Times New Roman;serif" w:hAnsi="Times New Roman;serif"/>
          <w:b w:val="false"/>
          <w:color w:val="000000"/>
          <w:sz w:val="24"/>
        </w:rPr>
        <w:t>Section 11.02    </w:t>
      </w:r>
      <w:r>
        <w:rPr>
          <w:rFonts w:ascii="Times New Roman;serif" w:hAnsi="Times New Roman;serif"/>
          <w:b w:val="false"/>
          <w:i/>
          <w:color w:val="000000"/>
          <w:sz w:val="24"/>
        </w:rPr>
        <w:t>Limitation on Guarantor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pStyle w:val="TextBody"/>
        <w:bidi w:val="0"/>
        <w:spacing w:lineRule="auto" w:line="288" w:before="0" w:after="240"/>
        <w:ind w:left="0" w:right="0" w:hanging="720"/>
        <w:jc w:val="both"/>
        <w:rPr/>
      </w:pPr>
      <w:bookmarkStart w:id="344" w:name="ie5a5ed33e981417d8ead17b74d736a9a"/>
      <w:bookmarkEnd w:id="344"/>
      <w:r>
        <w:rPr>
          <w:rFonts w:ascii="Times New Roman;serif" w:hAnsi="Times New Roman;serif"/>
          <w:b w:val="false"/>
          <w:color w:val="000000"/>
          <w:sz w:val="24"/>
        </w:rPr>
        <w:t>Section 11.03    </w:t>
      </w:r>
      <w:r>
        <w:rPr>
          <w:rFonts w:ascii="Times New Roman;serif" w:hAnsi="Times New Roman;serif"/>
          <w:b w:val="false"/>
          <w:i/>
          <w:color w:val="000000"/>
          <w:sz w:val="24"/>
        </w:rPr>
        <w:t>Execution and Delivery of Note 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Guarantors hereby agrees that its Note Guarantee set forth in Section 11.01 shall remain in full force and effect notwithstanding any failure to endorse on each Note a notation of such Note 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Officer whose signature is on this Indenture or on the Note Guarantee no longer holds that office at the time the Trustee authenticates the Note on which a Note Guarantee is endorsed, the Note Guarantee shall be valid nevertheless.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delivery of any Note by the Trustee, after the authentication thereof hereunder, shall constitute due delivery of the Note Guarantee set forth in this Indenture on behalf of the Guarantors.</w:t>
      </w:r>
    </w:p>
    <w:p>
      <w:pPr>
        <w:pStyle w:val="TextBody"/>
        <w:bidi w:val="0"/>
        <w:spacing w:lineRule="auto" w:line="288" w:before="0" w:after="240"/>
        <w:ind w:left="0" w:right="0" w:hanging="720"/>
        <w:jc w:val="both"/>
        <w:rPr/>
      </w:pPr>
      <w:bookmarkStart w:id="345" w:name="i6c3fbee1664d4251a8523e0a1584c1be"/>
      <w:bookmarkEnd w:id="345"/>
      <w:r>
        <w:rPr>
          <w:rFonts w:ascii="Times New Roman;serif" w:hAnsi="Times New Roman;serif"/>
          <w:b w:val="false"/>
          <w:color w:val="000000"/>
          <w:sz w:val="24"/>
        </w:rPr>
        <w:t>Section 11.04    </w:t>
      </w:r>
      <w:r>
        <w:rPr>
          <w:rFonts w:ascii="Times New Roman;serif" w:hAnsi="Times New Roman;serif"/>
          <w:b w:val="false"/>
          <w:i/>
          <w:color w:val="000000"/>
          <w:sz w:val="24"/>
        </w:rPr>
        <w:t>Guarantors May Consolidate, etc., on Certain Terms.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6" w:name="i9c43336c163a41068bdfc83b381b8037"/>
      <w:bookmarkEnd w:id="346"/>
      <w:r>
        <w:rPr>
          <w:rFonts w:ascii="Times New Roman;serif" w:hAnsi="Times New Roman;serif"/>
          <w:b w:val="false"/>
          <w:color w:val="000000"/>
          <w:sz w:val="24"/>
        </w:rPr>
        <w:t xml:space="preserve">(a)    A Guarantor may not consolidate with or merge with or into (whether or not such Guarantor is the surviving Person) another Person, other than either of the Issuers or another Guarantor, unless: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7" w:name="ib3d6baf2107448d1a5c3b4809535170f"/>
      <w:bookmarkEnd w:id="347"/>
      <w:r>
        <w:rPr>
          <w:rFonts w:ascii="Times New Roman;serif" w:hAnsi="Times New Roman;serif"/>
          <w:b w:val="false"/>
          <w:color w:val="000000"/>
          <w:sz w:val="24"/>
        </w:rPr>
        <w:t xml:space="preserve">(1)    immediately after giving effect to that transaction, no Default or Event of Default exists;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8" w:name="ibb6972f4e4d845afbafd575a0c527f16"/>
      <w:bookmarkEnd w:id="348"/>
      <w:r>
        <w:rPr>
          <w:rFonts w:ascii="Times New Roman;serif" w:hAnsi="Times New Roman;serif"/>
          <w:b w:val="false"/>
          <w:color w:val="000000"/>
          <w:sz w:val="24"/>
        </w:rPr>
        <w:t>(2)    the Person surviving any such consolidation or merger assumes all the obligations of that Guarantor under this Indenture and its Note Guarantee pursuant to one or more supplemental indentures and other appropriate documents satisfactory to the Trustee.</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9" w:name="i617b9b1a7e354b11a80ea26cf8295b02"/>
      <w:bookmarkEnd w:id="349"/>
      <w:r>
        <w:rPr>
          <w:rFonts w:ascii="Times New Roman;serif" w:hAnsi="Times New Roman;serif"/>
          <w:b w:val="false"/>
          <w:color w:val="000000"/>
          <w:sz w:val="24"/>
        </w:rPr>
        <w:t>(b)    In case of any consolidation or merger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0" w:name="i2d6f1f22b09d492da8ecef9003670922"/>
      <w:bookmarkEnd w:id="350"/>
      <w:r>
        <w:rPr>
          <w:rFonts w:ascii="Times New Roman;serif" w:hAnsi="Times New Roman;serif"/>
          <w:b w:val="false"/>
          <w:color w:val="000000"/>
          <w:sz w:val="24"/>
        </w:rPr>
        <w:t>(c)    Except as set forth in Articles 4 and 5 hereof, nothing contained in this Indenture or in any of the Notes shall prevent any consolidation or merger of a Guarantor with or into the Issuers or another Guarantor.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1" w:name="i48452cdc94b440c8ad86235746a92417"/>
      <w:bookmarkEnd w:id="351"/>
      <w:r>
        <w:rPr>
          <w:rFonts w:ascii="Times New Roman;serif" w:hAnsi="Times New Roman;serif"/>
          <w:b w:val="false"/>
          <w:color w:val="000000"/>
          <w:sz w:val="24"/>
        </w:rPr>
        <w:t>(d)    Notwithstanding the foregoing, each Guarantor is permitted to reorganize as a corporation pursuant to a Permitted C-Corp. Conversion.</w:t>
      </w:r>
    </w:p>
    <w:p>
      <w:pPr>
        <w:pStyle w:val="TextBody"/>
        <w:bidi w:val="0"/>
        <w:spacing w:lineRule="auto" w:line="288" w:before="0" w:after="240"/>
        <w:ind w:left="0" w:right="0" w:hanging="720"/>
        <w:jc w:val="both"/>
        <w:rPr/>
      </w:pPr>
      <w:bookmarkStart w:id="352" w:name="i08733e8036294bf0875f85fad3e8ac91"/>
      <w:bookmarkEnd w:id="352"/>
      <w:r>
        <w:rPr>
          <w:rFonts w:ascii="Times New Roman;serif" w:hAnsi="Times New Roman;serif"/>
          <w:b w:val="false"/>
          <w:color w:val="000000"/>
          <w:sz w:val="24"/>
        </w:rPr>
        <w:t>Section 11.05    </w:t>
      </w:r>
      <w:r>
        <w:rPr>
          <w:rFonts w:ascii="Times New Roman;serif" w:hAnsi="Times New Roman;serif"/>
          <w:b w:val="false"/>
          <w:i/>
          <w:color w:val="000000"/>
          <w:sz w:val="24"/>
        </w:rPr>
        <w:t>Release of Guarantees.</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compliance with the provisions described above under this Article 11, the Note Guarantee of a Guarantor will be released: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3" w:name="id1e5b41d79154b3a9514569ae9e2cec2"/>
      <w:bookmarkEnd w:id="353"/>
      <w:r>
        <w:rPr>
          <w:rFonts w:ascii="Times New Roman;serif" w:hAnsi="Times New Roman;serif"/>
          <w:b w:val="false"/>
          <w:color w:val="000000"/>
          <w:sz w:val="24"/>
        </w:rPr>
        <w:t xml:space="preserve">(a)    in connection with any sale, assignment, exchange, transfer conveyance or other disposition of all or substantially all of the assets of that Guarantor (including by way of merger, consolidation, amalgamation or otherwise) to a Person that is not (either before or after giving effect to such transaction) an Issuer or a Guarantor;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4" w:name="i9f899adb52ec46ddbe7422b9124b920c"/>
      <w:bookmarkEnd w:id="354"/>
      <w:r>
        <w:rPr>
          <w:rFonts w:ascii="Times New Roman;serif" w:hAnsi="Times New Roman;serif"/>
          <w:b w:val="false"/>
          <w:color w:val="000000"/>
          <w:sz w:val="24"/>
        </w:rPr>
        <w:t xml:space="preserve">(b)    in connection with any sale, assignment, exchange, transfer, conveyance or other disposition of all of the Capital Stock of that Guarantor by way of merger, consolidation, amalgamation or otherwise to a Person that is not (either before or after giving effect to such transaction) an Issuer or a Guarantor;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5" w:name="ia0033c23f0514e10a612390aa463c56e"/>
      <w:bookmarkEnd w:id="355"/>
      <w:r>
        <w:rPr>
          <w:rFonts w:ascii="Times New Roman;serif" w:hAnsi="Times New Roman;serif"/>
          <w:b w:val="false"/>
          <w:color w:val="000000"/>
          <w:sz w:val="24"/>
        </w:rPr>
        <w:t>(c)    upon Legal Defeasance as provided for in Section 8.02 hereof or satisfaction and discharge of this Indenture as provided for in Section 12.01 hereof;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6" w:name="i33a67e54ae904197aa931077422c2c12"/>
      <w:bookmarkEnd w:id="356"/>
      <w:r>
        <w:rPr>
          <w:rFonts w:ascii="Times New Roman;serif" w:hAnsi="Times New Roman;serif"/>
          <w:b w:val="false"/>
          <w:color w:val="000000"/>
          <w:sz w:val="24"/>
        </w:rPr>
        <w:t>(d)    upon the liquidation or dissolution of a Guarantor in a transaction or series of transactions that does not violate the terms of this Indenture.</w:t>
      </w:r>
    </w:p>
    <w:p>
      <w:pPr>
        <w:pStyle w:val="TextBody"/>
        <w:bidi w:val="0"/>
        <w:spacing w:lineRule="auto" w:line="288" w:before="0" w:after="240"/>
        <w:ind w:left="0" w:right="0" w:hanging="720"/>
        <w:jc w:val="both"/>
        <w:rPr/>
      </w:pPr>
      <w:bookmarkStart w:id="357" w:name="i3096b25a1c20452c8d1f65dd742dd70e"/>
      <w:bookmarkEnd w:id="357"/>
      <w:r>
        <w:rPr>
          <w:rFonts w:ascii="Times New Roman;serif" w:hAnsi="Times New Roman;serif"/>
          <w:b w:val="false"/>
          <w:color w:val="000000"/>
          <w:sz w:val="24"/>
        </w:rPr>
        <w:t>Section 11.06    </w:t>
      </w:r>
      <w:r>
        <w:rPr>
          <w:rFonts w:ascii="Times New Roman;serif" w:hAnsi="Times New Roman;serif"/>
          <w:b w:val="false"/>
          <w:i/>
          <w:color w:val="000000"/>
          <w:sz w:val="24"/>
        </w:rPr>
        <w:t>Additional Note Guarantees.</w:t>
      </w:r>
      <w:r>
        <w:rPr>
          <w:color w:val="000000"/>
        </w:rPr>
        <w:t xml:space="preserve"> </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Domestic Subsidiary of Wynn Resorts Finance that incurs or guarantees obligations under the Senior Credit Facilities or certain other capital markets debt securities (excluding any project financings in connection with Expansion Capital Expenditures) in excess of $100.0 million will guarantee the Notes and execute one or more supplemental indentures within 10 Business Days of such incurrence or guarantee;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Domestic Subsidiary that constitutes an Immaterial Subsidiary or an Excluded Subsidiary need not become a guarantor until such time as it ceases to be an Immaterial Subsidiary or an Excluded Subsidiary. </w:t>
      </w:r>
    </w:p>
    <w:p>
      <w:pPr>
        <w:pStyle w:val="TextBody"/>
        <w:bidi w:val="0"/>
        <w:spacing w:lineRule="auto" w:line="288" w:before="0" w:after="240"/>
        <w:jc w:val="center"/>
        <w:rPr>
          <w:rFonts w:ascii="Times New Roman;serif" w:hAnsi="Times New Roman;serif"/>
          <w:b/>
          <w:color w:val="000000"/>
          <w:sz w:val="24"/>
        </w:rPr>
      </w:pPr>
      <w:bookmarkStart w:id="358" w:name="i687dcdee9fa64fbcbcfee492775c7752"/>
      <w:bookmarkEnd w:id="358"/>
      <w:r>
        <w:rPr>
          <w:rFonts w:ascii="Times New Roman;serif" w:hAnsi="Times New Roman;serif"/>
          <w:b/>
          <w:color w:val="000000"/>
          <w:sz w:val="24"/>
        </w:rPr>
        <w:t>ARTICLE 12.</w:t>
        <w:br/>
        <w:t xml:space="preserve">SATISFACTION AND DISCHARGE </w:t>
      </w:r>
    </w:p>
    <w:p>
      <w:pPr>
        <w:pStyle w:val="TextBody"/>
        <w:bidi w:val="0"/>
        <w:spacing w:lineRule="auto" w:line="288" w:before="0" w:after="240"/>
        <w:ind w:left="0" w:right="0" w:hanging="720"/>
        <w:jc w:val="both"/>
        <w:rPr/>
      </w:pPr>
      <w:bookmarkStart w:id="359" w:name="i4b5309ca3c7c4f1f82c1be1edae44651"/>
      <w:bookmarkEnd w:id="359"/>
      <w:r>
        <w:rPr>
          <w:rFonts w:ascii="Times New Roman;serif" w:hAnsi="Times New Roman;serif"/>
          <w:b w:val="false"/>
          <w:color w:val="000000"/>
          <w:sz w:val="24"/>
        </w:rPr>
        <w:t>Section 12.01    </w:t>
      </w:r>
      <w:r>
        <w:rPr>
          <w:rFonts w:ascii="Times New Roman;serif" w:hAnsi="Times New Roman;serif"/>
          <w:b w:val="false"/>
          <w:i/>
          <w:color w:val="000000"/>
          <w:sz w:val="24"/>
        </w:rPr>
        <w:t>Satisfaction and Discharge.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Indenture shall be discharged and shall cease to be of further effect as to all Notes issued hereunder, when: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0" w:name="i2a31de2fd31644cf987414242c2f274e"/>
      <w:bookmarkEnd w:id="360"/>
      <w:r>
        <w:rPr>
          <w:rFonts w:ascii="Times New Roman;serif" w:hAnsi="Times New Roman;serif"/>
          <w:b w:val="false"/>
          <w:color w:val="000000"/>
          <w:sz w:val="24"/>
        </w:rPr>
        <w:t xml:space="preserve">(a)    either: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1" w:name="i8b2d1bb7ef584428acb5993e85b08bfc"/>
      <w:bookmarkEnd w:id="361"/>
      <w:r>
        <w:rPr>
          <w:rFonts w:ascii="Times New Roman;serif" w:hAnsi="Times New Roman;serif"/>
          <w:b w:val="false"/>
          <w:color w:val="000000"/>
          <w:sz w:val="24"/>
        </w:rPr>
        <w:t xml:space="preserve">(1)    all Notes that have been authenticated, except lost, stolen or destroyed Notes that have been replaced or paid and Notes for whose payment money has theretofore been deposited in trust and thereafter repaid to the Issuers, have been delivered to the Trustee for cancellation; or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2" w:name="i25c212694b57457797af54e4499f8951"/>
      <w:bookmarkEnd w:id="362"/>
      <w:r>
        <w:rPr>
          <w:rFonts w:ascii="Times New Roman;serif" w:hAnsi="Times New Roman;serif"/>
          <w:b w:val="false"/>
          <w:color w:val="000000"/>
          <w:sz w:val="24"/>
        </w:rPr>
        <w:t xml:space="preserve">(2)    all Notes that have not been delivered to the Trustee for cancellation will become due and payable by reason of the delivery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if any, and accrued interest to, but not including, the date of maturity or redemption;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3" w:name="i6ddf7c43453a43869eef3ba0beda6fc1"/>
      <w:bookmarkEnd w:id="363"/>
      <w:r>
        <w:rPr>
          <w:rFonts w:ascii="Times New Roman;serif" w:hAnsi="Times New Roman;serif"/>
          <w:b w:val="false"/>
          <w:color w:val="000000"/>
          <w:sz w:val="24"/>
        </w:rPr>
        <w:t xml:space="preserve">(b)    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4" w:name="i036aded61644495abb10fcfe6dc3e586"/>
      <w:bookmarkEnd w:id="364"/>
      <w:r>
        <w:rPr>
          <w:rFonts w:ascii="Times New Roman;serif" w:hAnsi="Times New Roman;serif"/>
          <w:b w:val="false"/>
          <w:color w:val="000000"/>
          <w:sz w:val="24"/>
        </w:rPr>
        <w:t xml:space="preserve">(c)    the Issuers or any Guarantor have paid or caused to be paid all sums payable by the Issuers under this Indenture;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5" w:name="i36fa3c7033314306b877e5abcbab88e2"/>
      <w:bookmarkEnd w:id="365"/>
      <w:r>
        <w:rPr>
          <w:rFonts w:ascii="Times New Roman;serif" w:hAnsi="Times New Roman;serif"/>
          <w:b w:val="false"/>
          <w:color w:val="000000"/>
          <w:sz w:val="24"/>
        </w:rPr>
        <w:t>(d)    the Issuers have delivered irrevocable instructions to the Trustee under this Indenture to apply the deposited money toward the payment of the Notes at maturity or the redemption date, as the case may be.</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addition, the Issuers must deliver an Officers’ Certificate and an Opinion of Counsel to the Trustee stating that all conditions precedent to satisfaction and discharge have been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pStyle w:val="TextBody"/>
        <w:bidi w:val="0"/>
        <w:spacing w:lineRule="auto" w:line="288" w:before="0" w:after="240"/>
        <w:ind w:left="0" w:right="0" w:hanging="720"/>
        <w:jc w:val="both"/>
        <w:rPr/>
      </w:pPr>
      <w:bookmarkStart w:id="366" w:name="ib965a2b3b97b4a06a21c2c7c897144dc"/>
      <w:bookmarkEnd w:id="366"/>
      <w:r>
        <w:rPr>
          <w:rFonts w:ascii="Times New Roman;serif" w:hAnsi="Times New Roman;serif"/>
          <w:b w:val="false"/>
          <w:color w:val="000000"/>
          <w:sz w:val="24"/>
        </w:rPr>
        <w:t>Section 12.02    </w:t>
      </w:r>
      <w:r>
        <w:rPr>
          <w:rFonts w:ascii="Times New Roman;serif" w:hAnsi="Times New Roman;serif"/>
          <w:b w:val="false"/>
          <w:i/>
          <w:color w:val="000000"/>
          <w:sz w:val="24"/>
        </w:rPr>
        <w:t>Application of Trust Money.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and the Note Guarantees shall be revived and reinstated as though no deposit had occurred pursuant to Section 12.01; provided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pStyle w:val="TextBody"/>
        <w:bidi w:val="0"/>
        <w:spacing w:lineRule="auto" w:line="288" w:before="0" w:after="240"/>
        <w:jc w:val="center"/>
        <w:rPr>
          <w:rFonts w:ascii="Times New Roman;serif" w:hAnsi="Times New Roman;serif"/>
          <w:b/>
          <w:color w:val="000000"/>
          <w:sz w:val="24"/>
        </w:rPr>
      </w:pPr>
      <w:bookmarkStart w:id="367" w:name="i70c52a095cd449599d525f0f7f300152"/>
      <w:bookmarkEnd w:id="367"/>
      <w:r>
        <w:rPr>
          <w:rFonts w:ascii="Times New Roman;serif" w:hAnsi="Times New Roman;serif"/>
          <w:b/>
          <w:color w:val="000000"/>
          <w:sz w:val="24"/>
        </w:rPr>
        <w:t>ARTICLE 13.</w:t>
        <w:br/>
        <w:t xml:space="preserve">JOINT AND SEVERAL LIABILITY </w:t>
      </w:r>
    </w:p>
    <w:p>
      <w:pPr>
        <w:pStyle w:val="TextBody"/>
        <w:bidi w:val="0"/>
        <w:spacing w:lineRule="auto" w:line="288" w:before="0" w:after="240"/>
        <w:ind w:left="0" w:right="0" w:hanging="720"/>
        <w:jc w:val="both"/>
        <w:rPr/>
      </w:pPr>
      <w:bookmarkStart w:id="368" w:name="i5ab267360c1c4d56a758c059ec777e7d"/>
      <w:bookmarkEnd w:id="368"/>
      <w:r>
        <w:rPr>
          <w:rFonts w:ascii="Times New Roman;serif" w:hAnsi="Times New Roman;serif"/>
          <w:b w:val="false"/>
          <w:color w:val="000000"/>
          <w:sz w:val="24"/>
        </w:rPr>
        <w:t>Section 13.01    </w:t>
      </w:r>
      <w:r>
        <w:rPr>
          <w:rFonts w:ascii="Times New Roman;serif" w:hAnsi="Times New Roman;serif"/>
          <w:b w:val="false"/>
          <w:i/>
          <w:color w:val="000000"/>
          <w:sz w:val="24"/>
        </w:rPr>
        <w:t>Joint and Several Liability.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9" w:name="i3f1bf1bfbd91423aaec0c85c31288f91"/>
      <w:bookmarkEnd w:id="369"/>
      <w:r>
        <w:rPr>
          <w:rFonts w:ascii="Times New Roman;serif" w:hAnsi="Times New Roman;serif"/>
          <w:b w:val="false"/>
          <w:color w:val="000000"/>
          <w:sz w:val="24"/>
        </w:rPr>
        <w:t>(a)    Notwithstanding any contrary provision contained in this Indenture and the Notes, the covenants, agreements and obligations of the Issuers, and either of them, shall be deemed joint and several obligations of the Issuers. Any waiver including, without limitation, any suretyship waiver, made by either Issuer in this Indenture or the Notes shall be deemed to be made also by the other Issuer and references in any such waiver to either Issuer shall be deemed to include the other Issuer and each of them to the fullest extent permitted by applicable law.</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0" w:name="if0a59757b0ad46f6865ff783f0947a29"/>
      <w:bookmarkEnd w:id="370"/>
      <w:r>
        <w:rPr>
          <w:rFonts w:ascii="Times New Roman;serif" w:hAnsi="Times New Roman;serif"/>
          <w:b w:val="false"/>
          <w:color w:val="000000"/>
          <w:sz w:val="24"/>
        </w:rPr>
        <w:t>(b)    Notwithstanding any contrary provision contained in this Indenture or the Notes, each such document to which both Issuers are party shall be deemed to include, without limitation, the following waivers:</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Times New Roman;serif" w:hAnsi="Times New Roman;serif"/>
          <w:b w:val="false"/>
          <w:i/>
          <w:color w:val="000000"/>
          <w:sz w:val="24"/>
          <w:u w:val="single"/>
        </w:rPr>
        <w:t>Beneficiary</w:t>
      </w:r>
      <w:r>
        <w:rPr>
          <w:color w:val="000000"/>
        </w:rPr>
        <w:t>”</w:t>
      </w:r>
      <w:r>
        <w:rPr>
          <w:rFonts w:ascii="Times New Roman;serif" w:hAnsi="Times New Roman;serif"/>
          <w:b w:val="false"/>
          <w:color w:val="000000"/>
          <w:sz w:val="24"/>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this Indenture and the Notes (collectively, the “</w:t>
      </w:r>
      <w:r>
        <w:rPr>
          <w:rFonts w:ascii="Times New Roman;serif" w:hAnsi="Times New Roman;serif"/>
          <w:b w:val="false"/>
          <w:i/>
          <w:color w:val="000000"/>
          <w:sz w:val="24"/>
          <w:u w:val="single"/>
        </w:rPr>
        <w:t>Note Obligations</w:t>
      </w:r>
      <w:r>
        <w:rPr>
          <w:color w:val="000000"/>
        </w:rPr>
        <w:t>”</w:t>
      </w:r>
      <w:r>
        <w:rPr>
          <w:rFonts w:ascii="Times New Roman;serif" w:hAnsi="Times New Roman;serif"/>
          <w:b w:val="false"/>
          <w:color w:val="000000"/>
          <w:sz w:val="24"/>
        </w:rPr>
        <w:t xml:space="preserve">),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or the Notes,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or the Notes,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or the Notes, or any other provision of this Indenture or the Notes, limiting the Beneficiaries’ recourse to specific collateral, or limiting the Beneficiaries’ right to enforce a deficiency judgment against the Issuers, shall have absolutely no application to the Issuers’ liability under this Indenture or the Notes.</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1" w:name="i68a47169f5c94e16b865e7d78aa99d7d"/>
      <w:bookmarkEnd w:id="371"/>
      <w:r>
        <w:rPr>
          <w:rFonts w:ascii="Times New Roman;serif" w:hAnsi="Times New Roman;serif"/>
          <w:b w:val="false"/>
          <w:color w:val="000000"/>
          <w:sz w:val="24"/>
        </w:rPr>
        <w:t>(c)    In the event of any inconsistency between the provisions of this Article 13 and the corresponding provisions of this Indenture or the Notes, the provisions of this Indenture shall govern.</w:t>
      </w:r>
    </w:p>
    <w:p>
      <w:pPr>
        <w:pStyle w:val="TextBody"/>
        <w:bidi w:val="0"/>
        <w:spacing w:lineRule="auto" w:line="288" w:before="0" w:after="240"/>
        <w:jc w:val="center"/>
        <w:rPr>
          <w:rFonts w:ascii="Times New Roman;serif" w:hAnsi="Times New Roman;serif"/>
          <w:b/>
          <w:color w:val="000000"/>
          <w:sz w:val="24"/>
        </w:rPr>
      </w:pPr>
      <w:bookmarkStart w:id="372" w:name="ib3da9824fbe14730bc00363fe686b855"/>
      <w:bookmarkEnd w:id="372"/>
      <w:r>
        <w:rPr>
          <w:rFonts w:ascii="Times New Roman;serif" w:hAnsi="Times New Roman;serif"/>
          <w:b/>
          <w:color w:val="000000"/>
          <w:sz w:val="24"/>
        </w:rPr>
        <w:t>ARTICLE 14.</w:t>
        <w:br/>
        <w:t xml:space="preserve">MISCELLANEOUS </w:t>
      </w:r>
    </w:p>
    <w:p>
      <w:pPr>
        <w:pStyle w:val="TextBody"/>
        <w:bidi w:val="0"/>
        <w:spacing w:lineRule="auto" w:line="288" w:before="0" w:after="240"/>
        <w:ind w:left="0" w:right="0" w:hanging="720"/>
        <w:jc w:val="both"/>
        <w:rPr/>
      </w:pPr>
      <w:bookmarkStart w:id="373" w:name="i6ef49595054743af855d287dac82a05f"/>
      <w:bookmarkEnd w:id="373"/>
      <w:r>
        <w:rPr>
          <w:rFonts w:ascii="Times New Roman;serif" w:hAnsi="Times New Roman;serif"/>
          <w:b w:val="false"/>
          <w:color w:val="000000"/>
          <w:sz w:val="24"/>
        </w:rPr>
        <w:t>Section 14.01    </w:t>
      </w:r>
      <w:r>
        <w:rPr>
          <w:rFonts w:ascii="Times New Roman;serif" w:hAnsi="Times New Roman;serif"/>
          <w:b w:val="false"/>
          <w:i/>
          <w:color w:val="000000"/>
          <w:sz w:val="24"/>
        </w:rPr>
        <w:t>Notices.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by the Issuers, any Guarantor or the Trustee to the others is duly given if in writing and delivered in Person or mailed by first class mail (registered or certified, return receipt requested), telex, fax, electronic transmission (with confirmation of receipt) or overnight air courier guaranteeing next day delivery, to the others’ address: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Issuers and/or any Guarantor: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Wynn Resorts Finance, LLC</w:t>
        <w:br/>
        <w:t xml:space="preserve">3131 Las Vegas Boulevard South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Las Vegas, Nevada 89109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Fax No.: (702) 770-1518 </w:t>
        <w:br/>
        <w:t>Attention: General Counsel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further copy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Latham &amp; Watkins LLP </w:t>
        <w:br/>
        <w:t xml:space="preserve">1271 Avenue of the Americas </w:t>
        <w:br/>
        <w:t>New York, New York 10020-1401</w:t>
        <w:br/>
        <w:t xml:space="preserve">Fax No.: (212) 751-4864 </w:t>
        <w:br/>
        <w:t>Attention: Senet Bischoff, Esq.</w:t>
      </w:r>
    </w:p>
    <w:p>
      <w:pPr>
        <w:pStyle w:val="TextBody"/>
        <w:bidi w:val="0"/>
        <w:spacing w:before="0" w:after="24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Trustee:</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U.S. Bank Trust Company, National Association </w:t>
        <w:br/>
        <w:t>EP-MN-S3MC</w:t>
        <w:br/>
        <w:t xml:space="preserve">60 Livingston Avenue </w:t>
        <w:br/>
        <w:t xml:space="preserve">St. Paul, MN 55107-2292 </w:t>
        <w:br/>
        <w:t xml:space="preserve">Attention: Corporate Trust Department – Wynn Administrator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any Guarantor or the Trustee, by notice to the others may designate additional or different addresses for subsequent notices or communications.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faxed; when receipt acknowledged, if electronically transmitted; and the next Business Day after timely delivery to the courier, if sent by overnight air courier guaranteeing next day delivery.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notice or communication is mailed in the manner provided above within the time prescribed, it is duly given, whether or not the addressee receives 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Issuers mail a notice or communication to Holders, they shall mail a copy to the Trustee and each Agent at the same time.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Trustee nor Agents shall have any duty to confirm that the person sending any notice, instruction or other communication (a “Notice”) by electronic transmission (including by e-mail, web portal or other electronic methods) is, in fact, a person authorized to do so. Electronic signatures believed by Trustee or Agents to comply with the ESIGN Act of 2000 or other applicable law (including electronic images of handwritten signatures and digital signatures provided by DocuSign, Orbit, Adobe Sign or any other digital signature provider acceptable to Trustee or Agents) shall be deemed original signatures for all purposes. Each other party assumes all risks arising out of the use of electronic signatures and electronic methods to send Notices to Trustee or Agents, including without limitation the risk of Trustee or Agents acting on an unauthorized Notice, and the risk of interception or misuse by third parties. Notwithstanding the foregoing, Trustee or Agents may in any instance and in their sole discretion require that an original document bearing a manual signature be delivered to Trustee or Agents in lieu of, or in addition to, any such electronic Notice.</w:t>
      </w:r>
    </w:p>
    <w:p>
      <w:pPr>
        <w:pStyle w:val="TextBody"/>
        <w:bidi w:val="0"/>
        <w:spacing w:lineRule="auto" w:line="288" w:before="0" w:after="240"/>
        <w:ind w:left="0" w:right="0" w:hanging="720"/>
        <w:jc w:val="both"/>
        <w:rPr/>
      </w:pPr>
      <w:bookmarkStart w:id="374" w:name="id9ea087be794451bb1cdf88825c5ee29"/>
      <w:bookmarkEnd w:id="374"/>
      <w:r>
        <w:rPr>
          <w:rFonts w:ascii="Times New Roman;serif" w:hAnsi="Times New Roman;serif"/>
          <w:b w:val="false"/>
          <w:color w:val="000000"/>
          <w:sz w:val="24"/>
        </w:rPr>
        <w:t>Section 14.02    </w:t>
      </w:r>
      <w:r>
        <w:rPr>
          <w:rFonts w:ascii="Times New Roman;serif" w:hAnsi="Times New Roman;serif"/>
          <w:b w:val="false"/>
          <w:i/>
          <w:color w:val="000000"/>
          <w:sz w:val="24"/>
        </w:rPr>
        <w:t>Certificate and Opinion as to Conditions Precedent.</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any request or application by the Issuers to the Trustee to take any action under this Indenture, the Issuers shall furnish to the Trustee: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5" w:name="ic40b9bb9eb2043ffa73ce82ab5e9ce8a"/>
      <w:bookmarkEnd w:id="375"/>
      <w:r>
        <w:rPr>
          <w:rFonts w:ascii="Times New Roman;serif" w:hAnsi="Times New Roman;serif"/>
          <w:b w:val="false"/>
          <w:color w:val="000000"/>
          <w:sz w:val="24"/>
        </w:rPr>
        <w:t xml:space="preserve">(a)    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6" w:name="i1be469a75fad496987362f2ec890bc36"/>
      <w:bookmarkEnd w:id="376"/>
      <w:r>
        <w:rPr>
          <w:rFonts w:ascii="Times New Roman;serif" w:hAnsi="Times New Roman;serif"/>
          <w:b w:val="false"/>
          <w:color w:val="000000"/>
          <w:sz w:val="24"/>
        </w:rPr>
        <w:t>(b)    an Opinion of Counsel in form and substance reasonably satisfactory to the Trustee (which must include the statements set forth in Section 14.03 hereof) stating that, in the opinion of such counsel, all such conditions precedent and covenants have been satisfied.</w:t>
      </w:r>
    </w:p>
    <w:p>
      <w:pPr>
        <w:pStyle w:val="TextBody"/>
        <w:bidi w:val="0"/>
        <w:spacing w:lineRule="auto" w:line="288" w:before="0" w:after="240"/>
        <w:ind w:left="0" w:right="0" w:hanging="720"/>
        <w:jc w:val="both"/>
        <w:rPr/>
      </w:pPr>
      <w:bookmarkStart w:id="377" w:name="i30ef98317d2447959e529c3448d0c513"/>
      <w:bookmarkEnd w:id="377"/>
      <w:r>
        <w:rPr>
          <w:rFonts w:ascii="Times New Roman;serif" w:hAnsi="Times New Roman;serif"/>
          <w:b w:val="false"/>
          <w:color w:val="000000"/>
          <w:sz w:val="24"/>
        </w:rPr>
        <w:t>Section 14.03    </w:t>
      </w:r>
      <w:r>
        <w:rPr>
          <w:rFonts w:ascii="Times New Roman;serif" w:hAnsi="Times New Roman;serif"/>
          <w:b w:val="false"/>
          <w:i/>
          <w:color w:val="000000"/>
          <w:sz w:val="24"/>
        </w:rPr>
        <w:t>Statements Required in Certificate or Opinion.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certificate or opinion with respect to compliance with a condition or covenant provided for in this Indenture must include: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8" w:name="i30ca148697da4572bbac52b3c6a9e006"/>
      <w:bookmarkEnd w:id="378"/>
      <w:r>
        <w:rPr>
          <w:rFonts w:ascii="Times New Roman;serif" w:hAnsi="Times New Roman;serif"/>
          <w:b w:val="false"/>
          <w:color w:val="000000"/>
          <w:sz w:val="24"/>
        </w:rPr>
        <w:t xml:space="preserve">(a)    a statement that the Person making such certificate or opinion has read such covenant or condition;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79" w:name="i51a095cdda8a4e3dba28b057da58481f"/>
      <w:bookmarkEnd w:id="379"/>
      <w:r>
        <w:rPr>
          <w:rFonts w:ascii="Times New Roman;serif" w:hAnsi="Times New Roman;serif"/>
          <w:b w:val="false"/>
          <w:color w:val="000000"/>
          <w:sz w:val="24"/>
        </w:rPr>
        <w:t xml:space="preserve">(b)    a brief statement as to the nature and scope of the examination or investigation upon which the statements or opinions contained in such certificate or opinion are based;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80" w:name="ib288b9e4fc204f28a42200896db31b0b"/>
      <w:bookmarkEnd w:id="380"/>
      <w:r>
        <w:rPr>
          <w:rFonts w:ascii="Times New Roman;serif" w:hAnsi="Times New Roman;serif"/>
          <w:b w:val="false"/>
          <w:color w:val="000000"/>
          <w:sz w:val="24"/>
        </w:rPr>
        <w:t xml:space="preserve">(c)    a statement that, in the opinion of such Person, he or she has made such examination or investigation as is necessary to enable him or her to express an informed opinion as to whether or not such covenant or condition has been satisfied;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81" w:name="i6b66958109bd4dafa80eae7c4e63780a"/>
      <w:bookmarkEnd w:id="381"/>
      <w:r>
        <w:rPr>
          <w:rFonts w:ascii="Times New Roman;serif" w:hAnsi="Times New Roman;serif"/>
          <w:b w:val="false"/>
          <w:color w:val="000000"/>
          <w:sz w:val="24"/>
        </w:rPr>
        <w:t>(d)    a statement as to whether or not, in the opinion of such Person, such condition or covenant has been satisfied.</w:t>
      </w:r>
    </w:p>
    <w:p>
      <w:pPr>
        <w:pStyle w:val="TextBody"/>
        <w:bidi w:val="0"/>
        <w:spacing w:lineRule="auto" w:line="288" w:before="0" w:after="240"/>
        <w:ind w:left="0" w:right="0" w:hanging="720"/>
        <w:jc w:val="both"/>
        <w:rPr/>
      </w:pPr>
      <w:bookmarkStart w:id="382" w:name="if30738d5730143a49563e4bd35466993"/>
      <w:bookmarkEnd w:id="382"/>
      <w:r>
        <w:rPr>
          <w:rFonts w:ascii="Times New Roman;serif" w:hAnsi="Times New Roman;serif"/>
          <w:b w:val="false"/>
          <w:color w:val="000000"/>
          <w:sz w:val="24"/>
        </w:rPr>
        <w:t>Section 14.04    </w:t>
      </w:r>
      <w:r>
        <w:rPr>
          <w:rFonts w:ascii="Times New Roman;serif" w:hAnsi="Times New Roman;serif"/>
          <w:b w:val="false"/>
          <w:i/>
          <w:color w:val="000000"/>
          <w:sz w:val="24"/>
        </w:rPr>
        <w:t>Rules by Trustee and Agents.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make reasonable rules for action by or at a meeting of Holders. The Registrar or Paying Agent may make reasonable rules and set reasonable requirements for its functions.</w:t>
      </w:r>
    </w:p>
    <w:p>
      <w:pPr>
        <w:pStyle w:val="TextBody"/>
        <w:bidi w:val="0"/>
        <w:spacing w:lineRule="auto" w:line="288" w:before="0" w:after="240"/>
        <w:ind w:left="0" w:right="0" w:hanging="720"/>
        <w:jc w:val="both"/>
        <w:rPr/>
      </w:pPr>
      <w:bookmarkStart w:id="383" w:name="ic1ddeab96fba442e996d686f3eb03d3d"/>
      <w:bookmarkEnd w:id="383"/>
      <w:r>
        <w:rPr>
          <w:rFonts w:ascii="Times New Roman;serif" w:hAnsi="Times New Roman;serif"/>
          <w:b w:val="false"/>
          <w:color w:val="000000"/>
          <w:sz w:val="24"/>
        </w:rPr>
        <w:t>Section 14.05    </w:t>
      </w:r>
      <w:r>
        <w:rPr>
          <w:rFonts w:ascii="Times New Roman;serif" w:hAnsi="Times New Roman;serif"/>
          <w:b w:val="false"/>
          <w:i/>
          <w:color w:val="000000"/>
          <w:sz w:val="24"/>
        </w:rPr>
        <w:t>No Personal Liability of Directors, Officers, Employees and Equity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past, present or future director, officer, employee, incorporator, organizer, equity holder or member of either Issuer or any Guarantor, as such, shall have any liability for any obligations of either Issuer or any Guarantor under the Notes, the Note Guarantees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88" w:before="0" w:after="240"/>
        <w:ind w:left="0" w:right="0" w:hanging="720"/>
        <w:jc w:val="both"/>
        <w:rPr/>
      </w:pPr>
      <w:bookmarkStart w:id="384" w:name="i6d39542a6b624b548c78cc2b75562e16"/>
      <w:bookmarkEnd w:id="384"/>
      <w:r>
        <w:rPr>
          <w:rFonts w:ascii="Times New Roman;serif" w:hAnsi="Times New Roman;serif"/>
          <w:b w:val="false"/>
          <w:color w:val="000000"/>
          <w:sz w:val="24"/>
        </w:rPr>
        <w:t>Section 14.06    </w:t>
      </w:r>
      <w:r>
        <w:rPr>
          <w:rFonts w:ascii="Times New Roman;serif" w:hAnsi="Times New Roman;serif"/>
          <w:b w:val="false"/>
          <w:i/>
          <w:color w:val="000000"/>
          <w:sz w:val="24"/>
        </w:rPr>
        <w:t>Governing Law.</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THE NOTES AND THE NOTE GUARANTEES SHALL BE GOVERNED BY AND CONSTRUED IN ACCORDANCE WITH THE LAWS OF THE STATE OF NEW YORK, INCLUDING, WITHOUT LIMITATION, SECTION 5-1401 OF THE NEW YORK OBLIGATIONS LAW.</w:t>
      </w:r>
    </w:p>
    <w:p>
      <w:pPr>
        <w:pStyle w:val="TextBody"/>
        <w:bidi w:val="0"/>
        <w:spacing w:lineRule="auto" w:line="288" w:before="0" w:after="240"/>
        <w:ind w:left="0" w:right="0" w:hanging="720"/>
        <w:jc w:val="both"/>
        <w:rPr/>
      </w:pPr>
      <w:bookmarkStart w:id="385" w:name="i8c2498f6ae6e40b99c9a5b06aaf010de"/>
      <w:bookmarkEnd w:id="385"/>
      <w:r>
        <w:rPr>
          <w:rFonts w:ascii="Times New Roman;serif" w:hAnsi="Times New Roman;serif"/>
          <w:b w:val="false"/>
          <w:color w:val="000000"/>
          <w:sz w:val="24"/>
        </w:rPr>
        <w:t>Section 14.07    </w:t>
      </w:r>
      <w:r>
        <w:rPr>
          <w:rFonts w:ascii="Times New Roman;serif" w:hAnsi="Times New Roman;serif"/>
          <w:b w:val="false"/>
          <w:i/>
          <w:color w:val="000000"/>
          <w:sz w:val="24"/>
        </w:rPr>
        <w:t>No Adverse Interpretation of Other Agreements.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may not be used to interpret any other indenture, loan or debt agreement of the Issuers or their respective Subsidiaries or of any other Person. Any such indenture, loan or debt agreement may not be used to interpret this Indenture.</w:t>
      </w:r>
    </w:p>
    <w:p>
      <w:pPr>
        <w:pStyle w:val="TextBody"/>
        <w:bidi w:val="0"/>
        <w:spacing w:lineRule="auto" w:line="288" w:before="0" w:after="240"/>
        <w:ind w:left="0" w:right="0" w:hanging="720"/>
        <w:jc w:val="both"/>
        <w:rPr/>
      </w:pPr>
      <w:bookmarkStart w:id="386" w:name="i348629b21ad24d39aa708bb8860d4794"/>
      <w:bookmarkEnd w:id="386"/>
      <w:r>
        <w:rPr>
          <w:rFonts w:ascii="Times New Roman;serif" w:hAnsi="Times New Roman;serif"/>
          <w:b w:val="false"/>
          <w:color w:val="000000"/>
          <w:sz w:val="24"/>
        </w:rPr>
        <w:t>Section 14.08    </w:t>
      </w:r>
      <w:r>
        <w:rPr>
          <w:rFonts w:ascii="Times New Roman;serif" w:hAnsi="Times New Roman;serif"/>
          <w:b w:val="false"/>
          <w:i/>
          <w:color w:val="000000"/>
          <w:sz w:val="24"/>
        </w:rPr>
        <w:t>Successors.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pStyle w:val="TextBody"/>
        <w:bidi w:val="0"/>
        <w:spacing w:lineRule="auto" w:line="288" w:before="0" w:after="240"/>
        <w:ind w:left="0" w:right="0" w:hanging="720"/>
        <w:jc w:val="both"/>
        <w:rPr/>
      </w:pPr>
      <w:bookmarkStart w:id="387" w:name="i2d50fc97586b4f0391e03f7aee18289c"/>
      <w:bookmarkEnd w:id="387"/>
      <w:r>
        <w:rPr>
          <w:rFonts w:ascii="Times New Roman;serif" w:hAnsi="Times New Roman;serif"/>
          <w:b w:val="false"/>
          <w:color w:val="000000"/>
          <w:sz w:val="24"/>
        </w:rPr>
        <w:t>Section 14.09    </w:t>
      </w:r>
      <w:r>
        <w:rPr>
          <w:rFonts w:ascii="Times New Roman;serif" w:hAnsi="Times New Roman;serif"/>
          <w:b w:val="false"/>
          <w:i/>
          <w:color w:val="000000"/>
          <w:sz w:val="24"/>
        </w:rPr>
        <w:t>Severability.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in this Indenture or in the Notes is invalid, illegal or unenforceable, the validity, legality and enforceability of the remaining provisions shall not in any way be affected or impaired thereby.</w:t>
      </w:r>
    </w:p>
    <w:p>
      <w:pPr>
        <w:pStyle w:val="TextBody"/>
        <w:bidi w:val="0"/>
        <w:spacing w:lineRule="auto" w:line="288" w:before="0" w:after="240"/>
        <w:ind w:left="0" w:right="0" w:hanging="720"/>
        <w:jc w:val="both"/>
        <w:rPr/>
      </w:pPr>
      <w:bookmarkStart w:id="388" w:name="i1bf38da6eb1e4e24900ae79a92606da5"/>
      <w:bookmarkEnd w:id="388"/>
      <w:r>
        <w:rPr>
          <w:rFonts w:ascii="Times New Roman;serif" w:hAnsi="Times New Roman;serif"/>
          <w:b w:val="false"/>
          <w:color w:val="000000"/>
          <w:sz w:val="24"/>
        </w:rPr>
        <w:t>Section 14.10    </w:t>
      </w:r>
      <w:r>
        <w:rPr>
          <w:rFonts w:ascii="Times New Roman;serif" w:hAnsi="Times New Roman;serif"/>
          <w:b w:val="false"/>
          <w:i/>
          <w:color w:val="000000"/>
          <w:sz w:val="24"/>
        </w:rPr>
        <w:t>Counterpart Originals.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may sign any number of copies of this Indenture. Each signed copy shall be an original, but all of them together represent the same agreement.</w:t>
      </w:r>
    </w:p>
    <w:p>
      <w:pPr>
        <w:pStyle w:val="TextBody"/>
        <w:bidi w:val="0"/>
        <w:spacing w:lineRule="auto" w:line="288" w:before="0" w:after="240"/>
        <w:ind w:left="0" w:right="0" w:hanging="720"/>
        <w:jc w:val="both"/>
        <w:rPr/>
      </w:pPr>
      <w:bookmarkStart w:id="389" w:name="i366f294b86dd4a33a2f2f60dad6359a4"/>
      <w:bookmarkEnd w:id="389"/>
      <w:r>
        <w:rPr>
          <w:rFonts w:ascii="Times New Roman;serif" w:hAnsi="Times New Roman;serif"/>
          <w:b w:val="false"/>
          <w:color w:val="000000"/>
          <w:sz w:val="24"/>
        </w:rPr>
        <w:t>Section 14.11    </w:t>
      </w:r>
      <w:r>
        <w:rPr>
          <w:rFonts w:ascii="Times New Roman;serif" w:hAnsi="Times New Roman;serif"/>
          <w:b w:val="false"/>
          <w:i/>
          <w:color w:val="000000"/>
          <w:sz w:val="24"/>
        </w:rPr>
        <w:t>Table of Contents, Headings,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tbl>
      <w:tblPr>
        <w:tblW w:w="4409" w:type="dxa"/>
        <w:jc w:val="left"/>
        <w:tblInd w:w="0" w:type="dxa"/>
        <w:tblLayout w:type="fixed"/>
        <w:tblCellMar>
          <w:top w:w="28" w:type="dxa"/>
          <w:left w:w="28" w:type="dxa"/>
          <w:bottom w:w="28" w:type="dxa"/>
          <w:right w:w="28" w:type="dxa"/>
        </w:tblCellMar>
      </w:tblPr>
      <w:tblGrid>
        <w:gridCol w:w="1147"/>
        <w:gridCol w:w="1006"/>
        <w:gridCol w:w="1012"/>
        <w:gridCol w:w="364"/>
        <w:gridCol w:w="364"/>
        <w:gridCol w:w="516"/>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Dated as of September 22, 2026</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ISSUERS: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WYNN RESORTS FINANCE, LLC</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Craig Fullalove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Name: Craig Fullalove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 xml:space="preserve">WYNN RESORTS CAPITAL CORP. </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Craig Fullalove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Name: Craig Fullalove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GUARANTORS:</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EBH HOLDINGS,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EVERETT PROPERTY,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WYNN AMERICA GROUP,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WYNN GROUP ASIA, INC.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WYNN LAS VEGAS HOLDINGS, LLC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WYNN LAS VEGAS CAPITAL CORP.</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Craig Fullalove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Name:    Craig Fullalove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WYNN LAS VEGAS, LLC</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Robert Amerine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Name:    Robert Amerine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color w:val="000000"/>
          <w:sz w:val="28"/>
        </w:rPr>
      </w:pPr>
      <w:r>
        <w:rPr>
          <w:rFonts w:ascii="Times New Roman;serif" w:hAnsi="Times New Roman;serif"/>
          <w:b/>
          <w:color w:val="000000"/>
          <w:sz w:val="28"/>
        </w:rPr>
        <w:t>WYNN MA, LLC</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John Santon</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Name:    John Santon</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WYNN SUNRISE, LLC</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By: Wynn Las Vegas, LLC its sole member</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Robert Amerine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Name:    Robert Amerine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jc w:val="left"/>
        <w:rPr/>
      </w:pPr>
      <w:r>
        <w:rPr/>
      </w:r>
    </w:p>
    <w:p>
      <w:pPr>
        <w:pStyle w:val="TextBody"/>
        <w:bidi w:val="0"/>
        <w:spacing w:lineRule="auto" w:line="288" w:before="0" w:after="0"/>
        <w:jc w:val="left"/>
        <w:rPr/>
      </w:pPr>
      <w:r>
        <w:rPr>
          <w:rFonts w:ascii="Times New Roman;serif" w:hAnsi="Times New Roman;serif"/>
          <w:b/>
          <w:color w:val="000000"/>
          <w:sz w:val="24"/>
        </w:rPr>
        <w:t>U.S. BANK TRUST COMPANY, NATIONAL ASSOCIATION</w:t>
      </w:r>
      <w:r>
        <w:rPr>
          <w:rFonts w:ascii="Times New Roman;serif" w:hAnsi="Times New Roman;serif"/>
          <w:b w:val="false"/>
          <w:color w:val="000000"/>
          <w:sz w:val="24"/>
        </w:rPr>
        <w:t xml:space="preserve">, </w:t>
        <w:br/>
        <w:t>not in its individual capacity but solely as Trustee</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0"/>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Joshua A. Hahn</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Name: Joshua A. Hahn</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A-1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p>
                  </w:txbxContent>
                </v:textbox>
                <w10:wrap type="none"/>
              </v:rect>
            </w:pict>
          </mc:Fallback>
        </mc:AlternateContent>
      </w:r>
    </w:p>
    <w:tbl>
      <w:tblPr>
        <w:tblW w:w="1334" w:type="dxa"/>
        <w:jc w:val="left"/>
        <w:tblInd w:w="0" w:type="dxa"/>
        <w:tblLayout w:type="fixed"/>
        <w:tblCellMar>
          <w:top w:w="28" w:type="dxa"/>
          <w:left w:w="28" w:type="dxa"/>
          <w:bottom w:w="28" w:type="dxa"/>
          <w:right w:w="28" w:type="dxa"/>
        </w:tblCellMar>
      </w:tblPr>
      <w:tblGrid>
        <w:gridCol w:w="427"/>
        <w:gridCol w:w="374"/>
        <w:gridCol w:w="533"/>
      </w:tblGrid>
      <w:tr>
        <w:trPr/>
        <w:tc>
          <w:tcPr>
            <w:tcW w:w="4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40"/>
              <w:jc w:val="center"/>
              <w:rPr>
                <w:rFonts w:ascii="Times New Roman;serif" w:hAnsi="Times New Roman;serif"/>
                <w:b/>
                <w:color w:val="000000"/>
                <w:sz w:val="19"/>
              </w:rPr>
            </w:pPr>
            <w:r>
              <w:rPr>
                <w:rFonts w:ascii="Times New Roman;serif" w:hAnsi="Times New Roman;serif"/>
                <w:b/>
                <w:color w:val="000000"/>
                <w:sz w:val="19"/>
              </w:rPr>
              <w:t>[Face of Note]</w:t>
            </w:r>
          </w:p>
        </w:tc>
      </w:tr>
    </w:tbl>
    <w:p>
      <w:pPr>
        <w:pStyle w:val="TextBody"/>
        <w:bidi w:val="0"/>
        <w:spacing w:lineRule="auto" w:line="288" w:before="80" w:after="283"/>
        <w:jc w:val="right"/>
        <w:rPr>
          <w:rFonts w:ascii="Times New Roman;serif" w:hAnsi="Times New Roman;serif"/>
          <w:b w:val="false"/>
          <w:color w:val="000000"/>
          <w:sz w:val="19"/>
        </w:rPr>
      </w:pPr>
      <w:r>
        <w:rPr>
          <w:rFonts w:ascii="Times New Roman;serif" w:hAnsi="Times New Roman;serif"/>
          <w:b w:val="false"/>
          <w:color w:val="000000"/>
          <w:sz w:val="19"/>
        </w:rPr>
        <w:t xml:space="preserve">CUSIP/ISIN 983133 AE9/US983133AE92 </w:t>
      </w:r>
    </w:p>
    <w:p>
      <w:pPr>
        <w:pStyle w:val="TextBody"/>
        <w:bidi w:val="0"/>
        <w:spacing w:lineRule="auto" w:line="288" w:before="80" w:after="60"/>
        <w:jc w:val="center"/>
        <w:rPr>
          <w:rFonts w:ascii="Times New Roman;serif" w:hAnsi="Times New Roman;serif"/>
          <w:b w:val="false"/>
          <w:color w:val="000000"/>
          <w:sz w:val="19"/>
        </w:rPr>
      </w:pPr>
      <w:r>
        <w:rPr>
          <w:rFonts w:ascii="Times New Roman;serif" w:hAnsi="Times New Roman;serif"/>
          <w:b w:val="false"/>
          <w:color w:val="000000"/>
          <w:sz w:val="19"/>
        </w:rPr>
        <w:t>6.875% Senior Notes due 2035</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No. ___    $____________</w:t>
      </w:r>
    </w:p>
    <w:p>
      <w:pPr>
        <w:pStyle w:val="TextBody"/>
        <w:bidi w:val="0"/>
        <w:spacing w:lineRule="auto" w:line="288" w:before="0" w:after="240"/>
        <w:jc w:val="center"/>
        <w:rPr>
          <w:rFonts w:ascii="Times New Roman;serif" w:hAnsi="Times New Roman;serif"/>
          <w:b w:val="false"/>
          <w:color w:val="000000"/>
          <w:sz w:val="19"/>
        </w:rPr>
      </w:pPr>
      <w:r>
        <w:rPr>
          <w:rFonts w:ascii="Times New Roman;serif" w:hAnsi="Times New Roman;serif"/>
          <w:b w:val="false"/>
          <w:color w:val="000000"/>
          <w:sz w:val="19"/>
        </w:rPr>
        <w:t xml:space="preserve">WYNN RESORTS FINANCE, LLC </w:t>
        <w:br/>
        <w:t>WYNN RESORTS CAPITAL CORP.</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 xml:space="preserve">promise to pay to ______________________ or registered assigns, </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 xml:space="preserve">the principal sum of </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DOLLARS on March 15, 2035.</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Interest Payment Dates: March 15 and September 15</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Record Dates: March 1 and September 1</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Dated: September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WYNN RESORTS FINANCE, LLC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By:    Wynn Resorts Holdings, LLC, its sole member</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By: Wynn Resorts, Limited, its sole member</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 xml:space="preserve">WYNN RESORTS CAPITAL CORP.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24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This is one of the Notes referred to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 the within-mentioned Indenture: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9"/>
        </w:rPr>
        <w:t>U.S. BANK TRUST COMPANY, NATIONAL ASSOCIATION</w:t>
      </w:r>
      <w:r>
        <w:rPr>
          <w:rFonts w:ascii="Times New Roman;serif" w:hAnsi="Times New Roman;serif"/>
          <w:b w:val="false"/>
          <w:color w:val="000000"/>
          <w:sz w:val="19"/>
        </w:rPr>
        <w:t xml:space="preserve">,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as Trustee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By:    </w:t>
      </w:r>
    </w:p>
    <w:tbl>
      <w:tblPr>
        <w:tblW w:w="3135" w:type="dxa"/>
        <w:jc w:val="left"/>
        <w:tblInd w:w="0" w:type="dxa"/>
        <w:tblLayout w:type="fixed"/>
        <w:tblCellMar>
          <w:top w:w="28" w:type="dxa"/>
          <w:left w:w="28" w:type="dxa"/>
          <w:bottom w:w="28" w:type="dxa"/>
          <w:right w:w="28" w:type="dxa"/>
        </w:tblCellMar>
      </w:tblPr>
      <w:tblGrid>
        <w:gridCol w:w="1004"/>
        <w:gridCol w:w="883"/>
        <w:gridCol w:w="1248"/>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19"/>
              </w:rPr>
              <w:t>Authorized Signatory</w:t>
            </w:r>
          </w:p>
          <w:p>
            <w:pPr>
              <w:pStyle w:val="TableContents"/>
              <w:bidi w:val="0"/>
              <w:spacing w:before="0" w:after="0"/>
              <w:jc w:val="center"/>
              <w:rPr/>
            </w:pPr>
            <w:r>
              <w:rPr/>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[Back of Note]</w:t>
              <w:br/>
              <w:t>6.875% Senior Notes due 2035</w:t>
            </w:r>
          </w:p>
        </w:tc>
      </w:tr>
    </w:tbl>
    <w:p>
      <w:pPr>
        <w:pStyle w:val="TextBody"/>
        <w:bidi w:val="0"/>
        <w:spacing w:lineRule="auto" w:line="288" w:before="0" w:after="240"/>
        <w:jc w:val="both"/>
        <w:rPr/>
      </w:pPr>
      <w:r>
        <w:rPr>
          <w:rFonts w:ascii="Times New Roman;serif" w:hAnsi="Times New Roman;serif"/>
          <w:b w:val="false"/>
          <w:color w:val="000000"/>
          <w:sz w:val="24"/>
        </w:rPr>
        <w:t>[</w:t>
      </w:r>
      <w:r>
        <w:rPr>
          <w:rFonts w:ascii="Times New Roman;serif" w:hAnsi="Times New Roman;serif"/>
          <w:b w:val="false"/>
          <w:i/>
          <w:color w:val="000000"/>
          <w:sz w:val="24"/>
        </w:rPr>
        <w:t>Insert the Private Placement Legend, if applicable, pursuant to Section 2.06(f)(1) of the Indenture</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w:t>
      </w:r>
      <w:r>
        <w:rPr>
          <w:rFonts w:ascii="Times New Roman;serif" w:hAnsi="Times New Roman;serif"/>
          <w:b w:val="false"/>
          <w:i/>
          <w:color w:val="000000"/>
          <w:sz w:val="24"/>
        </w:rPr>
        <w:t>Insert the Global Notes Legend, if applicable, pursuant to Section 2.06(f)(2) of the Indenture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have the meanings assigned to them in the Indenture referred to below unless otherwise indicated.</w:t>
      </w:r>
    </w:p>
    <w:p>
      <w:pPr>
        <w:pStyle w:val="TextBody"/>
        <w:bidi w:val="0"/>
        <w:spacing w:lineRule="auto" w:line="288" w:before="0" w:after="240"/>
        <w:ind w:left="0" w:right="0" w:firstLine="1440"/>
        <w:jc w:val="both"/>
        <w:rPr/>
      </w:pPr>
      <w:bookmarkStart w:id="390" w:name="ie3156ba4e05c4b2c9e98475fd4a9396c"/>
      <w:bookmarkEnd w:id="390"/>
      <w:r>
        <w:rPr>
          <w:rFonts w:ascii="Times New Roman;serif" w:hAnsi="Times New Roman;serif"/>
          <w:b w:val="false"/>
          <w:color w:val="000000"/>
          <w:sz w:val="24"/>
        </w:rPr>
        <w:t>(1)    </w:t>
      </w:r>
      <w:r>
        <w:rPr>
          <w:rFonts w:ascii="Times New Roman;serif" w:hAnsi="Times New Roman;serif"/>
          <w:b w:val="false"/>
          <w:i/>
          <w:color w:val="000000"/>
          <w:sz w:val="24"/>
        </w:rPr>
        <w:t>Interest</w:t>
      </w:r>
      <w:r>
        <w:rPr>
          <w:rFonts w:ascii="Times New Roman;serif" w:hAnsi="Times New Roman;serif"/>
          <w:b w:val="false"/>
          <w:color w:val="000000"/>
          <w:sz w:val="24"/>
        </w:rPr>
        <w:t>. Wynn Resorts Finance, LLC, a Nevada limited liability company (“</w:t>
      </w:r>
      <w:r>
        <w:rPr>
          <w:rFonts w:ascii="Times New Roman;serif" w:hAnsi="Times New Roman;serif"/>
          <w:b w:val="false"/>
          <w:i/>
          <w:color w:val="000000"/>
          <w:sz w:val="24"/>
          <w:u w:val="single"/>
        </w:rPr>
        <w:t>Wynn Resorts Finance</w:t>
      </w:r>
      <w:r>
        <w:rPr>
          <w:color w:val="000000"/>
        </w:rPr>
        <w:t xml:space="preserve">” </w:t>
      </w:r>
      <w:r>
        <w:rPr>
          <w:rFonts w:ascii="Times New Roman;serif" w:hAnsi="Times New Roman;serif"/>
          <w:b w:val="false"/>
          <w:color w:val="000000"/>
          <w:sz w:val="24"/>
        </w:rPr>
        <w:t>) and Wynn Resorts Capital Corp., a Nevada corporation (“Wynn Resorts Capital,” 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xml:space="preserve">), as joint and several obligors, promise to pay interest on the principal amount of this Note at 6.875% per annum from September 22, 2026 until maturity. The Issuers shall pay interest semi-annually in arrears on March 15 and September 15 of each year, or if any such day is not a Business Day, on the next </w:t>
      </w:r>
    </w:p>
    <w:p>
      <w:pPr>
        <w:pStyle w:val="TextBody"/>
        <w:bidi w:val="0"/>
        <w:spacing w:lineRule="auto" w:line="288" w:before="0" w:after="240"/>
        <w:jc w:val="both"/>
        <w:rPr/>
      </w:pPr>
      <w:r>
        <w:rPr>
          <w:rFonts w:ascii="Times New Roman;serif" w:hAnsi="Times New Roman;serif"/>
          <w:b w:val="false"/>
          <w:color w:val="000000"/>
          <w:sz w:val="24"/>
        </w:rPr>
        <w:t>succeeding Business Day (each, an “</w:t>
      </w:r>
      <w:r>
        <w:rPr>
          <w:rFonts w:ascii="Times New Roman;serif" w:hAnsi="Times New Roman;serif"/>
          <w:b w:val="false"/>
          <w:i/>
          <w:color w:val="000000"/>
          <w:sz w:val="24"/>
          <w:u w:val="single"/>
        </w:rPr>
        <w:t>Interest Payment Date</w:t>
      </w:r>
      <w:r>
        <w:rPr>
          <w:color w:val="000000"/>
        </w:rPr>
        <w:t>”</w:t>
      </w:r>
      <w:r>
        <w:rPr>
          <w:rFonts w:ascii="Times New Roman;serif" w:hAnsi="Times New Roman;serif"/>
          <w:b w:val="false"/>
          <w:color w:val="000000"/>
          <w:sz w:val="24"/>
        </w:rPr>
        <w:t xml:space="preserve">). Interest on the Notes shall accrue from the most recent date to which interest has been paid or, if no interest has been paid, from the date of issuance;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the first Interest Payment Date shall be March 15, 2027.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v:textbox>
                <w10:wrap type="none"/>
              </v:rect>
            </w:pict>
          </mc:Fallback>
        </mc:AlternateContent>
      </w:r>
    </w:p>
    <w:p>
      <w:pPr>
        <w:pStyle w:val="TextBody"/>
        <w:bidi w:val="0"/>
        <w:spacing w:lineRule="auto" w:line="288" w:before="0" w:after="240"/>
        <w:ind w:left="0" w:right="0" w:firstLine="1440"/>
        <w:jc w:val="both"/>
        <w:rPr/>
      </w:pPr>
      <w:bookmarkStart w:id="391" w:name="i8c44accc63dc4d7db943f3b0b6712d4d"/>
      <w:bookmarkEnd w:id="391"/>
      <w:r>
        <w:rPr>
          <w:rFonts w:ascii="Times New Roman;serif" w:hAnsi="Times New Roman;serif"/>
          <w:b w:val="false"/>
          <w:color w:val="000000"/>
          <w:sz w:val="24"/>
        </w:rPr>
        <w:t>(2)    </w:t>
      </w:r>
      <w:r>
        <w:rPr>
          <w:rFonts w:ascii="Times New Roman;serif" w:hAnsi="Times New Roman;serif"/>
          <w:b w:val="false"/>
          <w:i/>
          <w:color w:val="000000"/>
          <w:sz w:val="24"/>
        </w:rPr>
        <w:t>Method of Payment</w:t>
      </w:r>
      <w:r>
        <w:rPr>
          <w:rFonts w:ascii="Times New Roman;serif" w:hAnsi="Times New Roman;serif"/>
          <w:b w:val="false"/>
          <w:color w:val="000000"/>
          <w:sz w:val="24"/>
        </w:rPr>
        <w:t xml:space="preserve">. The Issuers shall pay interest on the Notes (except defaulted interest) to the Persons who are registered Holders of Notes at the close of business on the March 1 or September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pStyle w:val="TextBody"/>
        <w:bidi w:val="0"/>
        <w:spacing w:lineRule="auto" w:line="288" w:before="0" w:after="240"/>
        <w:ind w:left="0" w:right="0" w:firstLine="1440"/>
        <w:jc w:val="both"/>
        <w:rPr/>
      </w:pPr>
      <w:bookmarkStart w:id="392" w:name="i3e67e966e6b64455b7881cd372c0824b"/>
      <w:bookmarkEnd w:id="392"/>
      <w:r>
        <w:rPr>
          <w:rFonts w:ascii="Times New Roman;serif" w:hAnsi="Times New Roman;serif"/>
          <w:b w:val="false"/>
          <w:color w:val="000000"/>
          <w:sz w:val="24"/>
        </w:rPr>
        <w:t>(3)    </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Initially, U.S. Bank Trust Company, National Association, the Trustee under the Indenture, shall act as Paying Agent and Registrar. The Issuers may change any Paying Agent or Registrar without notice to any Holder. Either Issuer or any Guarantor may act in any such capacity.</w:t>
      </w:r>
    </w:p>
    <w:p>
      <w:pPr>
        <w:pStyle w:val="TextBody"/>
        <w:bidi w:val="0"/>
        <w:spacing w:lineRule="auto" w:line="288" w:before="0" w:after="240"/>
        <w:ind w:left="0" w:right="0" w:firstLine="1440"/>
        <w:jc w:val="both"/>
        <w:rPr/>
      </w:pPr>
      <w:bookmarkStart w:id="393" w:name="i88266b586ce14f4bb41a119307ee953c"/>
      <w:bookmarkEnd w:id="393"/>
      <w:r>
        <w:rPr>
          <w:rFonts w:ascii="Times New Roman;serif" w:hAnsi="Times New Roman;serif"/>
          <w:b w:val="false"/>
          <w:color w:val="000000"/>
          <w:sz w:val="24"/>
        </w:rPr>
        <w:t>(4)    </w:t>
      </w:r>
      <w:r>
        <w:rPr>
          <w:rFonts w:ascii="Times New Roman;serif" w:hAnsi="Times New Roman;serif"/>
          <w:b w:val="false"/>
          <w:i/>
          <w:color w:val="000000"/>
          <w:sz w:val="24"/>
        </w:rPr>
        <w:t>Indenture</w:t>
      </w:r>
      <w:r>
        <w:rPr>
          <w:rFonts w:ascii="Times New Roman;serif" w:hAnsi="Times New Roman;serif"/>
          <w:b w:val="false"/>
          <w:color w:val="000000"/>
          <w:sz w:val="24"/>
        </w:rPr>
        <w:t>. The Issuers issued the Notes under an Indenture dated as of September 22, 2026 (the “</w:t>
      </w:r>
      <w:r>
        <w:rPr>
          <w:rFonts w:ascii="Times New Roman;serif" w:hAnsi="Times New Roman;serif"/>
          <w:b w:val="false"/>
          <w:i/>
          <w:color w:val="000000"/>
          <w:sz w:val="24"/>
          <w:u w:val="single"/>
        </w:rPr>
        <w:t>Indenture</w:t>
      </w:r>
      <w:r>
        <w:rPr>
          <w:color w:val="000000"/>
        </w:rPr>
        <w:t>”</w:t>
      </w:r>
      <w:r>
        <w:rPr>
          <w:rFonts w:ascii="Times New Roman;serif" w:hAnsi="Times New Roman;serif"/>
          <w:b w:val="false"/>
          <w:color w:val="000000"/>
          <w:sz w:val="24"/>
        </w:rPr>
        <w:t>) 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Times New Roman;serif" w:hAnsi="Times New Roman;serif"/>
          <w:b w:val="false"/>
          <w:i/>
          <w:color w:val="000000"/>
          <w:sz w:val="24"/>
          <w:u w:val="single"/>
        </w:rPr>
        <w:t>Additional Notes</w:t>
      </w:r>
      <w:r>
        <w:rPr>
          <w:rFonts w:ascii="Times New Roman;serif" w:hAnsi="Times New Roman;serif"/>
          <w:b w:val="false"/>
          <w:color w:val="000000"/>
          <w:sz w:val="24"/>
        </w:rPr>
        <w:t>.” The term “</w:t>
      </w:r>
      <w:r>
        <w:rPr>
          <w:rFonts w:ascii="Times New Roman;serif" w:hAnsi="Times New Roman;serif"/>
          <w:b w:val="false"/>
          <w:i/>
          <w:color w:val="000000"/>
          <w:sz w:val="24"/>
          <w:u w:val="single"/>
        </w:rPr>
        <w:t>Notes</w:t>
      </w:r>
      <w:r>
        <w:rPr>
          <w:color w:val="000000"/>
        </w:rPr>
        <w:t xml:space="preserve">” </w:t>
      </w:r>
      <w:r>
        <w:rPr>
          <w:rFonts w:ascii="Times New Roman;serif" w:hAnsi="Times New Roman;serif"/>
          <w:b w:val="false"/>
          <w:color w:val="000000"/>
          <w:sz w:val="24"/>
        </w:rPr>
        <w:t>includes any Additional Notes hereafter issued.</w:t>
      </w:r>
    </w:p>
    <w:p>
      <w:pPr>
        <w:pStyle w:val="TextBody"/>
        <w:bidi w:val="0"/>
        <w:spacing w:lineRule="auto" w:line="288" w:before="0" w:after="240"/>
        <w:ind w:left="0" w:right="0" w:firstLine="1440"/>
        <w:jc w:val="both"/>
        <w:rPr/>
      </w:pPr>
      <w:bookmarkStart w:id="394" w:name="i7a2fb3e7f82f44e884555fbda872f7bc"/>
      <w:bookmarkEnd w:id="394"/>
      <w:r>
        <w:rPr>
          <w:rFonts w:ascii="Times New Roman;serif" w:hAnsi="Times New Roman;serif"/>
          <w:b w:val="false"/>
          <w:color w:val="000000"/>
          <w:sz w:val="24"/>
        </w:rPr>
        <w:t>(5)    </w:t>
      </w:r>
      <w:r>
        <w:rPr>
          <w:rFonts w:ascii="Times New Roman;serif" w:hAnsi="Times New Roman;serif"/>
          <w:b w:val="false"/>
          <w:i/>
          <w:color w:val="000000"/>
          <w:sz w:val="24"/>
        </w:rPr>
        <w:t>Optional Redemption</w:t>
      </w:r>
      <w:r>
        <w:rPr>
          <w:rFonts w:ascii="Times New Roman;serif" w:hAnsi="Times New Roman;serif"/>
          <w:b w:val="false"/>
          <w:color w:val="000000"/>
          <w:sz w:val="24"/>
        </w:rPr>
        <w:t>. The Notes are redeemable at the Issuers’ election, in whole or in part at any time prior to their Stated Maturity.</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redemption price for the Notes that are redeemed before September 15, 2029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redemption price for Notes that are redeemed on or after September 15, 2029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September 15 of each of the years indicated below:</w:t>
      </w:r>
    </w:p>
    <w:tbl>
      <w:tblPr>
        <w:tblW w:w="3225" w:type="dxa"/>
        <w:jc w:val="left"/>
        <w:tblInd w:w="0" w:type="dxa"/>
        <w:tblLayout w:type="fixed"/>
        <w:tblCellMar>
          <w:top w:w="28" w:type="dxa"/>
          <w:left w:w="28" w:type="dxa"/>
          <w:bottom w:w="28" w:type="dxa"/>
          <w:right w:w="28" w:type="dxa"/>
        </w:tblCellMar>
      </w:tblPr>
      <w:tblGrid>
        <w:gridCol w:w="703"/>
        <w:gridCol w:w="620"/>
        <w:gridCol w:w="626"/>
        <w:gridCol w:w="373"/>
        <w:gridCol w:w="373"/>
        <w:gridCol w:w="530"/>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Year</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2029</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103.438%</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2030</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101.719%</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2031 and thereafter</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100.000%</w:t>
            </w:r>
          </w:p>
        </w:tc>
      </w:tr>
    </w:tbl>
    <w:p>
      <w:pPr>
        <w:pStyle w:val="TextBody"/>
        <w:bidi w:val="0"/>
        <w:spacing w:before="0" w:after="240"/>
        <w:ind w:left="0" w:right="0" w:firstLine="720"/>
        <w:jc w:val="both"/>
        <w:rPr/>
      </w:pPr>
      <w:r>
        <w:rPr/>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Prior to September 15, 2029, the Issuers may also, on any one or more occasions, redeem up to 35% of the original aggregate principal amount of the Notes (calculated after giving effect to any issuance of additional Notes issued under this Indenture) with the proceeds of one or more Equity Offerings at a redemption price equal to 106.875%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at least 65% of the original aggregate principal amount of the Notes (calculated after giving effect to any issuance of additional Notes issues under this Indenture) remains outstanding after each such redemption (unless all Notes are otherwise repurchased or redeemed substantially concurrently with the corresponding redemption); and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such redemption occurs within 180 days after the closing of such Equity Offering.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Issuers default in the payment of the redemption price, interest will cease to accrue on the Notes or portions thereof called for redemption on the applicable redemption date.</w:t>
      </w:r>
    </w:p>
    <w:p>
      <w:pPr>
        <w:pStyle w:val="TextBody"/>
        <w:bidi w:val="0"/>
        <w:spacing w:lineRule="auto" w:line="288" w:before="0" w:after="240"/>
        <w:ind w:left="0" w:right="0" w:firstLine="1440"/>
        <w:jc w:val="both"/>
        <w:rPr/>
      </w:pPr>
      <w:bookmarkStart w:id="395" w:name="if7708bc6d5c544b481cc200a41971e3a"/>
      <w:bookmarkEnd w:id="395"/>
      <w:r>
        <w:rPr>
          <w:rFonts w:ascii="Times New Roman;serif" w:hAnsi="Times New Roman;serif"/>
          <w:b w:val="false"/>
          <w:color w:val="000000"/>
          <w:sz w:val="24"/>
        </w:rPr>
        <w:t>(6)    </w:t>
      </w:r>
      <w:r>
        <w:rPr>
          <w:rFonts w:ascii="Times New Roman;serif" w:hAnsi="Times New Roman;serif"/>
          <w:b w:val="false"/>
          <w:i/>
          <w:color w:val="000000"/>
          <w:sz w:val="24"/>
        </w:rPr>
        <w:t>Mandatory Redemption</w:t>
      </w:r>
      <w:r>
        <w:rPr>
          <w:rFonts w:ascii="Times New Roman;serif" w:hAnsi="Times New Roman;serif"/>
          <w:b w:val="false"/>
          <w:color w:val="000000"/>
          <w:sz w:val="24"/>
        </w:rPr>
        <w:t>. The Issuers shall not be required to make mandatory redemption or sinking fund payments with respect to the Notes.</w:t>
      </w:r>
    </w:p>
    <w:p>
      <w:pPr>
        <w:pStyle w:val="TextBody"/>
        <w:bidi w:val="0"/>
        <w:spacing w:lineRule="auto" w:line="288" w:before="0" w:after="240"/>
        <w:ind w:left="0" w:right="0" w:firstLine="1440"/>
        <w:jc w:val="both"/>
        <w:rPr/>
      </w:pPr>
      <w:bookmarkStart w:id="396" w:name="i4bc8ae9960334018aa485efca3c3aeea"/>
      <w:bookmarkEnd w:id="396"/>
      <w:r>
        <w:rPr>
          <w:rFonts w:ascii="Times New Roman;serif" w:hAnsi="Times New Roman;serif"/>
          <w:b w:val="false"/>
          <w:color w:val="000000"/>
          <w:sz w:val="24"/>
        </w:rPr>
        <w:t>(7)    </w:t>
      </w:r>
      <w:r>
        <w:rPr>
          <w:rFonts w:ascii="Times New Roman;serif" w:hAnsi="Times New Roman;serif"/>
          <w:b w:val="false"/>
          <w:i/>
          <w:color w:val="000000"/>
          <w:sz w:val="24"/>
        </w:rPr>
        <w:t>Mandatory Disposition or Redemption Pursuant to Gaming Laws</w:t>
      </w:r>
      <w:r>
        <w:rPr>
          <w:rFonts w:ascii="Times New Roman;serif" w:hAnsi="Times New Roman;serif"/>
          <w:b w:val="false"/>
          <w:color w:val="000000"/>
          <w:sz w:val="24"/>
        </w:rPr>
        <w:t>. Notwithstanding any other provision of the 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other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other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v:textbox>
                <w10:wrap type="none"/>
              </v:rect>
            </w:pict>
          </mc:Fallback>
        </mc:AlternateContent>
      </w:r>
    </w:p>
    <w:p>
      <w:pPr>
        <w:pStyle w:val="TextBody"/>
        <w:bidi w:val="0"/>
        <w:spacing w:lineRule="auto" w:line="288" w:before="0" w:after="240"/>
        <w:ind w:left="0" w:right="0" w:firstLine="1440"/>
        <w:jc w:val="both"/>
        <w:rPr/>
      </w:pPr>
      <w:bookmarkStart w:id="397" w:name="i1cf274a56b2845e39fd3208cae0f6107"/>
      <w:bookmarkEnd w:id="397"/>
      <w:r>
        <w:rPr>
          <w:rFonts w:ascii="Times New Roman;serif" w:hAnsi="Times New Roman;serif"/>
          <w:b w:val="false"/>
          <w:color w:val="000000"/>
          <w:sz w:val="24"/>
        </w:rPr>
        <w:t>(8)    </w:t>
      </w:r>
      <w:r>
        <w:rPr>
          <w:rFonts w:ascii="Times New Roman;serif" w:hAnsi="Times New Roman;serif"/>
          <w:b w:val="false"/>
          <w:i/>
          <w:color w:val="000000"/>
          <w:sz w:val="24"/>
        </w:rPr>
        <w:t>Repurchase at Option of Holder</w:t>
      </w:r>
      <w:r>
        <w:rPr>
          <w:rFonts w:ascii="Times New Roman;serif" w:hAnsi="Times New Roman;serif"/>
          <w:b w:val="false"/>
          <w:color w:val="000000"/>
          <w:sz w:val="24"/>
        </w:rPr>
        <w:t>. If a Change of Control Triggering Event occurs, the Issuers shall make an offer (a “</w:t>
      </w:r>
      <w:r>
        <w:rPr>
          <w:rFonts w:ascii="Times New Roman;serif" w:hAnsi="Times New Roman;serif"/>
          <w:b w:val="false"/>
          <w:i/>
          <w:color w:val="000000"/>
          <w:sz w:val="24"/>
          <w:u w:val="single"/>
        </w:rPr>
        <w:t>Change of Control Offer</w:t>
      </w:r>
      <w:r>
        <w:rPr>
          <w:color w:val="000000"/>
        </w:rPr>
        <w:t>”</w:t>
      </w:r>
      <w:r>
        <w:rPr>
          <w:rFonts w:ascii="Times New Roman;serif" w:hAnsi="Times New Roman;serif"/>
          <w:b w:val="false"/>
          <w:color w:val="000000"/>
          <w:sz w:val="24"/>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Times New Roman;serif" w:hAnsi="Times New Roman;serif"/>
          <w:b w:val="false"/>
          <w:i/>
          <w:color w:val="000000"/>
          <w:sz w:val="24"/>
          <w:u w:val="single"/>
        </w:rPr>
        <w:t>Change of Control Payment</w:t>
      </w:r>
      <w:r>
        <w:rPr>
          <w:color w:val="000000"/>
        </w:rPr>
        <w:t>”</w:t>
      </w:r>
      <w:r>
        <w:rPr>
          <w:rFonts w:ascii="Times New Roman;serif" w:hAnsi="Times New Roman;serif"/>
          <w:b w:val="false"/>
          <w:color w:val="000000"/>
          <w:sz w:val="24"/>
        </w:rPr>
        <w:t>). Within 10 days following any Change of Control Triggering Event, the Issuers shall mail a notice to each Holder setting forth the procedures governing the Change of Control Offer as required by the Indenture.</w:t>
      </w:r>
    </w:p>
    <w:p>
      <w:pPr>
        <w:pStyle w:val="TextBody"/>
        <w:bidi w:val="0"/>
        <w:spacing w:lineRule="auto" w:line="288" w:before="0" w:after="240"/>
        <w:ind w:left="0" w:right="0" w:firstLine="1440"/>
        <w:jc w:val="both"/>
        <w:rPr/>
      </w:pPr>
      <w:bookmarkStart w:id="398" w:name="i51d6b99690c54021b632d403942a55d5"/>
      <w:bookmarkEnd w:id="398"/>
      <w:r>
        <w:rPr>
          <w:rFonts w:ascii="Times New Roman;serif" w:hAnsi="Times New Roman;serif"/>
          <w:b w:val="false"/>
          <w:color w:val="000000"/>
          <w:sz w:val="24"/>
        </w:rPr>
        <w:t>(9)    </w:t>
      </w:r>
      <w:r>
        <w:rPr>
          <w:rFonts w:ascii="Times New Roman;serif" w:hAnsi="Times New Roman;serif"/>
          <w:b w:val="false"/>
          <w:i/>
          <w:color w:val="000000"/>
          <w:sz w:val="24"/>
        </w:rPr>
        <w:t>Notice of Redemption</w:t>
      </w:r>
      <w:r>
        <w:rPr>
          <w:rFonts w:ascii="Times New Roman;serif" w:hAnsi="Times New Roman;serif"/>
          <w:b w:val="false"/>
          <w:color w:val="000000"/>
          <w:sz w:val="24"/>
        </w:rPr>
        <w:t xml:space="preserve">. Notice of redemption shall be delivered at least 15 days but not more than 60 days 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 </w:t>
      </w:r>
    </w:p>
    <w:p>
      <w:pPr>
        <w:pStyle w:val="TextBody"/>
        <w:bidi w:val="0"/>
        <w:spacing w:lineRule="auto" w:line="288" w:before="0" w:after="240"/>
        <w:ind w:left="0" w:right="0" w:firstLine="1440"/>
        <w:jc w:val="both"/>
        <w:rPr/>
      </w:pPr>
      <w:bookmarkStart w:id="399" w:name="if4a9d63cb4b44506bc1551c6a4cda85b"/>
      <w:bookmarkEnd w:id="399"/>
      <w:r>
        <w:rPr>
          <w:rFonts w:ascii="Times New Roman;serif" w:hAnsi="Times New Roman;serif"/>
          <w:b w:val="false"/>
          <w:color w:val="000000"/>
          <w:sz w:val="24"/>
        </w:rPr>
        <w:t>(10)    </w:t>
      </w:r>
      <w:r>
        <w:rPr>
          <w:rFonts w:ascii="Times New Roman;serif" w:hAnsi="Times New Roman;serif"/>
          <w:b w:val="false"/>
          <w:i/>
          <w:color w:val="000000"/>
          <w:sz w:val="24"/>
        </w:rPr>
        <w:t>Denominations, Transfer, Exchange</w:t>
      </w:r>
      <w:r>
        <w:rPr>
          <w:rFonts w:ascii="Times New Roman;serif" w:hAnsi="Times New Roman;serif"/>
          <w:b w:val="false"/>
          <w:color w:val="000000"/>
          <w:sz w:val="24"/>
        </w:rPr>
        <w:t>. The Notes are in registered form without coupons in denominations of $2,000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pStyle w:val="TextBody"/>
        <w:bidi w:val="0"/>
        <w:spacing w:lineRule="auto" w:line="288" w:before="0" w:after="240"/>
        <w:ind w:left="0" w:right="0" w:firstLine="1440"/>
        <w:jc w:val="both"/>
        <w:rPr/>
      </w:pPr>
      <w:bookmarkStart w:id="400" w:name="i787adac778ea495d90be4b03c66b61ed"/>
      <w:bookmarkEnd w:id="400"/>
      <w:r>
        <w:rPr>
          <w:rFonts w:ascii="Times New Roman;serif" w:hAnsi="Times New Roman;serif"/>
          <w:b w:val="false"/>
          <w:color w:val="000000"/>
          <w:sz w:val="24"/>
        </w:rPr>
        <w:t>(11)    </w:t>
      </w:r>
      <w:r>
        <w:rPr>
          <w:rFonts w:ascii="Times New Roman;serif" w:hAnsi="Times New Roman;serif"/>
          <w:b w:val="false"/>
          <w:i/>
          <w:color w:val="000000"/>
          <w:sz w:val="24"/>
        </w:rPr>
        <w:t>Persons Deemed Owners</w:t>
      </w:r>
      <w:r>
        <w:rPr>
          <w:rFonts w:ascii="Times New Roman;serif" w:hAnsi="Times New Roman;serif"/>
          <w:b w:val="false"/>
          <w:color w:val="000000"/>
          <w:sz w:val="24"/>
        </w:rPr>
        <w:t>. The registered Holder of a Note may be treated as its owner for all purposes.</w:t>
      </w:r>
    </w:p>
    <w:p>
      <w:pPr>
        <w:pStyle w:val="TextBody"/>
        <w:bidi w:val="0"/>
        <w:spacing w:lineRule="auto" w:line="288" w:before="0" w:after="240"/>
        <w:ind w:left="0" w:right="0" w:firstLine="1440"/>
        <w:jc w:val="both"/>
        <w:rPr/>
      </w:pPr>
      <w:bookmarkStart w:id="401" w:name="if1bf8508d44b490d82b4549e7f584cb1"/>
      <w:bookmarkEnd w:id="401"/>
      <w:r>
        <w:rPr>
          <w:rFonts w:ascii="Times New Roman;serif" w:hAnsi="Times New Roman;serif"/>
          <w:b w:val="false"/>
          <w:color w:val="000000"/>
          <w:sz w:val="24"/>
        </w:rPr>
        <w:t>(12)    </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402" w:name="i20f1a34cd6b044f19beb1d35a79518f9"/>
      <w:bookmarkEnd w:id="402"/>
      <w:r>
        <w:rPr>
          <w:rFonts w:ascii="Times New Roman;serif" w:hAnsi="Times New Roman;serif"/>
          <w:b w:val="false"/>
          <w:color w:val="000000"/>
          <w:sz w:val="24"/>
        </w:rPr>
        <w:t xml:space="preserve">(a)    Subject to certain exceptions, the Indenture, the Notes and the Note Guarantees may be amended or supplemented with the consent of the Holders of at least a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 </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403" w:name="iaebbbbd4a15a404a9e444ad75a951817"/>
      <w:bookmarkEnd w:id="403"/>
      <w:r>
        <w:rPr>
          <w:rFonts w:ascii="Times New Roman;serif" w:hAnsi="Times New Roman;serif"/>
          <w:b w:val="false"/>
          <w:color w:val="000000"/>
          <w:sz w:val="24"/>
        </w:rPr>
        <w:t>(b)    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404" w:name="ifc3eaa820bf6407b9bd6ca925375e872"/>
      <w:bookmarkEnd w:id="404"/>
      <w:r>
        <w:rPr>
          <w:rFonts w:ascii="Times New Roman;serif" w:hAnsi="Times New Roman;serif"/>
          <w:b w:val="false"/>
          <w:color w:val="000000"/>
          <w:sz w:val="24"/>
        </w:rPr>
        <w:t xml:space="preserve">(c)    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September 10, 2026,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Gaming Laws or to provide for requirements imposed by applicable Gaming Authorities; (xi) to provide for the acceptance or appointment of a successor trustee or (xii) provide for the Notes to be secured.</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v:textbox>
                <w10:wrap type="none"/>
              </v:rect>
            </w:pict>
          </mc:Fallback>
        </mc:AlternateContent>
      </w:r>
    </w:p>
    <w:p>
      <w:pPr>
        <w:pStyle w:val="TextBody"/>
        <w:bidi w:val="0"/>
        <w:spacing w:lineRule="auto" w:line="288" w:before="0" w:after="240"/>
        <w:ind w:left="0" w:right="0" w:firstLine="1440"/>
        <w:jc w:val="both"/>
        <w:rPr/>
      </w:pPr>
      <w:bookmarkStart w:id="405" w:name="i6ac6b75bada943579912fa66715852a9"/>
      <w:bookmarkEnd w:id="405"/>
      <w:r>
        <w:rPr>
          <w:rFonts w:ascii="Times New Roman;serif" w:hAnsi="Times New Roman;serif"/>
          <w:b w:val="false"/>
          <w:color w:val="000000"/>
          <w:sz w:val="24"/>
        </w:rPr>
        <w:t>(13)    </w:t>
      </w:r>
      <w:r>
        <w:rPr>
          <w:rFonts w:ascii="Times New Roman;serif" w:hAnsi="Times New Roman;serif"/>
          <w:b w:val="false"/>
          <w:i/>
          <w:color w:val="000000"/>
          <w:sz w:val="24"/>
        </w:rPr>
        <w:t>Defaults and Remedies</w:t>
      </w:r>
      <w:r>
        <w:rPr>
          <w:rFonts w:ascii="Times New Roman;serif" w:hAnsi="Times New Roman;serif"/>
          <w:b w:val="false"/>
          <w:color w:val="000000"/>
          <w:sz w:val="24"/>
        </w:rPr>
        <w:t xml:space="preserve">. Events of Default include: (i) default for 30 days in the payment when due of interest, 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if a Default for a failure to report or failure to deliver a required certificate in connection with another default (the “</w:t>
      </w:r>
      <w:r>
        <w:rPr>
          <w:rFonts w:ascii="Times New Roman;serif" w:hAnsi="Times New Roman;serif"/>
          <w:b w:val="false"/>
          <w:i/>
          <w:color w:val="000000"/>
          <w:sz w:val="24"/>
        </w:rPr>
        <w:t>Initial Default</w:t>
      </w:r>
      <w:r>
        <w:rPr>
          <w:color w:val="000000"/>
        </w:rPr>
        <w:t>”</w:t>
      </w:r>
      <w:r>
        <w:rPr>
          <w:rFonts w:ascii="Times New Roman;serif" w:hAnsi="Times New Roman;serif"/>
          <w:b w:val="false"/>
          <w:color w:val="000000"/>
          <w:sz w:val="24"/>
        </w:rPr>
        <w:t xml:space="preserve">)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an Officers’ Certificate regarding compliance with the Indenture. Upon becoming aware of any Default or Event of Default, the Issuers are required to deliver to the Trustee an Officers’ Certificate specifying such Default or Event of Default. </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v:textbox>
                <w10:wrap type="none"/>
              </v:rect>
            </w:pict>
          </mc:Fallback>
        </mc:AlternateContent>
      </w:r>
    </w:p>
    <w:p>
      <w:pPr>
        <w:pStyle w:val="TextBody"/>
        <w:bidi w:val="0"/>
        <w:spacing w:lineRule="auto" w:line="288" w:before="0" w:after="240"/>
        <w:ind w:left="0" w:right="0" w:firstLine="1440"/>
        <w:jc w:val="both"/>
        <w:rPr/>
      </w:pPr>
      <w:bookmarkStart w:id="406" w:name="i9f178119e9d64138bf61109b6a65edd9"/>
      <w:bookmarkEnd w:id="406"/>
      <w:r>
        <w:rPr>
          <w:rFonts w:ascii="Times New Roman;serif" w:hAnsi="Times New Roman;serif"/>
          <w:b w:val="false"/>
          <w:color w:val="000000"/>
          <w:sz w:val="24"/>
        </w:rPr>
        <w:t>(14)    </w:t>
      </w:r>
      <w:r>
        <w:rPr>
          <w:rFonts w:ascii="Times New Roman;serif" w:hAnsi="Times New Roman;serif"/>
          <w:b w:val="false"/>
          <w:i/>
          <w:color w:val="000000"/>
          <w:sz w:val="24"/>
        </w:rPr>
        <w:t>[Reserved]</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07" w:name="icd397dbca91a4ebdb17f6821b32245ac"/>
      <w:bookmarkEnd w:id="407"/>
      <w:r>
        <w:rPr>
          <w:rFonts w:ascii="Times New Roman;serif" w:hAnsi="Times New Roman;serif"/>
          <w:b w:val="false"/>
          <w:color w:val="000000"/>
          <w:sz w:val="24"/>
        </w:rPr>
        <w:t>(15)    </w:t>
      </w:r>
      <w:r>
        <w:rPr>
          <w:rFonts w:ascii="Times New Roman;serif" w:hAnsi="Times New Roman;serif"/>
          <w:b w:val="false"/>
          <w:i/>
          <w:color w:val="000000"/>
          <w:sz w:val="24"/>
        </w:rPr>
        <w:t>Trustee Dealings with Issuers</w:t>
      </w:r>
      <w:r>
        <w:rPr>
          <w:rFonts w:ascii="Times New Roman;serif" w:hAnsi="Times New Roman;serif"/>
          <w:b w:val="false"/>
          <w:color w:val="000000"/>
          <w:sz w:val="24"/>
        </w:rPr>
        <w:t xml:space="preserve">. 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w:t>
      </w:r>
    </w:p>
    <w:p>
      <w:pPr>
        <w:pStyle w:val="TextBody"/>
        <w:bidi w:val="0"/>
        <w:spacing w:lineRule="auto" w:line="288" w:before="0" w:after="240"/>
        <w:ind w:left="0" w:right="0" w:firstLine="1440"/>
        <w:jc w:val="both"/>
        <w:rPr/>
      </w:pPr>
      <w:bookmarkStart w:id="408" w:name="i248feaaaeb1e4f50afd19c816b9e2848"/>
      <w:bookmarkEnd w:id="408"/>
      <w:r>
        <w:rPr>
          <w:rFonts w:ascii="Times New Roman;serif" w:hAnsi="Times New Roman;serif"/>
          <w:b w:val="false"/>
          <w:color w:val="000000"/>
          <w:sz w:val="24"/>
        </w:rPr>
        <w:t>(16)    </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past, present or future director, officer, employee, incorporator, organizer, equity holder or member of either Issuer or any Guarantor, as such, shall have any liability for any obligations of either Issuer or any Guarantor under the Notes, the Note Guarantees,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88" w:before="0" w:after="240"/>
        <w:ind w:left="0" w:right="0" w:firstLine="1440"/>
        <w:jc w:val="both"/>
        <w:rPr/>
      </w:pPr>
      <w:bookmarkStart w:id="409" w:name="i26067af50960418788eb07cc4b0ad529"/>
      <w:bookmarkEnd w:id="409"/>
      <w:r>
        <w:rPr>
          <w:rFonts w:ascii="Times New Roman;serif" w:hAnsi="Times New Roman;serif"/>
          <w:b w:val="false"/>
          <w:color w:val="000000"/>
          <w:sz w:val="24"/>
        </w:rPr>
        <w:t>(17)    </w:t>
      </w:r>
      <w:r>
        <w:rPr>
          <w:rFonts w:ascii="Times New Roman;serif" w:hAnsi="Times New Roman;serif"/>
          <w:b w:val="false"/>
          <w:i/>
          <w:color w:val="000000"/>
          <w:sz w:val="24"/>
        </w:rPr>
        <w:t>Authentication</w:t>
      </w:r>
      <w:r>
        <w:rPr>
          <w:rFonts w:ascii="Times New Roman;serif" w:hAnsi="Times New Roman;serif"/>
          <w:b w:val="false"/>
          <w:color w:val="000000"/>
          <w:sz w:val="24"/>
        </w:rPr>
        <w:t>. This Note shall not be valid until authenticated by the manual signature of the Trustee or an authenticating agent.</w:t>
      </w:r>
    </w:p>
    <w:p>
      <w:pPr>
        <w:pStyle w:val="TextBody"/>
        <w:bidi w:val="0"/>
        <w:spacing w:lineRule="auto" w:line="288" w:before="0" w:after="240"/>
        <w:ind w:left="0" w:right="0" w:firstLine="1440"/>
        <w:jc w:val="both"/>
        <w:rPr/>
      </w:pPr>
      <w:bookmarkStart w:id="410" w:name="id2b54c03369a4db7b034a8ba0e92ce71"/>
      <w:bookmarkEnd w:id="410"/>
      <w:r>
        <w:rPr>
          <w:rFonts w:ascii="Times New Roman;serif" w:hAnsi="Times New Roman;serif"/>
          <w:b w:val="false"/>
          <w:color w:val="000000"/>
          <w:sz w:val="24"/>
        </w:rPr>
        <w:t>(18)    </w:t>
      </w:r>
      <w:r>
        <w:rPr>
          <w:rFonts w:ascii="Times New Roman;serif" w:hAnsi="Times New Roman;serif"/>
          <w:b w:val="false"/>
          <w:i/>
          <w:color w:val="000000"/>
          <w:sz w:val="24"/>
        </w:rPr>
        <w:t>Abbreviations</w:t>
      </w:r>
      <w:r>
        <w:rPr>
          <w:rFonts w:ascii="Times New Roman;serif" w:hAnsi="Times New Roman;serif"/>
          <w:b w:val="false"/>
          <w:color w:val="000000"/>
          <w:sz w:val="24"/>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lineRule="auto" w:line="288" w:before="0" w:after="240"/>
        <w:ind w:left="0" w:right="0" w:firstLine="1440"/>
        <w:jc w:val="both"/>
        <w:rPr/>
      </w:pPr>
      <w:bookmarkStart w:id="411" w:name="i9f17e82e3a7f4acfbfa69157a3d0875a"/>
      <w:bookmarkEnd w:id="411"/>
      <w:r>
        <w:rPr>
          <w:rFonts w:ascii="Times New Roman;serif" w:hAnsi="Times New Roman;serif"/>
          <w:b w:val="false"/>
          <w:color w:val="000000"/>
          <w:sz w:val="24"/>
        </w:rPr>
        <w:t>(19)    </w:t>
      </w:r>
      <w:r>
        <w:rPr>
          <w:rFonts w:ascii="Times New Roman;serif" w:hAnsi="Times New Roman;serif"/>
          <w:b w:val="false"/>
          <w:i/>
          <w:color w:val="000000"/>
          <w:sz w:val="24"/>
        </w:rPr>
        <w:t>Governing Law</w:t>
      </w:r>
      <w:r>
        <w:rPr>
          <w:rFonts w:ascii="Times New Roman;serif" w:hAnsi="Times New Roman;serif"/>
          <w:b w:val="false"/>
          <w:color w:val="000000"/>
          <w:sz w:val="24"/>
        </w:rPr>
        <w:t>. THE INDENTURE, THIS NOTE AND THE NOTE GUARANTEES SHALL BE GOVERNED BY AND CONSTRUED IN ACCORDANCE WITH THE LAWS OF THE STATE OF NEW YORK, INCLUDING, WITHOUT LIMITATION, SECTION 4-1401 OF THE NEW YORK OBLIGATIONS LAW.</w:t>
      </w:r>
    </w:p>
    <w:p>
      <w:pPr>
        <w:pStyle w:val="TextBody"/>
        <w:bidi w:val="0"/>
        <w:spacing w:lineRule="auto" w:line="288" w:before="0" w:after="240"/>
        <w:ind w:left="0" w:right="0" w:firstLine="1440"/>
        <w:jc w:val="both"/>
        <w:rPr/>
      </w:pPr>
      <w:bookmarkStart w:id="412" w:name="i5ffc4a97fd5b40ebad1a58a60db71983"/>
      <w:bookmarkEnd w:id="412"/>
      <w:r>
        <w:rPr>
          <w:rFonts w:ascii="Times New Roman;serif" w:hAnsi="Times New Roman;serif"/>
          <w:b w:val="false"/>
          <w:color w:val="000000"/>
          <w:sz w:val="24"/>
        </w:rPr>
        <w:t>(20)    </w:t>
      </w:r>
      <w:r>
        <w:rPr>
          <w:rFonts w:ascii="Times New Roman;serif" w:hAnsi="Times New Roman;serif"/>
          <w:b w:val="false"/>
          <w:i/>
          <w:color w:val="000000"/>
          <w:sz w:val="24"/>
        </w:rPr>
        <w:t>CUSIP Numbers</w:t>
      </w:r>
      <w:r>
        <w:rPr>
          <w:rFonts w:ascii="Times New Roman;serif" w:hAnsi="Times New Roman;serif"/>
          <w:b w:val="false"/>
          <w:color w:val="000000"/>
          <w:sz w:val="24"/>
        </w:rPr>
        <w:t xml:space="preserve">.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numbers either as printed on the Notes or as contained in any notice of redemption and reliance may be placed only on the other identification numbers placed thereon.</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shall furnish to any Holder upon written request and without charge a copy of the Indenture. Requests may be made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 Wynn Resorts Finance, LLC</w:t>
        <w:br/>
        <w:t>3131 Las Vegas Boulevard South</w:t>
        <w:br/>
        <w:t>Las Vegas, NV 89109</w:t>
        <w:br/>
        <w:t>Fax No.: (702) 770-1518</w:t>
        <w:br/>
        <w:t>Attention: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A-1-10</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or (we) assign and transfer this Note to:     </w:t>
      </w:r>
    </w:p>
    <w:p>
      <w:pPr>
        <w:pStyle w:val="TextBody"/>
        <w:bidi w:val="0"/>
        <w:spacing w:lineRule="auto" w:line="288" w:before="0" w:after="480"/>
        <w:jc w:val="both"/>
        <w:rPr>
          <w:color w:val="000000"/>
        </w:rPr>
      </w:pPr>
      <w:r>
        <w:rPr>
          <w:color w:val="000000"/>
        </w:rPr>
        <w:t>    </w:t>
      </w:r>
      <w:r>
        <w:rPr>
          <w:rFonts w:ascii="Times New Roman;serif" w:hAnsi="Times New Roman;serif"/>
          <w:b w:val="false"/>
          <w:color w:val="000000"/>
          <w:sz w:val="16"/>
        </w:rPr>
        <w:t>(Insert assignee’s legal name)</w:t>
      </w:r>
    </w:p>
    <w:p>
      <w:pPr>
        <w:pStyle w:val="TextBody"/>
        <w:bidi w:val="0"/>
        <w:spacing w:lineRule="auto" w:line="288" w:before="0" w:after="1440"/>
        <w:jc w:val="center"/>
        <w:rPr>
          <w:rFonts w:ascii="Times New Roman;serif" w:hAnsi="Times New Roman;serif"/>
          <w:b w:val="false"/>
          <w:color w:val="000000"/>
          <w:sz w:val="16"/>
        </w:rPr>
      </w:pPr>
      <w:r>
        <w:rPr>
          <w:rFonts w:ascii="Times New Roman;serif" w:hAnsi="Times New Roman;serif"/>
          <w:b w:val="false"/>
          <w:color w:val="000000"/>
          <w:sz w:val="16"/>
        </w:rPr>
        <w:t>(Insert assignee’s soc. sec. or tax I.D. no.)</w:t>
      </w:r>
    </w:p>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(Print or type assignee’s name, address and zip code)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and irrevocably appoint </w:t>
        <w:br/>
        <w:t>to transfer this Note on the books of the Issuers. The agent may substitute another to act for him.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Signature:     </w:t>
      </w:r>
    </w:p>
    <w:p>
      <w:pPr>
        <w:pStyle w:val="TextBody"/>
        <w:bidi w:val="0"/>
        <w:spacing w:lineRule="auto" w:line="288" w:before="0" w:after="240"/>
        <w:jc w:val="right"/>
        <w:rPr>
          <w:rFonts w:ascii="Times New Roman;serif" w:hAnsi="Times New Roman;serif"/>
          <w:b w:val="false"/>
          <w:color w:val="000000"/>
          <w:sz w:val="16"/>
        </w:rPr>
      </w:pPr>
      <w:r>
        <w:rPr>
          <w:rFonts w:ascii="Times New Roman;serif" w:hAnsi="Times New Roman;serif"/>
          <w:b w:val="false"/>
          <w:color w:val="000000"/>
          <w:sz w:val="16"/>
        </w:rPr>
        <w:t>(Sign exactly as your name appears on the face of this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 Guarantee*: 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purchased by the Issuers pursuant to Section 4.11 of the Indenture, check the appropriate box below: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Section 4.11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the Note purchased by the Issuers pursuant to Section 4.11 of the Indenture, state the amount you elect to have purchased: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Signature:</w:t>
      </w:r>
    </w:p>
    <w:p>
      <w:pPr>
        <w:pStyle w:val="TextBody"/>
        <w:bidi w:val="0"/>
        <w:spacing w:lineRule="auto" w:line="288" w:before="0" w:after="240"/>
        <w:jc w:val="right"/>
        <w:rPr>
          <w:rFonts w:ascii="Times New Roman;serif" w:hAnsi="Times New Roman;serif"/>
          <w:b w:val="false"/>
          <w:color w:val="000000"/>
          <w:sz w:val="16"/>
        </w:rPr>
      </w:pPr>
      <w:r>
        <w:rPr>
          <w:rFonts w:ascii="Times New Roman;serif" w:hAnsi="Times New Roman;serif"/>
          <w:b w:val="false"/>
          <w:color w:val="000000"/>
          <w:sz w:val="16"/>
        </w:rPr>
        <w:t>(Sign exactly as your name appears on the face of this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Tax Identification No.: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 Guarantee*: 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INTERESTS IN THE GLOBAL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exchanges of a part of this Global Note for an interest in another Global Note or for a Definitive Note, or exchanges of a part of another Global Note or Definitive Note for an interest in this Global Note, have been made:</w:t>
      </w:r>
    </w:p>
    <w:tbl>
      <w:tblPr>
        <w:tblW w:w="8140" w:type="dxa"/>
        <w:jc w:val="left"/>
        <w:tblInd w:w="0" w:type="dxa"/>
        <w:tblLayout w:type="fixed"/>
        <w:tblCellMar>
          <w:top w:w="28" w:type="dxa"/>
          <w:left w:w="28" w:type="dxa"/>
          <w:bottom w:w="28" w:type="dxa"/>
          <w:right w:w="28" w:type="dxa"/>
        </w:tblCellMar>
      </w:tblPr>
      <w:tblGrid>
        <w:gridCol w:w="510"/>
        <w:gridCol w:w="449"/>
        <w:gridCol w:w="450"/>
        <w:gridCol w:w="539"/>
        <w:gridCol w:w="539"/>
        <w:gridCol w:w="541"/>
        <w:gridCol w:w="579"/>
        <w:gridCol w:w="579"/>
        <w:gridCol w:w="581"/>
        <w:gridCol w:w="559"/>
        <w:gridCol w:w="559"/>
        <w:gridCol w:w="561"/>
        <w:gridCol w:w="495"/>
        <w:gridCol w:w="495"/>
        <w:gridCol w:w="70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Exchange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decrease </w:t>
              <w:br/>
              <w:t xml:space="preserve">in Principal Amount </w:t>
              <w:br/>
              <w:t>of this Global Note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increase in </w:t>
              <w:br/>
              <w:t xml:space="preserve">Principal Amount </w:t>
              <w:br/>
              <w:t>of this Global Note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Principal Amount </w:t>
              <w:br/>
              <w:t xml:space="preserve">of this Global Note </w:t>
              <w:br/>
              <w:t xml:space="preserve">following such </w:t>
              <w:br/>
              <w:t>decrease (or increase)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Signature of </w:t>
              <w:br/>
              <w:t xml:space="preserve">authorized officer of </w:t>
              <w:br/>
              <w:t>Trustee or Custodian</w:t>
            </w:r>
          </w:p>
        </w:tc>
      </w:tr>
    </w:tbl>
    <w:p>
      <w:pPr>
        <w:pStyle w:val="TextBody"/>
        <w:bidi w:val="0"/>
        <w:spacing w:before="0" w:after="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    </w:t>
      </w:r>
      <w:r>
        <w:rPr>
          <w:rFonts w:ascii="Times New Roman;serif" w:hAnsi="Times New Roman;serif"/>
          <w:b w:val="false"/>
          <w:i/>
          <w:color w:val="000000"/>
          <w:sz w:val="24"/>
        </w:rPr>
        <w:t>This schedule should be included only if the Note is issued in global form.</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p>
                  </w:txbxContent>
                </v:textbox>
                <w10:wrap type="none"/>
              </v:rect>
            </w:pict>
          </mc:Fallback>
        </mc:AlternateConten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A-2</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p>
                  </w:txbxContent>
                </v:textbox>
                <w10:wrap type="none"/>
              </v:rect>
            </w:pict>
          </mc:Fallback>
        </mc:AlternateContent>
      </w:r>
    </w:p>
    <w:tbl>
      <w:tblPr>
        <w:tblW w:w="4124" w:type="dxa"/>
        <w:jc w:val="left"/>
        <w:tblInd w:w="0" w:type="dxa"/>
        <w:tblLayout w:type="fixed"/>
        <w:tblCellMar>
          <w:top w:w="28" w:type="dxa"/>
          <w:left w:w="28" w:type="dxa"/>
          <w:bottom w:w="28" w:type="dxa"/>
          <w:right w:w="28" w:type="dxa"/>
        </w:tblCellMar>
      </w:tblPr>
      <w:tblGrid>
        <w:gridCol w:w="1320"/>
        <w:gridCol w:w="1159"/>
        <w:gridCol w:w="1645"/>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40"/>
              <w:jc w:val="center"/>
              <w:rPr>
                <w:rFonts w:ascii="Times New Roman;serif" w:hAnsi="Times New Roman;serif"/>
                <w:b/>
                <w:color w:val="000000"/>
                <w:sz w:val="19"/>
              </w:rPr>
            </w:pPr>
            <w:r>
              <w:rPr>
                <w:rFonts w:ascii="Times New Roman;serif" w:hAnsi="Times New Roman;serif"/>
                <w:b/>
                <w:color w:val="000000"/>
                <w:sz w:val="19"/>
              </w:rPr>
              <w:t>[Face of Regulation S Temporary Global Note]</w:t>
            </w:r>
          </w:p>
        </w:tc>
      </w:tr>
    </w:tbl>
    <w:p>
      <w:pPr>
        <w:pStyle w:val="TextBody"/>
        <w:bidi w:val="0"/>
        <w:spacing w:lineRule="auto" w:line="288" w:before="0" w:after="120"/>
        <w:jc w:val="right"/>
        <w:rPr>
          <w:rFonts w:ascii="Times New Roman;serif" w:hAnsi="Times New Roman;serif"/>
          <w:b w:val="false"/>
          <w:color w:val="000000"/>
          <w:sz w:val="19"/>
        </w:rPr>
      </w:pPr>
      <w:r>
        <w:rPr>
          <w:rFonts w:ascii="Times New Roman;serif" w:hAnsi="Times New Roman;serif"/>
          <w:b w:val="false"/>
          <w:color w:val="000000"/>
          <w:sz w:val="19"/>
        </w:rPr>
        <w:t xml:space="preserve">CUSIP/ISIN U98354 AF7/USU98354AF77 </w:t>
      </w:r>
    </w:p>
    <w:p>
      <w:pPr>
        <w:pStyle w:val="TextBody"/>
        <w:bidi w:val="0"/>
        <w:spacing w:lineRule="auto" w:line="288" w:before="0" w:after="120"/>
        <w:jc w:val="center"/>
        <w:rPr>
          <w:rFonts w:ascii="Times New Roman;serif" w:hAnsi="Times New Roman;serif"/>
          <w:b w:val="false"/>
          <w:color w:val="000000"/>
          <w:sz w:val="19"/>
        </w:rPr>
      </w:pPr>
      <w:r>
        <w:rPr>
          <w:rFonts w:ascii="Times New Roman;serif" w:hAnsi="Times New Roman;serif"/>
          <w:b w:val="false"/>
          <w:color w:val="000000"/>
          <w:sz w:val="19"/>
        </w:rPr>
        <w:t>6.875% Senior Notes due 2035</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No. ___    $____________</w:t>
      </w:r>
    </w:p>
    <w:p>
      <w:pPr>
        <w:pStyle w:val="TextBody"/>
        <w:bidi w:val="0"/>
        <w:spacing w:lineRule="auto" w:line="288" w:before="0" w:after="240"/>
        <w:jc w:val="center"/>
        <w:rPr>
          <w:rFonts w:ascii="Times New Roman;serif" w:hAnsi="Times New Roman;serif"/>
          <w:b w:val="false"/>
          <w:color w:val="000000"/>
          <w:sz w:val="19"/>
        </w:rPr>
      </w:pPr>
      <w:r>
        <w:rPr>
          <w:rFonts w:ascii="Times New Roman;serif" w:hAnsi="Times New Roman;serif"/>
          <w:b w:val="false"/>
          <w:color w:val="000000"/>
          <w:sz w:val="19"/>
        </w:rPr>
        <w:t>WYNN RESORTS FINANCE, LLC</w:t>
        <w:br/>
        <w:t>WYNN RESORTS CAPITAL CORP.</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promise to pay to ______________________ or registered assigns,</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the principal sum of     </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DOLLARS on March 15, 2035.</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Interest Payment Dates: March 15 and September 15</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 xml:space="preserve">Record Dates: March 1 and September 1 </w:t>
      </w:r>
    </w:p>
    <w:p>
      <w:pPr>
        <w:pStyle w:val="TextBody"/>
        <w:bidi w:val="0"/>
        <w:spacing w:lineRule="auto" w:line="288"/>
        <w:jc w:val="both"/>
        <w:rPr>
          <w:rFonts w:ascii="Times New Roman;serif" w:hAnsi="Times New Roman;serif"/>
          <w:b w:val="false"/>
          <w:color w:val="000000"/>
          <w:sz w:val="19"/>
        </w:rPr>
      </w:pPr>
      <w:r>
        <w:rPr>
          <w:rFonts w:ascii="Times New Roman;serif" w:hAnsi="Times New Roman;serif"/>
          <w:b w:val="false"/>
          <w:color w:val="000000"/>
          <w:sz w:val="19"/>
        </w:rPr>
        <w:t>Dated: September 22, 2026</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WYNN RESORTS FINANCE, LLC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By:    Wynn Resorts Holdings, LLC, its sole member</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By: Wynn Resorts, Limited, its sole member</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 xml:space="preserve">WYNN RESORTS CAPITAL CORP.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This is one of the Notes referred to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 the within-mentioned Indenture: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9"/>
        </w:rPr>
        <w:t>U.S. BANK TRUST COMPANY, NATIONAL ASSOCIATION</w:t>
      </w:r>
      <w:r>
        <w:rPr>
          <w:rFonts w:ascii="Times New Roman;serif" w:hAnsi="Times New Roman;serif"/>
          <w:b w:val="false"/>
          <w:color w:val="000000"/>
          <w:sz w:val="19"/>
        </w:rPr>
        <w:t xml:space="preserve">,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as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By:    </w:t>
      </w:r>
    </w:p>
    <w:tbl>
      <w:tblPr>
        <w:tblW w:w="2159" w:type="dxa"/>
        <w:jc w:val="left"/>
        <w:tblInd w:w="0" w:type="dxa"/>
        <w:tblLayout w:type="fixed"/>
        <w:tblCellMar>
          <w:top w:w="28" w:type="dxa"/>
          <w:left w:w="28" w:type="dxa"/>
          <w:bottom w:w="28" w:type="dxa"/>
          <w:right w:w="28" w:type="dxa"/>
        </w:tblCellMar>
      </w:tblPr>
      <w:tblGrid>
        <w:gridCol w:w="691"/>
        <w:gridCol w:w="608"/>
        <w:gridCol w:w="860"/>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9"/>
              </w:rPr>
              <w:t>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 of Regulation S Temporary Global Note]</w:t>
        <w:br/>
        <w:t>6.875% Senior Notes due 2035</w:t>
      </w:r>
    </w:p>
    <w:p>
      <w:pPr>
        <w:pStyle w:val="TextBody"/>
        <w:bidi w:val="0"/>
        <w:spacing w:lineRule="auto" w:line="288" w:before="0" w:after="240"/>
        <w:jc w:val="both"/>
        <w:rPr/>
      </w:pPr>
      <w:r>
        <w:rPr>
          <w:rFonts w:ascii="Times New Roman;serif" w:hAnsi="Times New Roman;serif"/>
          <w:b w:val="false"/>
          <w:color w:val="000000"/>
          <w:sz w:val="24"/>
        </w:rPr>
        <w:t>[</w:t>
      </w:r>
      <w:r>
        <w:rPr>
          <w:rFonts w:ascii="Times New Roman;serif" w:hAnsi="Times New Roman;serif"/>
          <w:b w:val="false"/>
          <w:i/>
          <w:color w:val="000000"/>
          <w:sz w:val="24"/>
        </w:rPr>
        <w:t>Insert the Private Placement Legend, if applicable, pursuant to Section 2.06(f)(1) of the Indenture</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w:t>
      </w:r>
      <w:r>
        <w:rPr>
          <w:rFonts w:ascii="Times New Roman;serif" w:hAnsi="Times New Roman;serif"/>
          <w:b w:val="false"/>
          <w:i/>
          <w:color w:val="000000"/>
          <w:sz w:val="24"/>
        </w:rPr>
        <w:t>Insert the Global Notes Legend, if applicable, pursuant to Section 2.06(f)(2) of the Indenture</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w:t>
      </w:r>
      <w:r>
        <w:rPr>
          <w:rFonts w:ascii="Times New Roman;serif" w:hAnsi="Times New Roman;serif"/>
          <w:b w:val="false"/>
          <w:i/>
          <w:color w:val="000000"/>
          <w:sz w:val="24"/>
        </w:rPr>
        <w:t>Insert the Regulation S Temporary Global Note Legend pursuant to Section 2.06(f)(3) of the Indenture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have the meanings assigned to them in the Indenture referred to below unless otherwise indicated.</w:t>
      </w:r>
    </w:p>
    <w:p>
      <w:pPr>
        <w:pStyle w:val="TextBody"/>
        <w:bidi w:val="0"/>
        <w:spacing w:lineRule="auto" w:line="288" w:before="0" w:after="240"/>
        <w:ind w:left="0" w:right="0" w:firstLine="1440"/>
        <w:jc w:val="both"/>
        <w:rPr/>
      </w:pPr>
      <w:bookmarkStart w:id="413" w:name="i5e39ef077d5142eabc0469159ef2b5d9"/>
      <w:bookmarkEnd w:id="413"/>
      <w:r>
        <w:rPr>
          <w:rFonts w:ascii="Times New Roman;serif" w:hAnsi="Times New Roman;serif"/>
          <w:b w:val="false"/>
          <w:color w:val="000000"/>
          <w:sz w:val="24"/>
        </w:rPr>
        <w:t>(1)    </w:t>
      </w:r>
      <w:r>
        <w:rPr>
          <w:rFonts w:ascii="Times New Roman;serif" w:hAnsi="Times New Roman;serif"/>
          <w:b w:val="false"/>
          <w:i/>
          <w:color w:val="000000"/>
          <w:sz w:val="24"/>
        </w:rPr>
        <w:t>Interest</w:t>
      </w:r>
      <w:r>
        <w:rPr>
          <w:rFonts w:ascii="Times New Roman;serif" w:hAnsi="Times New Roman;serif"/>
          <w:b w:val="false"/>
          <w:color w:val="000000"/>
          <w:sz w:val="24"/>
        </w:rPr>
        <w:t>. Wynn Resorts Finance, LLC, a Nevada limited liability company (“</w:t>
      </w:r>
      <w:r>
        <w:rPr>
          <w:rFonts w:ascii="Times New Roman;serif" w:hAnsi="Times New Roman;serif"/>
          <w:b w:val="false"/>
          <w:i/>
          <w:color w:val="000000"/>
          <w:sz w:val="24"/>
          <w:u w:val="single"/>
        </w:rPr>
        <w:t>Wynn Resorts Finance</w:t>
      </w:r>
      <w:r>
        <w:rPr>
          <w:color w:val="000000"/>
        </w:rPr>
        <w:t>”</w:t>
      </w:r>
      <w:r>
        <w:rPr>
          <w:rFonts w:ascii="Times New Roman;serif" w:hAnsi="Times New Roman;serif"/>
          <w:b w:val="false"/>
          <w:color w:val="000000"/>
          <w:sz w:val="24"/>
        </w:rPr>
        <w:t>) and Wynn Resorts Capital Corp., a Nevada corporation (“Wynn Resorts Capital,” 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as joint and several obligors, promise to pay interest on the principal amount of this Note at 6.875% per annum from September 22, 2026 until maturity. The Issuers shall pay interest semi-annually in arrears on March 15 and September 15 of each year, or if any such day is not a Business Day, on the next succeeding Business Day (each, an “</w:t>
      </w:r>
      <w:r>
        <w:rPr>
          <w:rFonts w:ascii="Times New Roman;serif" w:hAnsi="Times New Roman;serif"/>
          <w:b w:val="false"/>
          <w:i/>
          <w:color w:val="000000"/>
          <w:sz w:val="24"/>
          <w:u w:val="single"/>
        </w:rPr>
        <w:t>Interest Payment Date</w:t>
      </w:r>
      <w:r>
        <w:rPr>
          <w:color w:val="000000"/>
        </w:rPr>
        <w:t>”</w:t>
      </w:r>
      <w:r>
        <w:rPr>
          <w:rFonts w:ascii="Times New Roman;serif" w:hAnsi="Times New Roman;serif"/>
          <w:b w:val="false"/>
          <w:color w:val="000000"/>
          <w:sz w:val="24"/>
        </w:rPr>
        <w:t xml:space="preserve">). Interest on the Notes shall accrue from the most recent date to which interest has been paid or, if no interest has been paid, from the date of issuance;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the first Interest Payment Date shall be March 15, 2027.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pStyle w:val="TextBody"/>
        <w:bidi w:val="0"/>
        <w:spacing w:lineRule="auto" w:line="288" w:before="0" w:after="240"/>
        <w:ind w:left="0" w:right="0" w:firstLine="1440"/>
        <w:jc w:val="both"/>
        <w:rPr/>
      </w:pPr>
      <w:bookmarkStart w:id="414" w:name="ie86b9fe5ff9a46239b89983a04297fb6"/>
      <w:bookmarkEnd w:id="414"/>
      <w:r>
        <w:rPr>
          <w:rFonts w:ascii="Times New Roman;serif" w:hAnsi="Times New Roman;serif"/>
          <w:b w:val="false"/>
          <w:color w:val="000000"/>
          <w:sz w:val="24"/>
        </w:rPr>
        <w:t>(2)    </w:t>
      </w:r>
      <w:r>
        <w:rPr>
          <w:rFonts w:ascii="Times New Roman;serif" w:hAnsi="Times New Roman;serif"/>
          <w:b w:val="false"/>
          <w:i/>
          <w:color w:val="000000"/>
          <w:sz w:val="24"/>
        </w:rPr>
        <w:t>Method of Payment</w:t>
      </w:r>
      <w:r>
        <w:rPr>
          <w:rFonts w:ascii="Times New Roman;serif" w:hAnsi="Times New Roman;serif"/>
          <w:b w:val="false"/>
          <w:color w:val="000000"/>
          <w:sz w:val="24"/>
        </w:rPr>
        <w:t xml:space="preserve">. The Issuers shall pay interest on the Notes (except defaulted interest) to the Persons who are registered Holders of Notes at the close of business on the March 1 or September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w:t>
      </w:r>
    </w:p>
    <w:p>
      <w:pPr>
        <w:pStyle w:val="TextBody"/>
        <w:bidi w:val="0"/>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States of America as at the time of payment is legal tender for payment of public and private debts.</w:t>
      </w:r>
    </w:p>
    <w:p>
      <w:pPr>
        <w:pStyle w:val="TextBody"/>
        <w:bidi w:val="0"/>
        <w:spacing w:lineRule="auto" w:line="288" w:before="0" w:after="240"/>
        <w:ind w:left="0" w:right="0" w:firstLine="1440"/>
        <w:jc w:val="both"/>
        <w:rPr/>
      </w:pPr>
      <w:bookmarkStart w:id="415" w:name="i32716402740f4a2b8a56f9bae72cb502"/>
      <w:bookmarkEnd w:id="415"/>
      <w:r>
        <w:rPr>
          <w:rFonts w:ascii="Times New Roman;serif" w:hAnsi="Times New Roman;serif"/>
          <w:b w:val="false"/>
          <w:color w:val="000000"/>
          <w:sz w:val="24"/>
        </w:rPr>
        <w:t>(3)    </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Initially, U.S. Bank Trust Company, National Association, the Trustee under the Indenture, shall act as Paying Agent and Registrar. The Issuers may change any Paying Agent or Registrar without notice to any Holder. Either Issuer or any Guarantor may act in any such capacity.</w:t>
      </w:r>
    </w:p>
    <w:p>
      <w:pPr>
        <w:pStyle w:val="TextBody"/>
        <w:bidi w:val="0"/>
        <w:spacing w:lineRule="auto" w:line="288" w:before="0" w:after="240"/>
        <w:ind w:left="0" w:right="0" w:firstLine="1440"/>
        <w:jc w:val="both"/>
        <w:rPr/>
      </w:pPr>
      <w:bookmarkStart w:id="416" w:name="ia3e1aebb1e774ee3b01f38810ef07725"/>
      <w:bookmarkEnd w:id="416"/>
      <w:r>
        <w:rPr>
          <w:rFonts w:ascii="Times New Roman;serif" w:hAnsi="Times New Roman;serif"/>
          <w:b w:val="false"/>
          <w:color w:val="000000"/>
          <w:sz w:val="24"/>
        </w:rPr>
        <w:t>(4)    </w:t>
      </w:r>
      <w:r>
        <w:rPr>
          <w:rFonts w:ascii="Times New Roman;serif" w:hAnsi="Times New Roman;serif"/>
          <w:b w:val="false"/>
          <w:i/>
          <w:color w:val="000000"/>
          <w:sz w:val="24"/>
        </w:rPr>
        <w:t>Indenture</w:t>
      </w:r>
      <w:r>
        <w:rPr>
          <w:rFonts w:ascii="Times New Roman;serif" w:hAnsi="Times New Roman;serif"/>
          <w:b w:val="false"/>
          <w:color w:val="000000"/>
          <w:sz w:val="24"/>
        </w:rPr>
        <w:t>. The Issuers issued the Notes under an Indenture dated as of September 22, 2026 (the “</w:t>
      </w:r>
      <w:r>
        <w:rPr>
          <w:rFonts w:ascii="Times New Roman;serif" w:hAnsi="Times New Roman;serif"/>
          <w:b w:val="false"/>
          <w:i/>
          <w:color w:val="000000"/>
          <w:sz w:val="24"/>
          <w:u w:val="single"/>
        </w:rPr>
        <w:t>Indenture</w:t>
      </w:r>
      <w:r>
        <w:rPr>
          <w:color w:val="000000"/>
        </w:rPr>
        <w:t>”</w:t>
      </w:r>
      <w:r>
        <w:rPr>
          <w:rFonts w:ascii="Times New Roman;serif" w:hAnsi="Times New Roman;serif"/>
          <w:b w:val="false"/>
          <w:color w:val="000000"/>
          <w:sz w:val="24"/>
        </w:rPr>
        <w:t>) 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Times New Roman;serif" w:hAnsi="Times New Roman;serif"/>
          <w:b w:val="false"/>
          <w:i/>
          <w:color w:val="000000"/>
          <w:sz w:val="24"/>
          <w:u w:val="single"/>
        </w:rPr>
        <w:t>Additional Notes</w:t>
      </w:r>
      <w:r>
        <w:rPr>
          <w:rFonts w:ascii="Times New Roman;serif" w:hAnsi="Times New Roman;serif"/>
          <w:b w:val="false"/>
          <w:color w:val="000000"/>
          <w:sz w:val="24"/>
        </w:rPr>
        <w:t>.” The term “</w:t>
      </w:r>
      <w:r>
        <w:rPr>
          <w:rFonts w:ascii="Times New Roman;serif" w:hAnsi="Times New Roman;serif"/>
          <w:b w:val="false"/>
          <w:i/>
          <w:color w:val="000000"/>
          <w:sz w:val="24"/>
          <w:u w:val="single"/>
        </w:rPr>
        <w:t>Notes</w:t>
      </w:r>
      <w:r>
        <w:rPr>
          <w:color w:val="000000"/>
        </w:rPr>
        <w:t xml:space="preserve">” </w:t>
      </w:r>
      <w:r>
        <w:rPr>
          <w:rFonts w:ascii="Times New Roman;serif" w:hAnsi="Times New Roman;serif"/>
          <w:b w:val="false"/>
          <w:color w:val="000000"/>
          <w:sz w:val="24"/>
        </w:rPr>
        <w:t>includes any Additional Notes hereafter issued.</w:t>
      </w:r>
    </w:p>
    <w:p>
      <w:pPr>
        <w:pStyle w:val="TextBody"/>
        <w:bidi w:val="0"/>
        <w:spacing w:lineRule="auto" w:line="288" w:before="0" w:after="240"/>
        <w:ind w:left="0" w:right="0" w:firstLine="1440"/>
        <w:jc w:val="both"/>
        <w:rPr/>
      </w:pPr>
      <w:bookmarkStart w:id="417" w:name="i4aaba87447f343b5a5562327aee1f08e"/>
      <w:bookmarkEnd w:id="417"/>
      <w:r>
        <w:rPr>
          <w:rFonts w:ascii="Times New Roman;serif" w:hAnsi="Times New Roman;serif"/>
          <w:b w:val="false"/>
          <w:color w:val="000000"/>
          <w:sz w:val="24"/>
        </w:rPr>
        <w:t>(5)    </w:t>
      </w:r>
      <w:r>
        <w:rPr>
          <w:rFonts w:ascii="Times New Roman;serif" w:hAnsi="Times New Roman;serif"/>
          <w:b w:val="false"/>
          <w:i/>
          <w:color w:val="000000"/>
          <w:sz w:val="24"/>
        </w:rPr>
        <w:t>Optional Redemption</w:t>
      </w:r>
      <w:r>
        <w:rPr>
          <w:rFonts w:ascii="Times New Roman;serif" w:hAnsi="Times New Roman;serif"/>
          <w:b w:val="false"/>
          <w:color w:val="000000"/>
          <w:sz w:val="24"/>
        </w:rPr>
        <w:t>. The Notes are redeemable at the Issuers’ election, in whole or in part at any time prior to their Stated Maturity.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redemption price for the Notes that are redeemed before September 15, 2029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redemption price for Notes that are redeemed on or after September 15, 2029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September 15 of each of the years indicated below:</w:t>
      </w:r>
    </w:p>
    <w:tbl>
      <w:tblPr>
        <w:tblW w:w="3225" w:type="dxa"/>
        <w:jc w:val="left"/>
        <w:tblInd w:w="0" w:type="dxa"/>
        <w:tblLayout w:type="fixed"/>
        <w:tblCellMar>
          <w:top w:w="28" w:type="dxa"/>
          <w:left w:w="28" w:type="dxa"/>
          <w:bottom w:w="28" w:type="dxa"/>
          <w:right w:w="28" w:type="dxa"/>
        </w:tblCellMar>
      </w:tblPr>
      <w:tblGrid>
        <w:gridCol w:w="703"/>
        <w:gridCol w:w="620"/>
        <w:gridCol w:w="626"/>
        <w:gridCol w:w="373"/>
        <w:gridCol w:w="373"/>
        <w:gridCol w:w="530"/>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Year</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2029</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103.438%</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2030</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101.719%</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2031 and thereafter</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100.000%</w:t>
            </w:r>
          </w:p>
        </w:tc>
      </w:tr>
      <w:tr>
        <w:trPr/>
        <w:tc>
          <w:tcPr>
            <w:tcW w:w="194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Prior to September 15, 2029, the Issuers may also, on any one or more occasions, redeem up to 35% of the original aggregate principal amount of the Notes (calculated after giving effect to any issuance of additional Notes issued under this Indenture) with </w:t>
      </w:r>
    </w:p>
    <w:p>
      <w:pPr>
        <w:pStyle w:val="TextBody"/>
        <w:bidi w:val="0"/>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the proceeds of one or more Equity Offerings at a redemption price equal to 106.875%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at least 65% of the original aggregate principal amount of the Notes (calculated after giving effect to any issuance of additional Notes issues under this Indenture) remains outstanding after each such redemption (unless all Notes are otherwise repurchased or redeemed substantially concurrently with the corresponding redemption); and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such redemption occurs within 180 days after the closing of such Equity Offering.</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418" w:name="ide7c20f6f57c4df78b548f28d603203b"/>
      <w:bookmarkEnd w:id="418"/>
      <w:r>
        <w:rPr>
          <w:rFonts w:ascii="Times New Roman;serif" w:hAnsi="Times New Roman;serif"/>
          <w:b w:val="false"/>
          <w:color w:val="000000"/>
          <w:sz w:val="24"/>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Issuers default in the payment of the redemption price, interest will cease to accrue on the Notes or portions thereof called for redemption on the applicable redemption date.</w:t>
      </w:r>
    </w:p>
    <w:p>
      <w:pPr>
        <w:pStyle w:val="TextBody"/>
        <w:bidi w:val="0"/>
        <w:spacing w:lineRule="auto" w:line="288" w:before="0" w:after="240"/>
        <w:ind w:left="0" w:right="0" w:firstLine="1440"/>
        <w:jc w:val="both"/>
        <w:rPr/>
      </w:pPr>
      <w:bookmarkStart w:id="419" w:name="i7458caa3c56c4d038fb289506dc9cf79"/>
      <w:bookmarkEnd w:id="419"/>
      <w:r>
        <w:rPr>
          <w:rFonts w:ascii="Times New Roman;serif" w:hAnsi="Times New Roman;serif"/>
          <w:b w:val="false"/>
          <w:color w:val="000000"/>
          <w:sz w:val="24"/>
        </w:rPr>
        <w:t>(6)    </w:t>
      </w:r>
      <w:r>
        <w:rPr>
          <w:rFonts w:ascii="Times New Roman;serif" w:hAnsi="Times New Roman;serif"/>
          <w:b w:val="false"/>
          <w:i/>
          <w:color w:val="000000"/>
          <w:sz w:val="24"/>
        </w:rPr>
        <w:t>Mandatory Redemption</w:t>
      </w:r>
      <w:r>
        <w:rPr>
          <w:rFonts w:ascii="Times New Roman;serif" w:hAnsi="Times New Roman;serif"/>
          <w:b w:val="false"/>
          <w:color w:val="000000"/>
          <w:sz w:val="24"/>
        </w:rPr>
        <w:t>. The Issuers shall not be required to make mandatory redemption or sinking fund payments with respect to the Notes.</w:t>
      </w:r>
    </w:p>
    <w:p>
      <w:pPr>
        <w:pStyle w:val="TextBody"/>
        <w:bidi w:val="0"/>
        <w:spacing w:lineRule="auto" w:line="288" w:before="0" w:after="240"/>
        <w:ind w:left="0" w:right="0" w:firstLine="1440"/>
        <w:jc w:val="both"/>
        <w:rPr/>
      </w:pPr>
      <w:bookmarkStart w:id="420" w:name="i09d538a513c14b34895097ffb09eca8d"/>
      <w:bookmarkEnd w:id="420"/>
      <w:r>
        <w:rPr>
          <w:rFonts w:ascii="Times New Roman;serif" w:hAnsi="Times New Roman;serif"/>
          <w:b w:val="false"/>
          <w:color w:val="000000"/>
          <w:sz w:val="24"/>
        </w:rPr>
        <w:t>(7)    </w:t>
      </w:r>
      <w:r>
        <w:rPr>
          <w:rFonts w:ascii="Times New Roman;serif" w:hAnsi="Times New Roman;serif"/>
          <w:b w:val="false"/>
          <w:i/>
          <w:color w:val="000000"/>
          <w:sz w:val="24"/>
        </w:rPr>
        <w:t>Mandatory Disposition or Redemption Pursuant to Gaming Laws</w:t>
      </w:r>
      <w:r>
        <w:rPr>
          <w:rFonts w:ascii="Times New Roman;serif" w:hAnsi="Times New Roman;serif"/>
          <w:b w:val="false"/>
          <w:color w:val="000000"/>
          <w:sz w:val="24"/>
        </w:rPr>
        <w:t xml:space="preserve">. Notwithstanding any other provision of the 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other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other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w:t>
      </w:r>
    </w:p>
    <w:p>
      <w:pPr>
        <w:pStyle w:val="TextBody"/>
        <w:bidi w:val="0"/>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suitability during such period, or (b) the receipt of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pStyle w:val="TextBody"/>
        <w:bidi w:val="0"/>
        <w:spacing w:lineRule="auto" w:line="288" w:before="0" w:after="240"/>
        <w:ind w:left="0" w:right="0" w:firstLine="1440"/>
        <w:jc w:val="both"/>
        <w:rPr/>
      </w:pPr>
      <w:bookmarkStart w:id="421" w:name="i067585db144a47f3b2153600022f9a07"/>
      <w:bookmarkEnd w:id="421"/>
      <w:r>
        <w:rPr>
          <w:rFonts w:ascii="Times New Roman;serif" w:hAnsi="Times New Roman;serif"/>
          <w:b w:val="false"/>
          <w:color w:val="000000"/>
          <w:sz w:val="24"/>
        </w:rPr>
        <w:t>(8)    </w:t>
      </w:r>
      <w:r>
        <w:rPr>
          <w:rFonts w:ascii="Times New Roman;serif" w:hAnsi="Times New Roman;serif"/>
          <w:b w:val="false"/>
          <w:i/>
          <w:color w:val="000000"/>
          <w:sz w:val="24"/>
        </w:rPr>
        <w:t>Repurchase at Option of Holder</w:t>
      </w:r>
      <w:r>
        <w:rPr>
          <w:rFonts w:ascii="Times New Roman;serif" w:hAnsi="Times New Roman;serif"/>
          <w:b w:val="false"/>
          <w:color w:val="000000"/>
          <w:sz w:val="24"/>
        </w:rPr>
        <w:t>. If a Change of Control Triggering Event occurs, the Issuers shall make an offer (a “</w:t>
      </w:r>
      <w:r>
        <w:rPr>
          <w:rFonts w:ascii="Times New Roman;serif" w:hAnsi="Times New Roman;serif"/>
          <w:b w:val="false"/>
          <w:i/>
          <w:color w:val="000000"/>
          <w:sz w:val="24"/>
          <w:u w:val="single"/>
        </w:rPr>
        <w:t>Change of Control Offer</w:t>
      </w:r>
      <w:r>
        <w:rPr>
          <w:color w:val="000000"/>
        </w:rPr>
        <w:t>”</w:t>
      </w:r>
      <w:r>
        <w:rPr>
          <w:rFonts w:ascii="Times New Roman;serif" w:hAnsi="Times New Roman;serif"/>
          <w:b w:val="false"/>
          <w:color w:val="000000"/>
          <w:sz w:val="24"/>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Times New Roman;serif" w:hAnsi="Times New Roman;serif"/>
          <w:b w:val="false"/>
          <w:i/>
          <w:color w:val="000000"/>
          <w:sz w:val="24"/>
          <w:u w:val="single"/>
        </w:rPr>
        <w:t>Change of Control Payment</w:t>
      </w:r>
      <w:r>
        <w:rPr>
          <w:color w:val="000000"/>
        </w:rPr>
        <w:t>”</w:t>
      </w:r>
      <w:r>
        <w:rPr>
          <w:rFonts w:ascii="Times New Roman;serif" w:hAnsi="Times New Roman;serif"/>
          <w:b w:val="false"/>
          <w:color w:val="000000"/>
          <w:sz w:val="24"/>
        </w:rPr>
        <w:t>). Within 10 days following any Change of Control Triggering Event, the Issuers shall mail a notice to each Holder setting forth the procedures governing the Change of Control Offer as required by the Indenture.</w:t>
      </w:r>
    </w:p>
    <w:p>
      <w:pPr>
        <w:pStyle w:val="TextBody"/>
        <w:bidi w:val="0"/>
        <w:spacing w:lineRule="auto" w:line="288" w:before="0" w:after="240"/>
        <w:ind w:left="0" w:right="0" w:firstLine="1440"/>
        <w:jc w:val="both"/>
        <w:rPr/>
      </w:pPr>
      <w:bookmarkStart w:id="422" w:name="i7d682cce53df430ca4cc14871c101a29"/>
      <w:bookmarkEnd w:id="422"/>
      <w:r>
        <w:rPr>
          <w:rFonts w:ascii="Times New Roman;serif" w:hAnsi="Times New Roman;serif"/>
          <w:b w:val="false"/>
          <w:color w:val="000000"/>
          <w:sz w:val="24"/>
        </w:rPr>
        <w:t>(9)    </w:t>
      </w:r>
      <w:r>
        <w:rPr>
          <w:rFonts w:ascii="Times New Roman;serif" w:hAnsi="Times New Roman;serif"/>
          <w:b w:val="false"/>
          <w:i/>
          <w:color w:val="000000"/>
          <w:sz w:val="24"/>
        </w:rPr>
        <w:t>Notice of Redemption</w:t>
      </w:r>
      <w:r>
        <w:rPr>
          <w:rFonts w:ascii="Times New Roman;serif" w:hAnsi="Times New Roman;serif"/>
          <w:b w:val="false"/>
          <w:color w:val="000000"/>
          <w:sz w:val="24"/>
        </w:rPr>
        <w:t xml:space="preserve">. Notice of redemption shall be delivered at least 15 days but not more than 60 days 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 </w:t>
      </w:r>
    </w:p>
    <w:p>
      <w:pPr>
        <w:pStyle w:val="TextBody"/>
        <w:bidi w:val="0"/>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p>
                  </w:txbxContent>
                </v:textbox>
                <w10:wrap type="none"/>
              </v:rect>
            </w:pict>
          </mc:Fallback>
        </mc:AlternateContent>
      </w:r>
    </w:p>
    <w:p>
      <w:pPr>
        <w:pStyle w:val="TextBody"/>
        <w:bidi w:val="0"/>
        <w:spacing w:lineRule="auto" w:line="288" w:before="0" w:after="240"/>
        <w:ind w:left="0" w:right="0" w:firstLine="1440"/>
        <w:jc w:val="both"/>
        <w:rPr/>
      </w:pPr>
      <w:bookmarkStart w:id="423" w:name="i7814eaac262d4bec92dd4dca886de1ab"/>
      <w:bookmarkEnd w:id="423"/>
      <w:r>
        <w:rPr>
          <w:rFonts w:ascii="Times New Roman;serif" w:hAnsi="Times New Roman;serif"/>
          <w:b w:val="false"/>
          <w:color w:val="000000"/>
          <w:sz w:val="24"/>
        </w:rPr>
        <w:t>(10)    </w:t>
      </w:r>
      <w:r>
        <w:rPr>
          <w:rFonts w:ascii="Times New Roman;serif" w:hAnsi="Times New Roman;serif"/>
          <w:b w:val="false"/>
          <w:i/>
          <w:color w:val="000000"/>
          <w:sz w:val="24"/>
        </w:rPr>
        <w:t>Denominations, Transfer, Exchange</w:t>
      </w:r>
      <w:r>
        <w:rPr>
          <w:rFonts w:ascii="Times New Roman;serif" w:hAnsi="Times New Roman;serif"/>
          <w:b w:val="false"/>
          <w:color w:val="000000"/>
          <w:sz w:val="24"/>
        </w:rPr>
        <w:t>. The Notes are in registered form without coupons in denominations of $2,000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24" w:name="i5ad4ac9280cc457f9237e2ac7364150b"/>
      <w:bookmarkEnd w:id="424"/>
      <w:r>
        <w:rPr>
          <w:rFonts w:ascii="Times New Roman;serif" w:hAnsi="Times New Roman;serif"/>
          <w:b w:val="false"/>
          <w:color w:val="000000"/>
          <w:sz w:val="24"/>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pStyle w:val="TextBody"/>
        <w:bidi w:val="0"/>
        <w:spacing w:lineRule="auto" w:line="288" w:before="0" w:after="240"/>
        <w:ind w:left="0" w:right="0" w:firstLine="1440"/>
        <w:jc w:val="both"/>
        <w:rPr/>
      </w:pPr>
      <w:bookmarkStart w:id="425" w:name="i2024d61c294545ffa3da2398202108d5"/>
      <w:bookmarkEnd w:id="425"/>
      <w:r>
        <w:rPr>
          <w:rFonts w:ascii="Times New Roman;serif" w:hAnsi="Times New Roman;serif"/>
          <w:b w:val="false"/>
          <w:color w:val="000000"/>
          <w:sz w:val="24"/>
        </w:rPr>
        <w:t>(11)    </w:t>
      </w:r>
      <w:r>
        <w:rPr>
          <w:rFonts w:ascii="Times New Roman;serif" w:hAnsi="Times New Roman;serif"/>
          <w:b w:val="false"/>
          <w:i/>
          <w:color w:val="000000"/>
          <w:sz w:val="24"/>
        </w:rPr>
        <w:t>Persons Deemed Owners</w:t>
      </w:r>
      <w:r>
        <w:rPr>
          <w:rFonts w:ascii="Times New Roman;serif" w:hAnsi="Times New Roman;serif"/>
          <w:b w:val="false"/>
          <w:color w:val="000000"/>
          <w:sz w:val="24"/>
        </w:rPr>
        <w:t>. The registered Holder of a Note may be treated as its owner for all purposes.</w:t>
      </w:r>
    </w:p>
    <w:p>
      <w:pPr>
        <w:pStyle w:val="TextBody"/>
        <w:bidi w:val="0"/>
        <w:spacing w:lineRule="auto" w:line="288" w:before="0" w:after="240"/>
        <w:ind w:left="0" w:right="0" w:firstLine="1440"/>
        <w:jc w:val="both"/>
        <w:rPr/>
      </w:pPr>
      <w:bookmarkStart w:id="426" w:name="iaae27035c70241f58b4b27c0f60ea87c"/>
      <w:bookmarkEnd w:id="426"/>
      <w:r>
        <w:rPr>
          <w:rFonts w:ascii="Times New Roman;serif" w:hAnsi="Times New Roman;serif"/>
          <w:b w:val="false"/>
          <w:color w:val="000000"/>
          <w:sz w:val="24"/>
        </w:rPr>
        <w:t>(12)    </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427" w:name="id6d5229464164d8e8dfb40ba8b0ed43d"/>
      <w:bookmarkEnd w:id="427"/>
      <w:r>
        <w:rPr>
          <w:rFonts w:ascii="Times New Roman;serif" w:hAnsi="Times New Roman;serif"/>
          <w:b w:val="false"/>
          <w:color w:val="000000"/>
          <w:sz w:val="24"/>
        </w:rPr>
        <w:t xml:space="preserve">(a)    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 </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428" w:name="i8355bea4aff84833b912470bc6e33c26"/>
      <w:bookmarkEnd w:id="428"/>
      <w:r>
        <w:rPr>
          <w:rFonts w:ascii="Times New Roman;serif" w:hAnsi="Times New Roman;serif"/>
          <w:b w:val="false"/>
          <w:color w:val="000000"/>
          <w:sz w:val="24"/>
        </w:rPr>
        <w:t xml:space="preserve">(b)    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w:t>
      </w:r>
    </w:p>
    <w:p>
      <w:pPr>
        <w:pStyle w:val="TextBody"/>
        <w:bidi w:val="0"/>
        <w:spacing w:before="0" w:after="0"/>
        <w:jc w:val="center"/>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Guarantor from any of its obligations under its Note Guarantee or the Indenture (except in accordance with the terms of the Indenture) or (ix) make any change in the preceding amendment and waiver provisions.</w:t>
      </w:r>
    </w:p>
    <w:p>
      <w:pPr>
        <w:pStyle w:val="TextBody"/>
        <w:bidi w:val="0"/>
        <w:spacing w:lineRule="auto" w:line="288" w:before="0" w:after="240"/>
        <w:ind w:left="0" w:right="0" w:firstLine="2160"/>
        <w:jc w:val="both"/>
        <w:rPr>
          <w:rFonts w:ascii="Times New Roman;serif" w:hAnsi="Times New Roman;serif"/>
          <w:b w:val="false"/>
          <w:color w:val="000000"/>
          <w:sz w:val="24"/>
        </w:rPr>
      </w:pPr>
      <w:bookmarkStart w:id="429" w:name="i7abeb5b1dff54187bca9f8ba9ff389db"/>
      <w:bookmarkEnd w:id="429"/>
      <w:r>
        <w:rPr>
          <w:rFonts w:ascii="Times New Roman;serif" w:hAnsi="Times New Roman;serif"/>
          <w:b w:val="false"/>
          <w:color w:val="000000"/>
          <w:sz w:val="24"/>
        </w:rPr>
        <w:t>(c)    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September 10, 2026,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pStyle w:val="TextBody"/>
        <w:bidi w:val="0"/>
        <w:spacing w:lineRule="auto" w:line="288" w:before="0" w:after="240"/>
        <w:ind w:left="0" w:right="0" w:firstLine="1440"/>
        <w:jc w:val="both"/>
        <w:rPr/>
      </w:pPr>
      <w:bookmarkStart w:id="430" w:name="i008379a8a3c240b8ae118d15e9a34173"/>
      <w:bookmarkEnd w:id="430"/>
      <w:r>
        <w:rPr>
          <w:rFonts w:ascii="Times New Roman;serif" w:hAnsi="Times New Roman;serif"/>
          <w:b w:val="false"/>
          <w:color w:val="000000"/>
          <w:sz w:val="24"/>
        </w:rPr>
        <w:t>(13)    </w:t>
      </w:r>
      <w:r>
        <w:rPr>
          <w:rFonts w:ascii="Times New Roman;serif" w:hAnsi="Times New Roman;serif"/>
          <w:b w:val="false"/>
          <w:i/>
          <w:color w:val="000000"/>
          <w:sz w:val="24"/>
        </w:rPr>
        <w:t>Defaults and Remedies</w:t>
      </w:r>
      <w:r>
        <w:rPr>
          <w:rFonts w:ascii="Times New Roman;serif" w:hAnsi="Times New Roman;serif"/>
          <w:b w:val="false"/>
          <w:color w:val="000000"/>
          <w:sz w:val="24"/>
        </w:rPr>
        <w:t xml:space="preserve">. Events of Default include: (i) default for 30 days in the payment when due of interest, 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t>
      </w:r>
    </w:p>
    <w:p>
      <w:pPr>
        <w:pStyle w:val="TextBody"/>
        <w:bidi w:val="0"/>
        <w:spacing w:before="0" w:after="0"/>
        <w:jc w:val="center"/>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if a Default for a failure to report or failure to deliver a required certificate in connection with another default (the “</w:t>
      </w:r>
      <w:r>
        <w:rPr>
          <w:rFonts w:ascii="Times New Roman;serif" w:hAnsi="Times New Roman;serif"/>
          <w:b w:val="false"/>
          <w:i/>
          <w:color w:val="000000"/>
          <w:sz w:val="24"/>
        </w:rPr>
        <w:t>Initial Default</w:t>
      </w:r>
      <w:r>
        <w:rPr>
          <w:color w:val="000000"/>
        </w:rPr>
        <w:t>”</w:t>
      </w:r>
      <w:r>
        <w:rPr>
          <w:rFonts w:ascii="Times New Roman;serif" w:hAnsi="Times New Roman;serif"/>
          <w:b w:val="false"/>
          <w:color w:val="000000"/>
          <w:sz w:val="24"/>
        </w:rPr>
        <w:t xml:space="preserve">)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an Officers’ Certificate regarding compliance with the Indenture. Upon becoming aware of any Default or Event of Default, the Issuers are required to deliver to the Trustee an Officers’ Certificate specifying such Default or Event of Default. </w:t>
      </w:r>
    </w:p>
    <w:p>
      <w:pPr>
        <w:pStyle w:val="TextBody"/>
        <w:bidi w:val="0"/>
        <w:spacing w:lineRule="auto" w:line="288" w:before="0" w:after="240"/>
        <w:ind w:left="0" w:right="0" w:firstLine="1440"/>
        <w:jc w:val="both"/>
        <w:rPr/>
      </w:pPr>
      <w:bookmarkStart w:id="431" w:name="i88a36d07dbd34552b8eaaea069ccb530"/>
      <w:bookmarkEnd w:id="431"/>
      <w:r>
        <w:rPr>
          <w:rFonts w:ascii="Times New Roman;serif" w:hAnsi="Times New Roman;serif"/>
          <w:b w:val="false"/>
          <w:color w:val="000000"/>
          <w:sz w:val="24"/>
        </w:rPr>
        <w:t>(14)    </w:t>
      </w:r>
      <w:r>
        <w:rPr>
          <w:color w:val="000000"/>
        </w:rPr>
        <w:t xml:space="preserve"> </w:t>
      </w:r>
      <w:r>
        <w:rPr>
          <w:rFonts w:ascii="Times New Roman;serif" w:hAnsi="Times New Roman;serif"/>
          <w:b w:val="false"/>
          <w:i/>
          <w:color w:val="000000"/>
          <w:sz w:val="24"/>
        </w:rPr>
        <w:t>[Reserved]</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32" w:name="ied878266735d4099a161d7f0bbfa792a"/>
      <w:bookmarkEnd w:id="432"/>
      <w:r>
        <w:rPr>
          <w:rFonts w:ascii="Times New Roman;serif" w:hAnsi="Times New Roman;serif"/>
          <w:b w:val="false"/>
          <w:color w:val="000000"/>
          <w:sz w:val="24"/>
        </w:rPr>
        <w:t>(15)    </w:t>
      </w:r>
      <w:r>
        <w:rPr>
          <w:rFonts w:ascii="Times New Roman;serif" w:hAnsi="Times New Roman;serif"/>
          <w:b w:val="false"/>
          <w:i/>
          <w:color w:val="000000"/>
          <w:sz w:val="24"/>
        </w:rPr>
        <w:t>Trustee Dealings with Issuers</w:t>
      </w:r>
      <w:r>
        <w:rPr>
          <w:rFonts w:ascii="Times New Roman;serif" w:hAnsi="Times New Roman;serif"/>
          <w:b w:val="false"/>
          <w:color w:val="000000"/>
          <w:sz w:val="24"/>
        </w:rPr>
        <w:t xml:space="preserve">. 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w:t>
      </w:r>
    </w:p>
    <w:p>
      <w:pPr>
        <w:pStyle w:val="TextBody"/>
        <w:bidi w:val="0"/>
        <w:spacing w:before="0" w:after="0"/>
        <w:jc w:val="center"/>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A-2-10</w:t>
                      </w:r>
                    </w:p>
                  </w:txbxContent>
                </v:textbox>
                <w10:wrap type="none"/>
              </v:rect>
            </w:pict>
          </mc:Fallback>
        </mc:AlternateContent>
      </w:r>
    </w:p>
    <w:p>
      <w:pPr>
        <w:pStyle w:val="TextBody"/>
        <w:bidi w:val="0"/>
        <w:spacing w:lineRule="auto" w:line="288" w:before="0" w:after="240"/>
        <w:ind w:left="0" w:right="0" w:firstLine="1440"/>
        <w:jc w:val="both"/>
        <w:rPr/>
      </w:pPr>
      <w:bookmarkStart w:id="433" w:name="i3d54be609b3f48849a05c9171b6fe757"/>
      <w:bookmarkEnd w:id="433"/>
      <w:r>
        <w:rPr>
          <w:rFonts w:ascii="Times New Roman;serif" w:hAnsi="Times New Roman;serif"/>
          <w:b w:val="false"/>
          <w:color w:val="000000"/>
          <w:sz w:val="24"/>
        </w:rPr>
        <w:t>(16)    </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past, present or future director, officer, employee, incorporator, organizer, equity holder or member of either Issuer or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88" w:before="0" w:after="240"/>
        <w:ind w:left="0" w:right="0" w:firstLine="1440"/>
        <w:jc w:val="both"/>
        <w:rPr/>
      </w:pPr>
      <w:bookmarkStart w:id="434" w:name="i979dcdcd7c9c4a928f41848cfd456af3"/>
      <w:bookmarkEnd w:id="434"/>
      <w:r>
        <w:rPr>
          <w:rFonts w:ascii="Times New Roman;serif" w:hAnsi="Times New Roman;serif"/>
          <w:b w:val="false"/>
          <w:color w:val="000000"/>
          <w:sz w:val="24"/>
        </w:rPr>
        <w:t>(17)    </w:t>
      </w:r>
      <w:r>
        <w:rPr>
          <w:rFonts w:ascii="Times New Roman;serif" w:hAnsi="Times New Roman;serif"/>
          <w:b w:val="false"/>
          <w:i/>
          <w:color w:val="000000"/>
          <w:sz w:val="24"/>
        </w:rPr>
        <w:t>Authentication</w:t>
      </w:r>
      <w:r>
        <w:rPr>
          <w:rFonts w:ascii="Times New Roman;serif" w:hAnsi="Times New Roman;serif"/>
          <w:b w:val="false"/>
          <w:color w:val="000000"/>
          <w:sz w:val="24"/>
        </w:rPr>
        <w:t>. This Note shall not be valid until authenticated by the manual signature of the Trustee or an authenticating agent.</w:t>
      </w:r>
    </w:p>
    <w:p>
      <w:pPr>
        <w:pStyle w:val="TextBody"/>
        <w:bidi w:val="0"/>
        <w:spacing w:lineRule="auto" w:line="288" w:before="0" w:after="240"/>
        <w:ind w:left="0" w:right="0" w:firstLine="1440"/>
        <w:jc w:val="both"/>
        <w:rPr/>
      </w:pPr>
      <w:bookmarkStart w:id="435" w:name="i4536716d8a26420280051d43815f21e0"/>
      <w:bookmarkEnd w:id="435"/>
      <w:r>
        <w:rPr>
          <w:rFonts w:ascii="Times New Roman;serif" w:hAnsi="Times New Roman;serif"/>
          <w:b w:val="false"/>
          <w:color w:val="000000"/>
          <w:sz w:val="24"/>
        </w:rPr>
        <w:t>(18)    </w:t>
      </w:r>
      <w:r>
        <w:rPr>
          <w:rFonts w:ascii="Times New Roman;serif" w:hAnsi="Times New Roman;serif"/>
          <w:b w:val="false"/>
          <w:i/>
          <w:color w:val="000000"/>
          <w:sz w:val="24"/>
        </w:rPr>
        <w:t>Abbreviations</w:t>
      </w:r>
      <w:r>
        <w:rPr>
          <w:rFonts w:ascii="Times New Roman;serif" w:hAnsi="Times New Roman;serif"/>
          <w:b w:val="false"/>
          <w:color w:val="000000"/>
          <w:sz w:val="24"/>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lineRule="auto" w:line="288" w:before="0" w:after="240"/>
        <w:ind w:left="0" w:right="0" w:firstLine="1440"/>
        <w:jc w:val="both"/>
        <w:rPr/>
      </w:pPr>
      <w:bookmarkStart w:id="436" w:name="i6fdc7e4841d442559becd0226e720ddb"/>
      <w:bookmarkEnd w:id="436"/>
      <w:r>
        <w:rPr>
          <w:rFonts w:ascii="Times New Roman;serif" w:hAnsi="Times New Roman;serif"/>
          <w:b w:val="false"/>
          <w:color w:val="000000"/>
          <w:sz w:val="24"/>
        </w:rPr>
        <w:t>(19)    </w:t>
      </w:r>
      <w:r>
        <w:rPr>
          <w:rFonts w:ascii="Times New Roman;serif" w:hAnsi="Times New Roman;serif"/>
          <w:b w:val="false"/>
          <w:i/>
          <w:color w:val="000000"/>
          <w:sz w:val="24"/>
        </w:rPr>
        <w:t>Governing Law</w:t>
      </w:r>
      <w:r>
        <w:rPr>
          <w:rFonts w:ascii="Times New Roman;serif" w:hAnsi="Times New Roman;serif"/>
          <w:b w:val="false"/>
          <w:color w:val="000000"/>
          <w:sz w:val="24"/>
        </w:rPr>
        <w:t>. THE INDENTURE, THIS NOTE AND THE NOTE GUARANTEES SHALL BE GOVERNED BY AND CONSTRUED IN ACCORDANCE WITH THE LAWS OF THE STATE OF NEW YORK, INCLUDING, WITHOUT LIMITATION, SECTION 4-1401 OF THE NEW YORK OBLIGATIONS LAW.</w:t>
      </w:r>
    </w:p>
    <w:p>
      <w:pPr>
        <w:pStyle w:val="TextBody"/>
        <w:bidi w:val="0"/>
        <w:spacing w:lineRule="auto" w:line="288" w:before="0" w:after="240"/>
        <w:ind w:left="0" w:right="0" w:firstLine="1440"/>
        <w:jc w:val="both"/>
        <w:rPr/>
      </w:pPr>
      <w:bookmarkStart w:id="437" w:name="i5e4b0d60073e4f47b4ea9371f1330647"/>
      <w:bookmarkEnd w:id="437"/>
      <w:r>
        <w:rPr>
          <w:rFonts w:ascii="Times New Roman;serif" w:hAnsi="Times New Roman;serif"/>
          <w:b w:val="false"/>
          <w:color w:val="000000"/>
          <w:sz w:val="24"/>
        </w:rPr>
        <w:t>(20)    </w:t>
      </w:r>
      <w:r>
        <w:rPr>
          <w:rFonts w:ascii="Times New Roman;serif" w:hAnsi="Times New Roman;serif"/>
          <w:b w:val="false"/>
          <w:i/>
          <w:color w:val="000000"/>
          <w:sz w:val="24"/>
        </w:rPr>
        <w:t>CUSIP Numbers</w:t>
      </w:r>
      <w:r>
        <w:rPr>
          <w:rFonts w:ascii="Times New Roman;serif" w:hAnsi="Times New Roman;serif"/>
          <w:b w:val="false"/>
          <w:color w:val="000000"/>
          <w:sz w:val="24"/>
        </w:rPr>
        <w:t>.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Issuers shall furnish to any Holder upon written request and without charge a copy of the Indenture. Requests may be made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 Wynn Resorts Finance, LLC</w:t>
        <w:br/>
        <w:t>3131 Las Vegas Boulevard South</w:t>
        <w:br/>
        <w:t>Las Vegas, NV 89109</w:t>
        <w:br/>
        <w:t>Fax No.: (702) 770-1518</w:t>
        <w:br/>
        <w:t>Attention: General Counsel</w:t>
      </w:r>
    </w:p>
    <w:p>
      <w:pPr>
        <w:pStyle w:val="TextBody"/>
        <w:bidi w:val="0"/>
        <w:spacing w:before="0" w:after="24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A-2-11</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or (we) assign and transfer this Note to:     </w:t>
      </w:r>
    </w:p>
    <w:p>
      <w:pPr>
        <w:pStyle w:val="TextBody"/>
        <w:bidi w:val="0"/>
        <w:spacing w:lineRule="auto" w:line="288" w:before="0" w:after="480"/>
        <w:jc w:val="both"/>
        <w:rPr>
          <w:color w:val="000000"/>
        </w:rPr>
      </w:pPr>
      <w:r>
        <w:rPr>
          <w:color w:val="000000"/>
        </w:rPr>
        <w:t>    </w:t>
      </w:r>
      <w:r>
        <w:rPr>
          <w:rFonts w:ascii="Times New Roman;serif" w:hAnsi="Times New Roman;serif"/>
          <w:b w:val="false"/>
          <w:color w:val="000000"/>
          <w:sz w:val="16"/>
        </w:rPr>
        <w:t>(Insert assignee’s legal name)</w:t>
      </w:r>
    </w:p>
    <w:p>
      <w:pPr>
        <w:pStyle w:val="TextBody"/>
        <w:bidi w:val="0"/>
        <w:spacing w:lineRule="auto" w:line="288" w:before="0" w:after="1440"/>
        <w:jc w:val="center"/>
        <w:rPr>
          <w:rFonts w:ascii="Times New Roman;serif" w:hAnsi="Times New Roman;serif"/>
          <w:b w:val="false"/>
          <w:color w:val="000000"/>
          <w:sz w:val="16"/>
        </w:rPr>
      </w:pPr>
      <w:r>
        <w:rPr>
          <w:rFonts w:ascii="Times New Roman;serif" w:hAnsi="Times New Roman;serif"/>
          <w:b w:val="false"/>
          <w:color w:val="000000"/>
          <w:sz w:val="16"/>
        </w:rPr>
        <w:t>(Insert assignee’s soc. sec. or tax I.D. no.)</w:t>
      </w:r>
    </w:p>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(Print or type assignee’s name, address and zip code)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and irrevocably appoint </w:t>
        <w:br/>
        <w:t>to transfer this Note on the books of the Issuers. The agent may substitute another to act for him.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Signature:     </w:t>
      </w:r>
    </w:p>
    <w:p>
      <w:pPr>
        <w:pStyle w:val="TextBody"/>
        <w:bidi w:val="0"/>
        <w:spacing w:lineRule="auto" w:line="288" w:before="0" w:after="240"/>
        <w:jc w:val="right"/>
        <w:rPr>
          <w:rFonts w:ascii="Times New Roman;serif" w:hAnsi="Times New Roman;serif"/>
          <w:b w:val="false"/>
          <w:color w:val="000000"/>
          <w:sz w:val="16"/>
        </w:rPr>
      </w:pPr>
      <w:r>
        <w:rPr>
          <w:rFonts w:ascii="Times New Roman;serif" w:hAnsi="Times New Roman;serif"/>
          <w:b w:val="false"/>
          <w:color w:val="000000"/>
          <w:sz w:val="16"/>
        </w:rPr>
        <w:t>(Sign exactly as your name appears on the face of this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 Guarantee*: 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24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purchased by the Issuers pursuant to Section 4.11 of the Indenture, check the appropriate box below: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Section 4.11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the Note purchased by the Issuers pursuant to Section 4.11 of the Indenture, state the amount you elect to have purchased: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Signature:</w:t>
      </w:r>
    </w:p>
    <w:p>
      <w:pPr>
        <w:pStyle w:val="TextBody"/>
        <w:bidi w:val="0"/>
        <w:spacing w:lineRule="auto" w:line="288" w:before="0" w:after="240"/>
        <w:jc w:val="right"/>
        <w:rPr>
          <w:rFonts w:ascii="Times New Roman;serif" w:hAnsi="Times New Roman;serif"/>
          <w:b w:val="false"/>
          <w:color w:val="000000"/>
          <w:sz w:val="16"/>
        </w:rPr>
      </w:pPr>
      <w:r>
        <w:rPr>
          <w:rFonts w:ascii="Times New Roman;serif" w:hAnsi="Times New Roman;serif"/>
          <w:b w:val="false"/>
          <w:color w:val="000000"/>
          <w:sz w:val="16"/>
        </w:rPr>
        <w:t>(Sign exactly as your name appears on the face of this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Tax Identification No.: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 Guarantee*: 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24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INTERESTS IN THE GLOBAL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exchanges of a part of this Global Note for an interest in another Global Note or for a Definitive Note, or exchanges of a part of another Global Note or Definitive Note for an interest in this Global Note, have been made:</w:t>
      </w:r>
    </w:p>
    <w:tbl>
      <w:tblPr>
        <w:tblW w:w="8140" w:type="dxa"/>
        <w:jc w:val="left"/>
        <w:tblInd w:w="0" w:type="dxa"/>
        <w:tblLayout w:type="fixed"/>
        <w:tblCellMar>
          <w:top w:w="28" w:type="dxa"/>
          <w:left w:w="28" w:type="dxa"/>
          <w:bottom w:w="28" w:type="dxa"/>
          <w:right w:w="28" w:type="dxa"/>
        </w:tblCellMar>
      </w:tblPr>
      <w:tblGrid>
        <w:gridCol w:w="510"/>
        <w:gridCol w:w="449"/>
        <w:gridCol w:w="450"/>
        <w:gridCol w:w="539"/>
        <w:gridCol w:w="539"/>
        <w:gridCol w:w="541"/>
        <w:gridCol w:w="579"/>
        <w:gridCol w:w="579"/>
        <w:gridCol w:w="581"/>
        <w:gridCol w:w="559"/>
        <w:gridCol w:w="559"/>
        <w:gridCol w:w="561"/>
        <w:gridCol w:w="495"/>
        <w:gridCol w:w="495"/>
        <w:gridCol w:w="70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Exchange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decrease </w:t>
              <w:br/>
              <w:t xml:space="preserve">in Principal Amount </w:t>
              <w:br/>
              <w:t>of this Global Note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increase in </w:t>
              <w:br/>
              <w:t xml:space="preserve">Principal Amount </w:t>
              <w:br/>
              <w:t>of this Global Note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Principal Amount </w:t>
              <w:br/>
              <w:t xml:space="preserve">of this Global Note </w:t>
              <w:br/>
              <w:t xml:space="preserve">following such </w:t>
              <w:br/>
              <w:t>decrease (or increase)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Signature of </w:t>
              <w:br/>
              <w:t xml:space="preserve">authorized officer of </w:t>
              <w:br/>
              <w:t>Trustee or Custodian</w:t>
            </w:r>
          </w:p>
        </w:tc>
      </w:tr>
    </w:tbl>
    <w:p>
      <w:pPr>
        <w:pStyle w:val="TextBody"/>
        <w:bidi w:val="0"/>
        <w:spacing w:before="0" w:after="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A-2-14</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    </w:t>
      </w:r>
      <w:r>
        <w:rPr>
          <w:rFonts w:ascii="Times New Roman;serif" w:hAnsi="Times New Roman;serif"/>
          <w:b w:val="false"/>
          <w:i/>
          <w:color w:val="000000"/>
          <w:sz w:val="24"/>
        </w:rPr>
        <w:t>This schedule should be included only if the Note is issued in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B</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A-2-15</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CERTIFICATE OF TRANSFER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Wynn Resorts Finance, LLC</w:t>
        <w:br/>
        <w:t>Wynn Resorts Capital Corp.</w:t>
        <w:br/>
        <w:t>3131 Las Vegas Boulevard South</w:t>
        <w:br/>
        <w:t>Las Vegas, Nevada 89109</w:t>
        <w:br/>
        <w:t>Fax No.: (702) 770-1100</w:t>
        <w:br/>
        <w:t>Attention: President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EP-MN-WS3C</w:t>
        <w:br/>
        <w:t>60 Livingston Avenue</w:t>
        <w:br/>
        <w:t>St. Paul, Minnesota 55107</w:t>
        <w:br/>
        <w:t>Fax: (651) 495-8097</w:t>
        <w:br/>
        <w:t>Attention: Corporate Trust Department – Wynn Administrator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 6.875% Senior Notes due 2035</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September 22, 2026 (the “</w:t>
      </w:r>
      <w:r>
        <w:rPr>
          <w:rFonts w:ascii="Times New Roman;serif" w:hAnsi="Times New Roman;serif"/>
          <w:b w:val="false"/>
          <w:i/>
          <w:color w:val="000000"/>
          <w:sz w:val="24"/>
          <w:u w:val="single"/>
        </w:rPr>
        <w:t>Indenture</w:t>
      </w:r>
      <w:r>
        <w:rPr>
          <w:color w:val="000000"/>
        </w:rPr>
        <w:t>”</w:t>
      </w:r>
      <w:r>
        <w:rPr>
          <w:rFonts w:ascii="Times New Roman;serif" w:hAnsi="Times New Roman;serif"/>
          <w:b w:val="false"/>
          <w:color w:val="000000"/>
          <w:sz w:val="24"/>
        </w:rPr>
        <w:t>), among Wynn Resorts Finance, LLC, a Nevada limited liability company (“</w:t>
      </w:r>
      <w:r>
        <w:rPr>
          <w:rFonts w:ascii="Times New Roman;serif" w:hAnsi="Times New Roman;serif"/>
          <w:b w:val="false"/>
          <w:i/>
          <w:color w:val="000000"/>
          <w:sz w:val="24"/>
          <w:u w:val="single"/>
        </w:rPr>
        <w:t>Wynn Resorts Finance</w:t>
      </w:r>
      <w:r>
        <w:rPr>
          <w:color w:val="000000"/>
        </w:rPr>
        <w:t>”</w:t>
      </w:r>
      <w:r>
        <w:rPr>
          <w:rFonts w:ascii="Times New Roman;serif" w:hAnsi="Times New Roman;serif"/>
          <w:b w:val="false"/>
          <w:color w:val="000000"/>
          <w:sz w:val="24"/>
        </w:rPr>
        <w:t>), Wynn Resorts Capital Corp., a Nevada corporation (“</w:t>
      </w:r>
      <w:r>
        <w:rPr>
          <w:rFonts w:ascii="Times New Roman;serif" w:hAnsi="Times New Roman;serif"/>
          <w:b w:val="false"/>
          <w:i/>
          <w:color w:val="000000"/>
          <w:sz w:val="24"/>
          <w:u w:val="single"/>
        </w:rPr>
        <w:t>Wynn Resorts Capital</w:t>
      </w:r>
      <w:r>
        <w:rPr>
          <w:color w:val="000000"/>
        </w:rPr>
        <w:t xml:space="preserve">” </w:t>
      </w:r>
      <w:r>
        <w:rPr>
          <w:rFonts w:ascii="Times New Roman;serif" w:hAnsi="Times New Roman;serif"/>
          <w:b w:val="false"/>
          <w:color w:val="000000"/>
          <w:sz w:val="24"/>
        </w:rPr>
        <w:t>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the Guarantors party thereto and U.S. Bank Trust Company, National Association, as trustee (the “</w:t>
      </w:r>
      <w:r>
        <w:rPr>
          <w:rFonts w:ascii="Times New Roman;serif" w:hAnsi="Times New Roman;serif"/>
          <w:b w:val="false"/>
          <w:i/>
          <w:color w:val="000000"/>
          <w:sz w:val="24"/>
          <w:u w:val="single"/>
        </w:rPr>
        <w:t>Trustee</w:t>
      </w:r>
      <w:r>
        <w:rPr>
          <w:color w:val="000000"/>
        </w:rPr>
        <w:t>”</w:t>
      </w:r>
      <w:r>
        <w:rPr>
          <w:rFonts w:ascii="Times New Roman;serif" w:hAnsi="Times New Roman;serif"/>
          <w:b w:val="false"/>
          <w:color w:val="000000"/>
          <w:sz w:val="24"/>
        </w:rPr>
        <w:t>). Capitalized 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___________________, (the “</w:t>
      </w:r>
      <w:r>
        <w:rPr>
          <w:rFonts w:ascii="Times New Roman;serif" w:hAnsi="Times New Roman;serif"/>
          <w:b w:val="false"/>
          <w:i/>
          <w:color w:val="000000"/>
          <w:sz w:val="24"/>
          <w:u w:val="single"/>
        </w:rPr>
        <w:t>Transferor</w:t>
      </w:r>
      <w:r>
        <w:rPr>
          <w:color w:val="000000"/>
        </w:rPr>
        <w:t>”</w:t>
      </w:r>
      <w:r>
        <w:rPr>
          <w:rFonts w:ascii="Times New Roman;serif" w:hAnsi="Times New Roman;serif"/>
          <w:b w:val="false"/>
          <w:color w:val="000000"/>
          <w:sz w:val="24"/>
        </w:rPr>
        <w:t xml:space="preserve">) owns and proposes to transfer the Note[s] or interest in such Note[s] specified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in the principal amount of $________ in such Note[s] or interests (the “</w:t>
      </w:r>
      <w:r>
        <w:rPr>
          <w:rFonts w:ascii="Times New Roman;serif" w:hAnsi="Times New Roman;serif"/>
          <w:b w:val="false"/>
          <w:i/>
          <w:color w:val="000000"/>
          <w:sz w:val="24"/>
          <w:u w:val="single"/>
        </w:rPr>
        <w:t>Transfer</w:t>
      </w:r>
      <w:r>
        <w:rPr>
          <w:color w:val="000000"/>
        </w:rPr>
        <w:t>”</w:t>
      </w:r>
      <w:r>
        <w:rPr>
          <w:rFonts w:ascii="Times New Roman;serif" w:hAnsi="Times New Roman;serif"/>
          <w:b w:val="false"/>
          <w:color w:val="000000"/>
          <w:sz w:val="24"/>
        </w:rPr>
        <w:t>), to ___________________________ (the “</w:t>
      </w:r>
      <w:r>
        <w:rPr>
          <w:rFonts w:ascii="Times New Roman;serif" w:hAnsi="Times New Roman;serif"/>
          <w:b w:val="false"/>
          <w:i/>
          <w:color w:val="000000"/>
          <w:sz w:val="24"/>
          <w:u w:val="single"/>
        </w:rPr>
        <w:t>Transferee</w:t>
      </w:r>
      <w:r>
        <w:rPr>
          <w:color w:val="000000"/>
        </w:rPr>
        <w:t>”</w:t>
      </w:r>
      <w:r>
        <w:rPr>
          <w:rFonts w:ascii="Times New Roman;serif" w:hAnsi="Times New Roman;serif"/>
          <w:b w:val="false"/>
          <w:color w:val="000000"/>
          <w:sz w:val="24"/>
        </w:rPr>
        <w:t xml:space="preserve">), as further specified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In connection with the Transfer, the Transferor hereby certifies that: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ALL THAT APPLY]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 </w:t>
      </w:r>
      <w:r>
        <w:rPr>
          <w:rFonts w:ascii="Times New Roman;serif" w:hAnsi="Times New Roman;serif"/>
          <w:b/>
          <w:color w:val="000000"/>
          <w:sz w:val="24"/>
          <w:u w:val="single"/>
        </w:rPr>
        <w:t>Check if Transferee will take delivery of a beneficial interest in the 144A Global Note or a Restricted Definitive Note pursuant to Rule 144A</w:t>
      </w:r>
      <w:r>
        <w:rPr>
          <w:rFonts w:ascii="Times New Roman;serif" w:hAnsi="Times New Roman;serif"/>
          <w:b/>
          <w:color w:val="000000"/>
          <w:sz w:val="24"/>
        </w:rPr>
        <w:t xml:space="preserve">. </w:t>
      </w:r>
      <w:r>
        <w:rPr>
          <w:rFonts w:ascii="Times New Roman;serif" w:hAnsi="Times New Roman;serif"/>
          <w:b w:val="false"/>
          <w:color w:val="000000"/>
          <w:sz w:val="24"/>
        </w:rPr>
        <w:t>The Transfer is being effected pursuant to and in accordance with Rule 144A under the Securities Act of 1933, as amended (the “</w:t>
      </w:r>
      <w:r>
        <w:rPr>
          <w:rFonts w:ascii="Times New Roman;serif" w:hAnsi="Times New Roman;serif"/>
          <w:b w:val="false"/>
          <w:i/>
          <w:color w:val="000000"/>
          <w:sz w:val="24"/>
          <w:u w:val="single"/>
        </w:rPr>
        <w:t>Securities Act</w:t>
      </w:r>
      <w:r>
        <w:rPr>
          <w:color w:val="000000"/>
        </w:rPr>
        <w:t>”</w:t>
      </w:r>
      <w:r>
        <w:rPr>
          <w:rFonts w:ascii="Times New Roman;serif" w:hAnsi="Times New Roman;serif"/>
          <w:b w:val="false"/>
          <w:color w:val="000000"/>
          <w:sz w:val="24"/>
        </w:rPr>
        <w:t xml:space="preserve">),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transfer enumerated in the Private Placement Legend printed on the 144A Global Note and/or the Restricted Definitive Note and in the Indenture and the Securities Act.</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 </w:t>
      </w:r>
      <w:r>
        <w:rPr>
          <w:rFonts w:ascii="Times New Roman;serif" w:hAnsi="Times New Roman;serif"/>
          <w:b/>
          <w:color w:val="000000"/>
          <w:sz w:val="24"/>
          <w:u w:val="single"/>
        </w:rPr>
        <w:t>Check if Transferee will take delivery of a beneficial interest in the Regulation S Temporary Global Note, the Regulation S Permanent Global Note or a Restricted Definitive Note pursuant to Regulation S</w:t>
      </w:r>
      <w:r>
        <w:rPr>
          <w:rFonts w:ascii="Times New Roman;serif" w:hAnsi="Times New Roman;serif"/>
          <w:b/>
          <w:color w:val="000000"/>
          <w:sz w:val="24"/>
        </w:rPr>
        <w:t xml:space="preserve">. </w:t>
      </w:r>
      <w:r>
        <w:rPr>
          <w:rFonts w:ascii="Times New Roman;serif" w:hAnsi="Times New Roman;serif"/>
          <w:b w:val="false"/>
          <w:color w:val="000000"/>
          <w:sz w:val="24"/>
        </w:rPr>
        <w:t>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3.    ☐ </w:t>
      </w:r>
      <w:r>
        <w:rPr>
          <w:rFonts w:ascii="Times New Roman;serif" w:hAnsi="Times New Roman;serif"/>
          <w:b/>
          <w:color w:val="000000"/>
          <w:sz w:val="24"/>
          <w:u w:val="single"/>
        </w:rPr>
        <w:t>Check and complete if Transferee will take delivery of a beneficial interest in the IAI Global Note or a Restricted Definitive Note pursuant to any provision of the Securities Act other than Rule 144A or Regulation S</w:t>
      </w:r>
      <w:r>
        <w:rPr>
          <w:rFonts w:ascii="Times New Roman;serif" w:hAnsi="Times New Roman;serif"/>
          <w:b/>
          <w:color w:val="000000"/>
          <w:sz w:val="24"/>
        </w:rPr>
        <w:t xml:space="preserve">. </w:t>
      </w:r>
      <w:r>
        <w:rPr>
          <w:rFonts w:ascii="Times New Roman;serif" w:hAnsi="Times New Roman;serif"/>
          <w:b w:val="false"/>
          <w:color w:val="000000"/>
          <w:sz w:val="24"/>
        </w:rPr>
        <w:t>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such Transfer is being effected pursuant to and in accordance with Rule 144 under the Securities Act;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such Transfer is being effected to the Wynn Resorts Finance or a subsidiary thereof;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4.    ☐ </w:t>
      </w:r>
      <w:r>
        <w:rPr>
          <w:rFonts w:ascii="Times New Roman;serif" w:hAnsi="Times New Roman;serif"/>
          <w:b/>
          <w:color w:val="000000"/>
          <w:sz w:val="24"/>
          <w:u w:val="single"/>
        </w:rPr>
        <w:t>Check if Transferee will take delivery of a beneficial interest in an Unrestricted Global Note or of an Unrestricted Definitive Note</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 </w:t>
      </w:r>
      <w:r>
        <w:rPr>
          <w:rFonts w:ascii="Times New Roman;serif" w:hAnsi="Times New Roman;serif"/>
          <w:b/>
          <w:color w:val="000000"/>
          <w:sz w:val="24"/>
        </w:rPr>
        <w:t xml:space="preserve">Check if Transfer is pursuant to Rule 144. </w:t>
      </w:r>
      <w:r>
        <w:rPr>
          <w:rFonts w:ascii="Times New Roman;serif" w:hAnsi="Times New Roman;serif"/>
          <w:b w:val="false"/>
          <w:color w:val="000000"/>
          <w:sz w:val="24"/>
        </w:rPr>
        <w:t>(i)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 </w:t>
      </w:r>
      <w:r>
        <w:rPr>
          <w:rFonts w:ascii="Times New Roman;serif" w:hAnsi="Times New Roman;serif"/>
          <w:b/>
          <w:color w:val="000000"/>
          <w:sz w:val="24"/>
        </w:rPr>
        <w:t xml:space="preserve">Check if Transfer is Pursuant to Regulation S. </w:t>
      </w:r>
      <w:r>
        <w:rPr>
          <w:rFonts w:ascii="Times New Roman;serif" w:hAnsi="Times New Roman;serif"/>
          <w:b w:val="false"/>
          <w:color w:val="000000"/>
          <w:sz w:val="24"/>
        </w:rPr>
        <w:t>(i)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 </w:t>
      </w:r>
      <w:r>
        <w:rPr>
          <w:rFonts w:ascii="Times New Roman;serif" w:hAnsi="Times New Roman;serif"/>
          <w:b/>
          <w:color w:val="000000"/>
          <w:sz w:val="24"/>
        </w:rPr>
        <w:t xml:space="preserve">Check if Transfer is Pursuant to Other Exemption. </w:t>
      </w:r>
      <w:r>
        <w:rPr>
          <w:rFonts w:ascii="Times New Roman;serif" w:hAnsi="Times New Roman;serif"/>
          <w:b w:val="false"/>
          <w:color w:val="000000"/>
          <w:sz w:val="24"/>
        </w:rPr>
        <w:t xml:space="preserve">(i)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beneficial interest or Definitive Note will not be subject to the restrictions on transfer enumerated in the Private Placement Legend printed on the Restricted Global Notes or Restricted Definitive Notes and in the Indenture.</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certificate and the statements contained herein are made for your benefit and the benefit of Wynn Resorts Finance.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[Insert Name of Transferor]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ANNEX A TO CERTIFICATE OF TRANSFER</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0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Transferor owns and proposes to transfer the following: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ONE OF (a) OR (b)]</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(a)    ☐ a beneficial interest in the: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    ☐ 144A Global Note (CUSIP _________),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(ii)    ☐ Regulation S Global Note (CUSIP _________),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(iii)    ☐ IAI Global Note (CUSIP _________);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(b)    ☐ a Restricted Definitive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After the Transfer the Transferee will hold: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ONE]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(a)    ☐ a beneficial interest in the: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    ☐ 144A Global Note (CUSIP _________),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(ii)    ☐ Regulation S Global Note (CUSIP _________),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(iii)    ☐ IAI Global Note (CUSIP _________);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(iv)    ☐ Unrestricted Global Note (CUSIP _________);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(b)    ☐ a Restricted Definitive Note; 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(c)    ☐ an Unrestricted Definitive Note,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in accordance with the terms of the Indenture.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C</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CERTIFICATE OF EXCHANGE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Wynn Resorts Finance, LLC</w:t>
        <w:br/>
        <w:t>Wynn Resorts Capital Corp.</w:t>
        <w:br/>
        <w:t>3131 Las Vegas Boulevard South</w:t>
        <w:br/>
        <w:t>Las Vegas, Nevada 89109</w:t>
        <w:br/>
        <w:t>Fax: (702) 770-1100</w:t>
        <w:br/>
        <w:t>Attention: President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EP-MN-WS3C</w:t>
        <w:br/>
        <w:t>60 Livingston Avenue</w:t>
        <w:br/>
        <w:t>St. Paul, Minnesota 55107</w:t>
        <w:br/>
        <w:t>Fax No.: (651) 495-8097</w:t>
        <w:br/>
        <w:t>Attention: Corporate Trust Department – Wynn Administrator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 6.875% Senior Notes due 2035</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(CUSIP __________)</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September 22, 2026 (the “</w:t>
      </w:r>
      <w:r>
        <w:rPr>
          <w:rFonts w:ascii="Times New Roman;serif" w:hAnsi="Times New Roman;serif"/>
          <w:b w:val="false"/>
          <w:i/>
          <w:color w:val="000000"/>
          <w:sz w:val="24"/>
          <w:u w:val="single"/>
        </w:rPr>
        <w:t>Indenture</w:t>
      </w:r>
      <w:r>
        <w:rPr>
          <w:color w:val="000000"/>
        </w:rPr>
        <w:t>”</w:t>
      </w:r>
      <w:r>
        <w:rPr>
          <w:rFonts w:ascii="Times New Roman;serif" w:hAnsi="Times New Roman;serif"/>
          <w:b w:val="false"/>
          <w:color w:val="000000"/>
          <w:sz w:val="24"/>
        </w:rPr>
        <w:t>), among Wynn Resorts Finance, LLC, a Nevada limited liability company (“</w:t>
      </w:r>
      <w:r>
        <w:rPr>
          <w:rFonts w:ascii="Times New Roman;serif" w:hAnsi="Times New Roman;serif"/>
          <w:b w:val="false"/>
          <w:i/>
          <w:color w:val="000000"/>
          <w:sz w:val="24"/>
          <w:u w:val="single"/>
        </w:rPr>
        <w:t>Wynn Resorts Finance</w:t>
      </w:r>
      <w:r>
        <w:rPr>
          <w:color w:val="000000"/>
        </w:rPr>
        <w:t>”</w:t>
      </w:r>
      <w:r>
        <w:rPr>
          <w:rFonts w:ascii="Times New Roman;serif" w:hAnsi="Times New Roman;serif"/>
          <w:b w:val="false"/>
          <w:color w:val="000000"/>
          <w:sz w:val="24"/>
        </w:rPr>
        <w:t>), Wynn Resorts Capital Corp., a Nevada corporation (“</w:t>
      </w:r>
      <w:r>
        <w:rPr>
          <w:rFonts w:ascii="Times New Roman;serif" w:hAnsi="Times New Roman;serif"/>
          <w:b w:val="false"/>
          <w:i/>
          <w:color w:val="000000"/>
          <w:sz w:val="24"/>
          <w:u w:val="single"/>
        </w:rPr>
        <w:t>Wynn Resorts Capital</w:t>
      </w:r>
      <w:r>
        <w:rPr>
          <w:color w:val="000000"/>
        </w:rPr>
        <w:t xml:space="preserve">” </w:t>
      </w:r>
      <w:r>
        <w:rPr>
          <w:rFonts w:ascii="Times New Roman;serif" w:hAnsi="Times New Roman;serif"/>
          <w:b w:val="false"/>
          <w:color w:val="000000"/>
          <w:sz w:val="24"/>
        </w:rPr>
        <w:t>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the Guarantors party thereto and U.S. Bank Trust Company, National Association, as trustee (the “</w:t>
      </w:r>
      <w:r>
        <w:rPr>
          <w:rFonts w:ascii="Times New Roman;serif" w:hAnsi="Times New Roman;serif"/>
          <w:b w:val="false"/>
          <w:i/>
          <w:color w:val="000000"/>
          <w:sz w:val="24"/>
          <w:u w:val="single"/>
        </w:rPr>
        <w:t>Trustee</w:t>
      </w:r>
      <w:r>
        <w:rPr>
          <w:color w:val="000000"/>
        </w:rPr>
        <w:t>”</w:t>
      </w:r>
      <w:r>
        <w:rPr>
          <w:rFonts w:ascii="Times New Roman;serif" w:hAnsi="Times New Roman;serif"/>
          <w:b w:val="false"/>
          <w:color w:val="000000"/>
          <w:sz w:val="24"/>
        </w:rPr>
        <w:t>). Capitalized 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__________________________, (the “</w:t>
      </w:r>
      <w:r>
        <w:rPr>
          <w:rFonts w:ascii="Times New Roman;serif" w:hAnsi="Times New Roman;serif"/>
          <w:b w:val="false"/>
          <w:i/>
          <w:color w:val="000000"/>
          <w:sz w:val="24"/>
          <w:u w:val="single"/>
        </w:rPr>
        <w:t>Owner</w:t>
      </w:r>
      <w:r>
        <w:rPr>
          <w:color w:val="000000"/>
        </w:rPr>
        <w:t>”</w:t>
      </w:r>
      <w:r>
        <w:rPr>
          <w:rFonts w:ascii="Times New Roman;serif" w:hAnsi="Times New Roman;serif"/>
          <w:b w:val="false"/>
          <w:color w:val="000000"/>
          <w:sz w:val="24"/>
        </w:rPr>
        <w:t>) owns and proposes to exchange the Note[s] or interest in such Note[s] specified herein, in the principal amount of $____________ in such Note[s] or interests (the “</w:t>
      </w:r>
      <w:r>
        <w:rPr>
          <w:rFonts w:ascii="Times New Roman;serif" w:hAnsi="Times New Roman;serif"/>
          <w:b w:val="false"/>
          <w:i/>
          <w:color w:val="000000"/>
          <w:sz w:val="24"/>
          <w:u w:val="single"/>
        </w:rPr>
        <w:t>Exchange</w:t>
      </w:r>
      <w:r>
        <w:rPr>
          <w:color w:val="000000"/>
        </w:rPr>
        <w:t>”</w:t>
      </w:r>
      <w:r>
        <w:rPr>
          <w:rFonts w:ascii="Times New Roman;serif" w:hAnsi="Times New Roman;serif"/>
          <w:b w:val="false"/>
          <w:color w:val="000000"/>
          <w:sz w:val="24"/>
        </w:rPr>
        <w:t>). In connection with the Exchange, the Owner hereby certifies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u w:val="single"/>
        </w:rPr>
        <w:t>Exchange of Restricted Definitive Notes or Beneficial Interests in a Restricted Global Note for Unrestricted Definitive Notes or Beneficial Interests in an Unrestricted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    </w:t>
      </w:r>
      <w:r>
        <w:rPr>
          <w:rFonts w:ascii="Times New Roman;serif" w:hAnsi="Times New Roman;serif"/>
          <w:b/>
          <w:color w:val="000000"/>
          <w:sz w:val="24"/>
        </w:rPr>
        <w:t xml:space="preserve">Check if Exchange is from beneficial interest in a Restricted Global Note to beneficial interest in an Unrestricted Global Note. </w:t>
      </w:r>
      <w:r>
        <w:rPr>
          <w:rFonts w:ascii="Times New Roman;serif" w:hAnsi="Times New Roman;serif"/>
          <w:b w:val="false"/>
          <w:color w:val="000000"/>
          <w:sz w:val="24"/>
        </w:rPr>
        <w:t xml:space="preserve">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(iv) the beneficial interest in an Unrestricted Global Note is being acquired in compliance with any applicable blue sky securities laws of any state of the United States.</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    ☐    </w:t>
      </w:r>
      <w:r>
        <w:rPr>
          <w:rFonts w:ascii="Times New Roman;serif" w:hAnsi="Times New Roman;serif"/>
          <w:b/>
          <w:color w:val="000000"/>
          <w:sz w:val="24"/>
        </w:rPr>
        <w:t xml:space="preserve">Check if Exchange is from beneficial interest in a Restricted Global Note to Unrestricted Definitive Note. </w:t>
      </w:r>
      <w:r>
        <w:rPr>
          <w:rFonts w:ascii="Times New Roman;serif" w:hAnsi="Times New Roman;serif"/>
          <w:b w:val="false"/>
          <w:color w:val="000000"/>
          <w:sz w:val="24"/>
        </w:rPr>
        <w:t>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    </w:t>
      </w:r>
      <w:r>
        <w:rPr>
          <w:rFonts w:ascii="Times New Roman;serif" w:hAnsi="Times New Roman;serif"/>
          <w:b/>
          <w:color w:val="000000"/>
          <w:sz w:val="24"/>
        </w:rPr>
        <w:t xml:space="preserve">Check if Exchange is from Restricted Definitive Note to beneficial interest in an Unrestricted Global Note. </w:t>
      </w:r>
      <w:r>
        <w:rPr>
          <w:rFonts w:ascii="Times New Roman;serif" w:hAnsi="Times New Roman;serif"/>
          <w:b w:val="false"/>
          <w:color w:val="000000"/>
          <w:sz w:val="24"/>
        </w:rPr>
        <w:t>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(d)    ☐    </w:t>
      </w:r>
      <w:r>
        <w:rPr>
          <w:rFonts w:ascii="Times New Roman;serif" w:hAnsi="Times New Roman;serif"/>
          <w:b/>
          <w:color w:val="000000"/>
          <w:sz w:val="24"/>
        </w:rPr>
        <w:t xml:space="preserve">Check if Exchange is from Restricted Definitive Note to Unrestricted Definitive Note. </w:t>
      </w:r>
      <w:r>
        <w:rPr>
          <w:rFonts w:ascii="Times New Roman;serif" w:hAnsi="Times New Roman;serif"/>
          <w:b w:val="false"/>
          <w:color w:val="000000"/>
          <w:sz w:val="24"/>
        </w:rPr>
        <w:t>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u w:val="single"/>
        </w:rPr>
        <w:t>Exchange of Restricted Definitive Notes or Beneficial Interests in Restricted Global Notes for Restricted Definitive Notes or Beneficial Interests in Restricted Global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    </w:t>
      </w:r>
      <w:r>
        <w:rPr>
          <w:rFonts w:ascii="Times New Roman;serif" w:hAnsi="Times New Roman;serif"/>
          <w:b/>
          <w:color w:val="000000"/>
          <w:sz w:val="24"/>
        </w:rPr>
        <w:t xml:space="preserve">Check if Exchange is from beneficial interest in a Restricted Global Note to Restricted Definitive Note. </w:t>
      </w:r>
      <w:r>
        <w:rPr>
          <w:rFonts w:ascii="Times New Roman;serif" w:hAnsi="Times New Roman;serif"/>
          <w:b w:val="false"/>
          <w:color w:val="000000"/>
          <w:sz w:val="24"/>
        </w:rPr>
        <w:t xml:space="preserve">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subject to the restrictions on transfer enumerated in the Private Placement Legend printed on the Restricted Definitive Note and in the Indenture and the Securities Act.</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    ☐    </w:t>
      </w:r>
      <w:r>
        <w:rPr>
          <w:rFonts w:ascii="Times New Roman;serif" w:hAnsi="Times New Roman;serif"/>
          <w:b/>
          <w:color w:val="000000"/>
          <w:sz w:val="24"/>
        </w:rPr>
        <w:t xml:space="preserve">Check if Exchange is from Restricted Definitive Note to beneficial interest in a Restricted Global Note. </w:t>
      </w:r>
      <w:r>
        <w:rPr>
          <w:rFonts w:ascii="Times New Roman;serif" w:hAnsi="Times New Roman;serif"/>
          <w:b w:val="false"/>
          <w:color w:val="000000"/>
          <w:sz w:val="24"/>
        </w:rPr>
        <w:t>In connection with the Exchange of the Owner’s Restricted Definitive Note for a beneficial interest in the [CHECK ONE] ☐ 144A Global Note, ☐ Regulation S Global Note, ☐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certificate and the statements contained herein are made for your benefit and the benefit of Wynn Resorts Finance.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[Insert Name of Transferor]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D</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CERTIFICATE FROM</w:t>
        <w:br/>
        <w:t>ACQUIRING INSTITUTIONAL ACCREDITED INVESTOR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Wynn Resorts Finance, LLC</w:t>
        <w:br/>
        <w:t>Wynn Resorts Capital Corp.</w:t>
        <w:br/>
        <w:t>3131 Las Vegas Boulevard South</w:t>
        <w:br/>
        <w:t>Las Vegas, Nevada 89109</w:t>
        <w:br/>
        <w:t>Fax No.: (702) 770-1100</w:t>
        <w:br/>
        <w:t>Attention: President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EP-MN-WS3C</w:t>
        <w:br/>
        <w:t>60 Livingston Avenue</w:t>
        <w:br/>
        <w:t>St. Paul, Minnesota 55107</w:t>
        <w:br/>
        <w:t>Fax No.: (651) 495-8097</w:t>
        <w:br/>
        <w:t>Attention: Corporate Trust Department – Wynn Administrator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 6.875% Senior Notes due 2035</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September 22, 2026 (the “</w:t>
      </w:r>
      <w:r>
        <w:rPr>
          <w:rFonts w:ascii="Times New Roman;serif" w:hAnsi="Times New Roman;serif"/>
          <w:b w:val="false"/>
          <w:i/>
          <w:color w:val="000000"/>
          <w:sz w:val="24"/>
          <w:u w:val="single"/>
        </w:rPr>
        <w:t>Indenture</w:t>
      </w:r>
      <w:r>
        <w:rPr>
          <w:color w:val="000000"/>
        </w:rPr>
        <w:t>”</w:t>
      </w:r>
      <w:r>
        <w:rPr>
          <w:rFonts w:ascii="Times New Roman;serif" w:hAnsi="Times New Roman;serif"/>
          <w:b w:val="false"/>
          <w:color w:val="000000"/>
          <w:sz w:val="24"/>
        </w:rPr>
        <w:t>), among Wynn Resorts Finance, LLC, a Nevada limited liability company (“</w:t>
      </w:r>
      <w:r>
        <w:rPr>
          <w:rFonts w:ascii="Times New Roman;serif" w:hAnsi="Times New Roman;serif"/>
          <w:b w:val="false"/>
          <w:i/>
          <w:color w:val="000000"/>
          <w:sz w:val="24"/>
          <w:u w:val="single"/>
        </w:rPr>
        <w:t>Wynn Resorts Finance</w:t>
      </w:r>
      <w:r>
        <w:rPr>
          <w:color w:val="000000"/>
        </w:rPr>
        <w:t>”</w:t>
      </w:r>
      <w:r>
        <w:rPr>
          <w:rFonts w:ascii="Times New Roman;serif" w:hAnsi="Times New Roman;serif"/>
          <w:b w:val="false"/>
          <w:color w:val="000000"/>
          <w:sz w:val="24"/>
        </w:rPr>
        <w:t>), Wynn Resorts Capital Corp., a Nevada corporation (“</w:t>
      </w:r>
      <w:r>
        <w:rPr>
          <w:rFonts w:ascii="Times New Roman;serif" w:hAnsi="Times New Roman;serif"/>
          <w:b w:val="false"/>
          <w:i/>
          <w:color w:val="000000"/>
          <w:sz w:val="24"/>
          <w:u w:val="single"/>
        </w:rPr>
        <w:t>Wynn Resorts Capital</w:t>
      </w:r>
      <w:r>
        <w:rPr>
          <w:color w:val="000000"/>
        </w:rPr>
        <w:t xml:space="preserve">” </w:t>
      </w:r>
      <w:r>
        <w:rPr>
          <w:rFonts w:ascii="Times New Roman;serif" w:hAnsi="Times New Roman;serif"/>
          <w:b w:val="false"/>
          <w:color w:val="000000"/>
          <w:sz w:val="24"/>
        </w:rPr>
        <w:t>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the Guarantors party thereto and U.S. Bank Trust Company, National Association, as trustee (the “</w:t>
      </w:r>
      <w:r>
        <w:rPr>
          <w:rFonts w:ascii="Times New Roman;serif" w:hAnsi="Times New Roman;serif"/>
          <w:b w:val="false"/>
          <w:i/>
          <w:color w:val="000000"/>
          <w:sz w:val="24"/>
          <w:u w:val="single"/>
        </w:rPr>
        <w:t>Trustee</w:t>
      </w:r>
      <w:r>
        <w:rPr>
          <w:color w:val="000000"/>
        </w:rPr>
        <w:t>”</w:t>
      </w:r>
      <w:r>
        <w:rPr>
          <w:rFonts w:ascii="Times New Roman;serif" w:hAnsi="Times New Roman;serif"/>
          <w:b w:val="false"/>
          <w:color w:val="000000"/>
          <w:sz w:val="24"/>
        </w:rPr>
        <w:t>). Capitalized terms used but not defined herein shall have the meanings given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our proposed purchase of $____________ aggregate principal amount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a beneficial interest in a Global Note,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a Definitive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confirm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serif" w:hAnsi="Times New Roman;serif"/>
          <w:b w:val="false"/>
          <w:i/>
          <w:color w:val="000000"/>
          <w:sz w:val="24"/>
          <w:u w:val="single"/>
        </w:rPr>
        <w:t>Securities Act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Wynn Resorts Finance or any subsidiary thereof, (B) in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Rule 144A under the Securities Act to a “qualified institutional buyer” (as defined therein), (C) to an institutional “accredited investor” (as defined below) that, prior to such transfer, furnishes (or has furnished on its behalf by a U.S. broker-dealer) to you and to Wynn Resorts Finance a signed letter substantially in the form of this letter and an Opinion of Counsel in form reasonably acceptable to Wynn Resorts Finance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We understand that, on any proposed resale of the Notes or beneficial interest therein, we will be required to furnish to you and Wynn Resorts Finance such certifications, legal opinions and other information as you and Wynn Resorts Finance may reasonably require to confirm that the proposed sale complies with the foregoing restrictions. We further understand that the Notes purchased by us will bear a legend to the foregoing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We are acquiring the Notes or beneficial interest therein purchased by us for our own account or for one or more accounts (each of which is an institutional “accredited investor”) as to each of which we exercise sole investment discretion.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and Wynn Resorts Finance are entitled to rely upon this letter and are irrevocably authorized to produce this letter or a copy hereof to any interested party in any administrative or legal proceedings or official inquiry with respect to the matters covered hereby.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[Insert Name of Accredited Investor]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E</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NOTATION OF GUARANTEE]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September 22, 2026 (the “</w:t>
      </w:r>
      <w:r>
        <w:rPr>
          <w:rFonts w:ascii="Times New Roman;serif" w:hAnsi="Times New Roman;serif"/>
          <w:b w:val="false"/>
          <w:i/>
          <w:color w:val="000000"/>
          <w:sz w:val="24"/>
          <w:u w:val="single"/>
        </w:rPr>
        <w:t>Indenture</w:t>
      </w:r>
      <w:r>
        <w:rPr>
          <w:color w:val="000000"/>
        </w:rPr>
        <w:t>”</w:t>
      </w:r>
      <w:r>
        <w:rPr>
          <w:rFonts w:ascii="Times New Roman;serif" w:hAnsi="Times New Roman;serif"/>
          <w:b w:val="false"/>
          <w:color w:val="000000"/>
          <w:sz w:val="24"/>
        </w:rPr>
        <w:t>) among Wynn Resorts Finance, LLC, a Nevada limited liability company (“</w:t>
      </w:r>
      <w:r>
        <w:rPr>
          <w:rFonts w:ascii="Times New Roman;serif" w:hAnsi="Times New Roman;serif"/>
          <w:b w:val="false"/>
          <w:i/>
          <w:color w:val="000000"/>
          <w:sz w:val="24"/>
          <w:u w:val="single"/>
        </w:rPr>
        <w:t>Wynn Resorts Finance</w:t>
      </w:r>
      <w:r>
        <w:rPr>
          <w:color w:val="000000"/>
        </w:rPr>
        <w:t>”</w:t>
      </w:r>
      <w:r>
        <w:rPr>
          <w:rFonts w:ascii="Times New Roman;serif" w:hAnsi="Times New Roman;serif"/>
          <w:b w:val="false"/>
          <w:color w:val="000000"/>
          <w:sz w:val="24"/>
        </w:rPr>
        <w:t>) and Wynn Resorts Capital Corp., a Nevada corporation (“</w:t>
      </w:r>
      <w:r>
        <w:rPr>
          <w:rFonts w:ascii="Times New Roman;serif" w:hAnsi="Times New Roman;serif"/>
          <w:b w:val="false"/>
          <w:i/>
          <w:color w:val="000000"/>
          <w:sz w:val="24"/>
          <w:u w:val="single"/>
        </w:rPr>
        <w:t>Wynn Resorts Capital</w:t>
      </w:r>
      <w:r>
        <w:rPr>
          <w:rFonts w:ascii="Times New Roman;serif" w:hAnsi="Times New Roman;serif"/>
          <w:b w:val="false"/>
          <w:color w:val="000000"/>
          <w:sz w:val="24"/>
        </w:rPr>
        <w:t>,” 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as joint and several obligors, and EBH Holdings, LLC, a Nevada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Times New Roman;serif" w:hAnsi="Times New Roman;serif"/>
          <w:b w:val="false"/>
          <w:i/>
          <w:color w:val="000000"/>
          <w:sz w:val="24"/>
          <w:u w:val="single"/>
        </w:rPr>
        <w:t>Guarantors</w:t>
      </w:r>
      <w:r>
        <w:rPr>
          <w:color w:val="000000"/>
        </w:rPr>
        <w:t>”</w:t>
      </w:r>
      <w:r>
        <w:rPr>
          <w:rFonts w:ascii="Times New Roman;serif" w:hAnsi="Times New Roman;serif"/>
          <w:b w:val="false"/>
          <w:color w:val="000000"/>
          <w:sz w:val="24"/>
        </w:rPr>
        <w:t>) and U.S. Bank Trust Company, National Association, as trustee (the “</w:t>
      </w:r>
      <w:r>
        <w:rPr>
          <w:rFonts w:ascii="Times New Roman;serif" w:hAnsi="Times New Roman;serif"/>
          <w:b w:val="false"/>
          <w:i/>
          <w:color w:val="000000"/>
          <w:sz w:val="24"/>
          <w:u w:val="single"/>
        </w:rPr>
        <w:t>Trustee</w:t>
      </w:r>
      <w:r>
        <w:rPr>
          <w:color w:val="000000"/>
        </w:rPr>
        <w:t>”</w:t>
      </w:r>
      <w:r>
        <w:rPr>
          <w:rFonts w:ascii="Times New Roman;serif" w:hAnsi="Times New Roman;serif"/>
          <w:b w:val="false"/>
          <w:color w:val="000000"/>
          <w:sz w:val="24"/>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of Guarantor(s)]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SUPPLEMENTAL INDENTURE</w:t>
        <w:br/>
        <w:t>TO BE DELIVERED BY SUBSEQUENT GUARANTORS]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Supplemental Indenture (this “</w:t>
      </w:r>
      <w:r>
        <w:rPr>
          <w:rFonts w:ascii="Times New Roman;serif" w:hAnsi="Times New Roman;serif"/>
          <w:b w:val="false"/>
          <w:i/>
          <w:color w:val="000000"/>
          <w:sz w:val="24"/>
          <w:u w:val="single"/>
        </w:rPr>
        <w:t>Supplemental Indenture</w:t>
      </w:r>
      <w:r>
        <w:rPr>
          <w:color w:val="000000"/>
        </w:rPr>
        <w:t>”</w:t>
      </w:r>
      <w:r>
        <w:rPr>
          <w:rFonts w:ascii="Times New Roman;serif" w:hAnsi="Times New Roman;serif"/>
          <w:b w:val="false"/>
          <w:color w:val="000000"/>
          <w:sz w:val="24"/>
        </w:rPr>
        <w:t>), dated as of ________________, 20__, among __________________ (the “</w:t>
      </w:r>
      <w:r>
        <w:rPr>
          <w:rFonts w:ascii="Times New Roman;serif" w:hAnsi="Times New Roman;serif"/>
          <w:b w:val="false"/>
          <w:i/>
          <w:color w:val="000000"/>
          <w:sz w:val="24"/>
          <w:u w:val="single"/>
        </w:rPr>
        <w:t>Guaranteeing Subsidiary</w:t>
      </w:r>
      <w:r>
        <w:rPr>
          <w:color w:val="000000"/>
        </w:rPr>
        <w:t>”</w:t>
      </w:r>
      <w:r>
        <w:rPr>
          <w:rFonts w:ascii="Times New Roman;serif" w:hAnsi="Times New Roman;serif"/>
          <w:b w:val="false"/>
          <w:color w:val="000000"/>
          <w:sz w:val="24"/>
        </w:rPr>
        <w:t>), a subsidiary of Wynn Resorts Finance, LLC, a Nevada limited liability company (“</w:t>
      </w:r>
      <w:r>
        <w:rPr>
          <w:rFonts w:ascii="Times New Roman;serif" w:hAnsi="Times New Roman;serif"/>
          <w:b w:val="false"/>
          <w:i/>
          <w:color w:val="000000"/>
          <w:sz w:val="24"/>
          <w:u w:val="single"/>
        </w:rPr>
        <w:t>Wynn Resorts Finance</w:t>
      </w:r>
      <w:r>
        <w:rPr>
          <w:color w:val="000000"/>
        </w:rPr>
        <w:t>”</w:t>
      </w:r>
      <w:r>
        <w:rPr>
          <w:rFonts w:ascii="Times New Roman;serif" w:hAnsi="Times New Roman;serif"/>
          <w:b w:val="false"/>
          <w:color w:val="000000"/>
          <w:sz w:val="24"/>
        </w:rPr>
        <w:t>), Wynn Resorts Capital Corp., a Nevada corporation (“</w:t>
      </w:r>
      <w:r>
        <w:rPr>
          <w:rFonts w:ascii="Times New Roman;serif" w:hAnsi="Times New Roman;serif"/>
          <w:b w:val="false"/>
          <w:i/>
          <w:color w:val="000000"/>
          <w:sz w:val="24"/>
          <w:u w:val="single"/>
        </w:rPr>
        <w:t>Wynn Resorts Capital</w:t>
      </w:r>
      <w:r>
        <w:rPr>
          <w:rFonts w:ascii="Times New Roman;serif" w:hAnsi="Times New Roman;serif"/>
          <w:b w:val="false"/>
          <w:color w:val="000000"/>
          <w:sz w:val="24"/>
        </w:rPr>
        <w:t>,” and together with Wynn Resorts Finance, the “</w:t>
      </w:r>
      <w:r>
        <w:rPr>
          <w:rFonts w:ascii="Times New Roman;serif" w:hAnsi="Times New Roman;serif"/>
          <w:b w:val="false"/>
          <w:i/>
          <w:color w:val="000000"/>
          <w:sz w:val="24"/>
          <w:u w:val="single"/>
        </w:rPr>
        <w:t>Issuers</w:t>
      </w:r>
      <w:r>
        <w:rPr>
          <w:color w:val="000000"/>
        </w:rPr>
        <w:t>”</w:t>
      </w:r>
      <w:r>
        <w:rPr>
          <w:rFonts w:ascii="Times New Roman;serif" w:hAnsi="Times New Roman;serif"/>
          <w:b w:val="false"/>
          <w:color w:val="000000"/>
          <w:sz w:val="24"/>
        </w:rPr>
        <w:t>) and the Guarantors (as defined in the Indenture referred to herein) and U.S. Bank Trust Company, National Association, as trustee under the Indenture referred to below (the “</w:t>
      </w:r>
      <w:r>
        <w:rPr>
          <w:rFonts w:ascii="Times New Roman;serif" w:hAnsi="Times New Roman;serif"/>
          <w:b w:val="false"/>
          <w:i/>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Issuers have heretofore executed and delivered to the Trustee an indenture (the “</w:t>
      </w:r>
      <w:r>
        <w:rPr>
          <w:rFonts w:ascii="Times New Roman;serif" w:hAnsi="Times New Roman;serif"/>
          <w:b w:val="false"/>
          <w:i/>
          <w:color w:val="000000"/>
          <w:sz w:val="24"/>
          <w:u w:val="single"/>
        </w:rPr>
        <w:t>Indenture</w:t>
      </w:r>
      <w:r>
        <w:rPr>
          <w:color w:val="000000"/>
        </w:rPr>
        <w:t>”</w:t>
      </w:r>
      <w:r>
        <w:rPr>
          <w:rFonts w:ascii="Times New Roman;serif" w:hAnsi="Times New Roman;serif"/>
          <w:b w:val="false"/>
          <w:color w:val="000000"/>
          <w:sz w:val="24"/>
        </w:rPr>
        <w:t>), dated as of September 22, 2026 providing for the issuance of an aggregate principal amount of $900,000,000 of 6.875% Senior Notes due 2035 (the “</w:t>
      </w:r>
      <w:r>
        <w:rPr>
          <w:rFonts w:ascii="Times New Roman;serif" w:hAnsi="Times New Roman;serif"/>
          <w:b w:val="false"/>
          <w:i/>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Subsidiary shall execute and deliver to the Trustee one or more supplemental indentures pursuant to which the Guaranteeing Subsidiary shall unconditionally guarantee all of the Issuers’ Obligations under the Notes and the Indenture on the terms and conditions set forth herein (the “</w:t>
      </w:r>
      <w:r>
        <w:rPr>
          <w:rFonts w:ascii="Times New Roman;serif" w:hAnsi="Times New Roman;serif"/>
          <w:b w:val="false"/>
          <w:i/>
          <w:color w:val="000000"/>
          <w:sz w:val="24"/>
          <w:u w:val="single"/>
        </w:rPr>
        <w:t>Note Guarantee</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9.01 of the Indenture, the Trustee is authorized to execute and deliver this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Agreement to Guarantee. The Guaranteeing Subsidiary hereby agrees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or thereunder shall be promptly paid in full or performed, all in accordance with the terms hereof and thereof; and</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E-2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in case of any extension of time of payment or renewal of any Notes or any of such other obligations, that same shall be promptly paid in full when due or performed in accordance with the terms of the extension or renewal, whether at stated maturity, by acceleration or otherwise.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Failing payment when due of any amount so guaranteed or any performance so guaranteed for whatever reason, the Guarantors shall be jointly and severally obligated to pay the same immediately.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This Note Guarantee shall not be discharged except by complete performance of the obligations contained in the Notes and the Indenture, and the Guaranteeing Subsidiary accepts all obligations of a Guarantor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Guaranteeing Subsidiary shall not be entitled to any right of subrogation in relation to the Holders in respect of any obligations guaranteed hereby until payment in full of all obligations guaranteed 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E-3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The Guarantors shall have the right to seek contribution from any non-paying Guarantor so long as the exercise of such right does not impair the rights of the Holders under the Note 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Pursuant to Section 11.02 of the Indenture, after giving effect to any maximum amount and all other contingent and fixed liabilities that are relevant under any applicable Bankruptcy Law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Execution and Delivery. Each Guaranteeing Subsidiary agrees that the Note Guarantees shall remain in full force and effect notwithstanding any failure to endorse on each Note a notation of such Note 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Guaranteeing Subsidiary may Consolidate, etc. on Certain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Guaranteeing Subsidiary may not consolidate with or merge with or into (whether or not such Guaranteeing Subsidiary is the surviving Person) another Person, other than either of the Issuers or another Guarantor, except as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provisions of this Section 4 or the provisions of Section 11.04 of the Indenture, each Guarantor is permitted to reorganize as a corporation pursuant to a Permitted C-Corp. Conversion.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Releases.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compliance with the provisions described in Section 4 above and under Article 11 of the Indenture, the Note Guarantee of a Guaranteeing Subsidiary will be released on the terms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No Recourse Against Others. No past, present or future director, officer, employee, incorporator, organizer, equity holder or member of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NEW YORK LAW TO GOVERN. THIS SUPPLEMENTAL INDENTURE SHALL BE GOVERNED BY AND CONSTRUED IN ACCORDANCE WITH THE LAWS OF THE STATE OF NEW YORK, INCLUDING, WITHOUT LIMITATION, SECTION 4-1401 OF THE NEW YORK OBLIGATIONS LAW.</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E-4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8.    Conflicts with Indenture. This Supplemental Indenture is subject to all terms of the Indenture. To the extent any provision of this Supplemental Indenture conflicts with express provisions of the Indenture, the provisions of the Indenture shall govern and be controlling.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Counterparts. The parties may sign any number of copies of this Supplemental Indenture. Each signed copy shall be an original, but all of them together represent the same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E-5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Dated: _______________, 20___</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[Guaranteeing Subsidiary]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Issuers: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WYNN RESORTS FINANCE, LLC</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Nevada limited liability company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Wynn Resorts Holdings, LLC, its sole member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Wynn Resorts, Limited, its sole member</w:t>
      </w:r>
    </w:p>
    <w:p>
      <w:pPr>
        <w:pStyle w:val="TextBody"/>
        <w:bidi w:val="0"/>
        <w:spacing w:before="0" w:after="24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240"/>
        <w:ind w:left="0" w:right="0" w:hanging="558"/>
        <w:jc w:val="both"/>
        <w:rPr/>
      </w:pPr>
      <w:r>
        <w:rPr/>
      </w:r>
    </w:p>
    <w:p>
      <w:pPr>
        <w:pStyle w:val="TextBody"/>
        <w:bidi w:val="0"/>
        <w:spacing w:lineRule="auto" w:line="288" w:before="0" w:after="240"/>
        <w:jc w:val="both"/>
        <w:rPr/>
      </w:pPr>
      <w:r>
        <w:rPr>
          <w:rFonts w:ascii="Times New Roman;serif" w:hAnsi="Times New Roman;serif"/>
          <w:b/>
          <w:color w:val="000000"/>
          <w:sz w:val="24"/>
        </w:rPr>
        <w:t>WYNN RESORTS CAPITAL CORP.</w:t>
      </w:r>
      <w:r>
        <w:rPr>
          <w:rFonts w:ascii="Times New Roman;serif" w:hAnsi="Times New Roman;serif"/>
          <w:b w:val="false"/>
          <w:color w:val="000000"/>
          <w:sz w:val="24"/>
        </w:rPr>
        <w:t xml:space="preserve">, </w:t>
        <w:br/>
        <w:t>a Nevada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By:_________________________________</w:t>
        <w:br/>
        <w:t>Name:    </w:t>
        <w:br/>
        <w:t xml:space="preserve">Title: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color w:val="000000"/>
          <w:sz w:val="24"/>
        </w:rPr>
        <w:t>Guarantors: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EBH HOLDINGS,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EVERETT PROPERTY,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WYNN AMERICA GROUP,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WYNN GROUP ASIA, INC.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WYNN LAS VEGAS HOLDINGS, LLC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WYNN LAS VEGAS CAPITAL CORP.</w:t>
      </w:r>
    </w:p>
    <w:p>
      <w:pPr>
        <w:pStyle w:val="TextBody"/>
        <w:bidi w:val="0"/>
        <w:ind w:left="0" w:right="0" w:hanging="360"/>
        <w:jc w:val="left"/>
        <w:rPr/>
      </w:pPr>
      <w:r>
        <w:rPr/>
      </w:r>
    </w:p>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E-6    </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Name: Craig Fullalove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WYNN LAS VEGAS, LLC</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Name:    Robert Amerine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WYNN MA, LLC</w: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Name:    John Santon</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WYNN SUNRISE, LLC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By: Wynn Las Vegas, LLC its sole member</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Name:    Robert Amerine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ind w:left="0" w:right="0" w:hanging="360"/>
        <w:jc w:val="both"/>
        <w:rPr/>
      </w:pPr>
      <w:r>
        <w:rPr/>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ind w:left="0" w:right="0" w:firstLine="720"/>
        <w:jc w:val="center"/>
        <w:rPr/>
      </w:pPr>
      <w:r>
        <w:rPr/>
      </w:r>
    </w:p>
    <w:p>
      <w:pPr>
        <w:pStyle w:val="TextBody"/>
        <w:bidi w:val="0"/>
        <w:spacing w:lineRule="auto" w:line="288" w:before="0" w:after="0"/>
        <w:ind w:left="0" w:right="0" w:firstLine="720"/>
        <w:jc w:val="center"/>
        <w:rPr/>
      </w:pPr>
      <w:r>
        <w:rPr>
          <w:rFonts w:ascii="Times New Roman;serif" w:hAnsi="Times New Roman;serif"/>
          <w:b/>
          <w:color w:val="000000"/>
          <w:sz w:val="24"/>
        </w:rPr>
        <w:t>U.S. BANK TRUST COMPANY, NATIONAL ASSOCIATION</w:t>
      </w:r>
      <w:r>
        <w:rPr>
          <w:rFonts w:ascii="Times New Roman;serif" w:hAnsi="Times New Roman;serif"/>
          <w:b w:val="false"/>
          <w:color w:val="000000"/>
          <w:sz w:val="24"/>
        </w:rPr>
        <w:t xml:space="preserve">, </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9.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E-7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_______________________________</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Authorized Signatory</w:t>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E-8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147</Pages>
  <Words>60334</Words>
  <Characters>310686</Characters>
  <CharactersWithSpaces>372505</CharactersWithSpaces>
  <Paragraphs>1805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