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415925</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247015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259715</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2000" w:type="dxa"/>
            <w:vAlign w:val="bottom"/>
          </w:tcPr>
          <w:p>
            <w:pPr>
              <w:jc w:val="center"/>
              <w:ind w:right="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4080" w:type="dxa"/>
            <w:vAlign w:val="bottom"/>
            <w:gridSpan w:val="2"/>
          </w:tcPr>
          <w:p>
            <w:pPr>
              <w:jc w:val="right"/>
              <w:ind w:right="1228"/>
              <w:spacing w:after="0"/>
              <w:rPr>
                <w:sz w:val="20"/>
                <w:szCs w:val="20"/>
                <w:color w:val="auto"/>
              </w:rPr>
            </w:pPr>
            <w:r>
              <w:rPr>
                <w:rFonts w:ascii="Arial" w:cs="Arial" w:eastAsia="Arial" w:hAnsi="Arial"/>
                <w:sz w:val="18"/>
                <w:szCs w:val="18"/>
                <w:b w:val="1"/>
                <w:bCs w:val="1"/>
                <w:color w:val="auto"/>
              </w:rPr>
              <w:t>000-50028</w:t>
            </w:r>
          </w:p>
        </w:tc>
        <w:tc>
          <w:tcPr>
            <w:tcW w:w="920" w:type="dxa"/>
            <w:vAlign w:val="bottom"/>
          </w:tcPr>
          <w:p>
            <w:pPr>
              <w:spacing w:after="0"/>
              <w:rPr>
                <w:sz w:val="20"/>
                <w:szCs w:val="20"/>
                <w:color w:val="auto"/>
              </w:rPr>
            </w:pP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46-0484987</w:t>
            </w:r>
          </w:p>
        </w:tc>
        <w:tc>
          <w:tcPr>
            <w:tcW w:w="0" w:type="dxa"/>
            <w:vAlign w:val="bottom"/>
          </w:tcPr>
          <w:p>
            <w:pPr>
              <w:spacing w:after="0"/>
              <w:rPr>
                <w:sz w:val="1"/>
                <w:szCs w:val="1"/>
                <w:color w:val="auto"/>
              </w:rPr>
            </w:pPr>
          </w:p>
        </w:tc>
      </w:tr>
      <w:tr>
        <w:trPr>
          <w:trHeight w:val="180"/>
        </w:trPr>
        <w:tc>
          <w:tcPr>
            <w:tcW w:w="200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(State or other jurisdiction of</w:t>
            </w:r>
          </w:p>
        </w:tc>
        <w:tc>
          <w:tcPr>
            <w:tcW w:w="740" w:type="dxa"/>
            <w:vAlign w:val="bottom"/>
          </w:tcPr>
          <w:p>
            <w:pPr>
              <w:spacing w:after="0"/>
              <w:rPr>
                <w:sz w:val="15"/>
                <w:szCs w:val="15"/>
                <w:color w:val="auto"/>
              </w:rPr>
            </w:pPr>
          </w:p>
        </w:tc>
        <w:tc>
          <w:tcPr>
            <w:tcW w:w="426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4"/>
              </w:rPr>
              <w:t>(Commission 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00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incorporation or organization)</w:t>
            </w:r>
          </w:p>
        </w:tc>
        <w:tc>
          <w:tcPr>
            <w:tcW w:w="740" w:type="dxa"/>
            <w:vAlign w:val="bottom"/>
          </w:tcPr>
          <w:p>
            <w:pPr>
              <w:spacing w:after="0"/>
              <w:rPr>
                <w:sz w:val="16"/>
                <w:szCs w:val="16"/>
                <w:color w:val="auto"/>
              </w:rPr>
            </w:pPr>
          </w:p>
        </w:tc>
        <w:tc>
          <w:tcPr>
            <w:tcW w:w="4260" w:type="dxa"/>
            <w:vAlign w:val="bottom"/>
            <w:gridSpan w:val="2"/>
            <w:vMerge w:val="continue"/>
          </w:tcPr>
          <w:p>
            <w:pPr>
              <w:spacing w:after="0"/>
              <w:rPr>
                <w:sz w:val="16"/>
                <w:szCs w:val="16"/>
                <w:color w:val="auto"/>
              </w:rPr>
            </w:pP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530"/>
        </w:trPr>
        <w:tc>
          <w:tcPr>
            <w:tcW w:w="2000" w:type="dxa"/>
            <w:vAlign w:val="bottom"/>
          </w:tcPr>
          <w:p>
            <w:pPr>
              <w:spacing w:after="0"/>
              <w:rPr>
                <w:sz w:val="24"/>
                <w:szCs w:val="24"/>
                <w:color w:val="auto"/>
              </w:rPr>
            </w:pPr>
          </w:p>
        </w:tc>
        <w:tc>
          <w:tcPr>
            <w:tcW w:w="5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00" w:type="dxa"/>
            <w:vAlign w:val="bottom"/>
          </w:tcPr>
          <w:p>
            <w:pPr>
              <w:spacing w:after="0"/>
              <w:rPr>
                <w:sz w:val="21"/>
                <w:szCs w:val="21"/>
                <w:color w:val="auto"/>
              </w:rPr>
            </w:pPr>
          </w:p>
        </w:tc>
        <w:tc>
          <w:tcPr>
            <w:tcW w:w="408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90"/>
              </w:rPr>
              <w:t>(702) 770-7555</w:t>
            </w:r>
          </w:p>
        </w:tc>
        <w:tc>
          <w:tcPr>
            <w:tcW w:w="9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90805</wp:posOffset>
            </wp:positionV>
            <wp:extent cx="2118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40"/>
        <w:spacing w:after="0"/>
        <w:tabs>
          <w:tab w:leader="none" w:pos="14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October 30, 2016, Wynn Macau, Limited (“WML”), an indirect subsidiary of Wynn Resorts, Limited, announced that Wynn Resorts (Macau), S.A. (“WRMSA”), an indirect subsidiary of WML, Palo Real Estate Company Limited, a subsidiary of WRMSA, and Leighton Contractors (Asia) Limited, our general contractor for the Wynn Palace project, reached final agreement to resolve their differences and fully settle all claims among the parties under the guaranteed maximum price construction (“GMP”) contract. Among other things, the general contractor agreed to complete all outstanding work necessary to achieve final completion and the parties agreed to an increase of the guaranteed maximum price under the GMP contract to HK$23.1 billion (approximately $3.0 billion). WRMSA’s right to make warranty claims in the future is unaffected by the agreement. The performance of the general contractor continues to be backed by a full completion guarantee given by CIMIC Group Limited (formerly Leighton Holdings Limited), the parent company of the general contractor, as well as performance bonds for approximately 5% of the guaranteed maximum price.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$300 million increase to the GMP pursuant to the agreement described above brings the final project budget for Wynn Palace to $4.4 billion.</w:t>
      </w:r>
    </w:p>
    <w:p>
      <w:pPr>
        <w:spacing w:after="0" w:line="23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information in this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20"/>
          </w:cols>
          <w:pgMar w:left="240" w:top="958"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October 31,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Kim Sinatra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1220"/>
      </w:cols>
      <w:pgMar w:left="240"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2019-12-07T17:08:31Z</dcterms:created>
  <dcterms:modified xsi:type="dcterms:W3CDTF">2019-12-07T17:08:31Z</dcterms:modified>
</cp:coreProperties>
</file>