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ind w:left="460" w:right="460" w:hanging="452"/>
        <w:spacing w:after="0" w:line="25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8"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5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-8890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tbl>
      <w:tblPr>
        <w:tblLayout w:type="fixed"/>
        <w:tblInd w:w="1980" w:type="dxa"/>
        <w:tblCellMar>
          <w:top w:w="0" w:type="dxa"/>
          <w:left w:w="0" w:type="dxa"/>
          <w:bottom w:w="0" w:type="dxa"/>
          <w:right w:w="0" w:type="dxa"/>
        </w:tblCellMar>
      </w:tblPr>
      <w:tr>
        <w:trPr>
          <w:trHeight w:val="216"/>
        </w:trPr>
        <w:tc>
          <w:tcPr>
            <w:tcW w:w="6140" w:type="dxa"/>
            <w:vAlign w:val="bottom"/>
            <w:gridSpan w:val="3"/>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46-0484987</w:t>
            </w:r>
          </w:p>
        </w:tc>
      </w:tr>
      <w:tr>
        <w:trPr>
          <w:trHeight w:val="149"/>
        </w:trPr>
        <w:tc>
          <w:tcPr>
            <w:tcW w:w="6140" w:type="dxa"/>
            <w:vAlign w:val="bottom"/>
            <w:gridSpan w:val="3"/>
          </w:tcPr>
          <w:p>
            <w:pPr>
              <w:jc w:val="center"/>
              <w:ind w:right="4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6140" w:type="dxa"/>
            <w:vAlign w:val="bottom"/>
            <w:gridSpan w:val="3"/>
          </w:tcPr>
          <w:p>
            <w:pPr>
              <w:jc w:val="center"/>
              <w:ind w:right="438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240"/>
        </w:trPr>
        <w:tc>
          <w:tcPr>
            <w:tcW w:w="6140" w:type="dxa"/>
            <w:vAlign w:val="bottom"/>
            <w:gridSpan w:val="3"/>
          </w:tcPr>
          <w:p>
            <w:pPr>
              <w:jc w:val="center"/>
              <w:ind w:left="1265"/>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 89109</w:t>
            </w:r>
          </w:p>
        </w:tc>
        <w:tc>
          <w:tcPr>
            <w:tcW w:w="1080" w:type="dxa"/>
            <w:vAlign w:val="bottom"/>
          </w:tcPr>
          <w:p>
            <w:pPr>
              <w:spacing w:after="0"/>
              <w:rPr>
                <w:sz w:val="20"/>
                <w:szCs w:val="20"/>
                <w:color w:val="auto"/>
              </w:rPr>
            </w:pPr>
          </w:p>
        </w:tc>
      </w:tr>
      <w:tr>
        <w:trPr>
          <w:trHeight w:val="178"/>
        </w:trPr>
        <w:tc>
          <w:tcPr>
            <w:tcW w:w="6140" w:type="dxa"/>
            <w:vAlign w:val="bottom"/>
            <w:gridSpan w:val="3"/>
          </w:tcPr>
          <w:p>
            <w:pPr>
              <w:jc w:val="center"/>
              <w:ind w:left="1245"/>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 (Zip Code)</w:t>
            </w:r>
          </w:p>
        </w:tc>
        <w:tc>
          <w:tcPr>
            <w:tcW w:w="1080" w:type="dxa"/>
            <w:vAlign w:val="bottom"/>
          </w:tcPr>
          <w:p>
            <w:pPr>
              <w:spacing w:after="0"/>
              <w:rPr>
                <w:sz w:val="15"/>
                <w:szCs w:val="15"/>
                <w:color w:val="auto"/>
              </w:rPr>
            </w:pPr>
          </w:p>
        </w:tc>
      </w:tr>
      <w:tr>
        <w:trPr>
          <w:trHeight w:val="227"/>
        </w:trPr>
        <w:tc>
          <w:tcPr>
            <w:tcW w:w="4920" w:type="dxa"/>
            <w:vAlign w:val="bottom"/>
            <w:gridSpan w:val="2"/>
          </w:tcPr>
          <w:p>
            <w:pPr>
              <w:jc w:val="center"/>
              <w:ind w:left="2465"/>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8"/>
        </w:trPr>
        <w:tc>
          <w:tcPr>
            <w:tcW w:w="6140" w:type="dxa"/>
            <w:vAlign w:val="bottom"/>
            <w:gridSpan w:val="3"/>
          </w:tcPr>
          <w:p>
            <w:pPr>
              <w:jc w:val="center"/>
              <w:ind w:left="1245"/>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080" w:type="dxa"/>
            <w:vAlign w:val="bottom"/>
          </w:tcPr>
          <w:p>
            <w:pPr>
              <w:spacing w:after="0"/>
              <w:rPr>
                <w:sz w:val="15"/>
                <w:szCs w:val="15"/>
                <w:color w:val="auto"/>
              </w:rPr>
            </w:pPr>
          </w:p>
        </w:tc>
      </w:tr>
      <w:tr>
        <w:trPr>
          <w:trHeight w:val="122"/>
        </w:trPr>
        <w:tc>
          <w:tcPr>
            <w:tcW w:w="254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33"/>
        </w:trPr>
        <w:tc>
          <w:tcPr>
            <w:tcW w:w="2540" w:type="dxa"/>
            <w:vAlign w:val="bottom"/>
          </w:tcPr>
          <w:p>
            <w:pPr>
              <w:spacing w:after="0"/>
              <w:rPr>
                <w:sz w:val="20"/>
                <w:szCs w:val="20"/>
                <w:color w:val="auto"/>
              </w:rPr>
            </w:pPr>
          </w:p>
        </w:tc>
        <w:tc>
          <w:tcPr>
            <w:tcW w:w="36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080" w:type="dxa"/>
            <w:vAlign w:val="bottom"/>
          </w:tcPr>
          <w:p>
            <w:pPr>
              <w:spacing w:after="0"/>
              <w:rPr>
                <w:sz w:val="20"/>
                <w:szCs w:val="20"/>
                <w:color w:val="auto"/>
              </w:rPr>
            </w:pPr>
          </w:p>
        </w:tc>
      </w:tr>
      <w:tr>
        <w:trPr>
          <w:trHeight w:val="178"/>
        </w:trPr>
        <w:tc>
          <w:tcPr>
            <w:tcW w:w="6140" w:type="dxa"/>
            <w:vAlign w:val="bottom"/>
            <w:gridSpan w:val="3"/>
          </w:tcPr>
          <w:p>
            <w:pPr>
              <w:jc w:val="center"/>
              <w:ind w:left="1245"/>
              <w:spacing w:after="0"/>
              <w:rPr>
                <w:sz w:val="20"/>
                <w:szCs w:val="20"/>
                <w:color w:val="auto"/>
              </w:rPr>
            </w:pPr>
            <w:r>
              <w:rPr>
                <w:rFonts w:ascii="Times New Roman" w:cs="Times New Roman" w:eastAsia="Times New Roman" w:hAnsi="Times New Roman"/>
                <w:sz w:val="14"/>
                <w:szCs w:val="14"/>
                <w:b w:val="1"/>
                <w:bCs w:val="1"/>
                <w:color w:val="auto"/>
                <w:w w:val="95"/>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2"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right="10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900" w:type="dxa"/>
            <w:vAlign w:val="bottom"/>
            <w:gridSpan w:val="3"/>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900" w:type="dxa"/>
            <w:vAlign w:val="bottom"/>
            <w:gridSpan w:val="3"/>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r>
      <w:tr>
        <w:trPr>
          <w:trHeight w:val="275"/>
        </w:trPr>
        <w:tc>
          <w:tcPr>
            <w:tcW w:w="10740" w:type="dxa"/>
            <w:vAlign w:val="bottom"/>
            <w:gridSpan w:val="6"/>
          </w:tcPr>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680" w:type="dxa"/>
            <w:vAlign w:val="bottom"/>
          </w:tcPr>
          <w:p>
            <w:pPr>
              <w:spacing w:after="0"/>
              <w:rPr>
                <w:sz w:val="23"/>
                <w:szCs w:val="23"/>
                <w:color w:val="auto"/>
              </w:rPr>
            </w:pPr>
          </w:p>
        </w:tc>
      </w:tr>
      <w:tr>
        <w:trPr>
          <w:trHeight w:val="237"/>
        </w:trPr>
        <w:tc>
          <w:tcPr>
            <w:tcW w:w="107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680" w:type="dxa"/>
            <w:vAlign w:val="bottom"/>
          </w:tcPr>
          <w:p>
            <w:pPr>
              <w:spacing w:after="0"/>
              <w:rPr>
                <w:sz w:val="20"/>
                <w:szCs w:val="20"/>
                <w:color w:val="auto"/>
              </w:rPr>
            </w:pPr>
          </w:p>
        </w:tc>
      </w:tr>
      <w:tr>
        <w:trPr>
          <w:trHeight w:val="205"/>
        </w:trPr>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362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 at July 31, 2013</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1940" w:type="dxa"/>
            <w:vAlign w:val="bottom"/>
          </w:tcPr>
          <w:p>
            <w:pPr>
              <w:spacing w:after="0"/>
              <w:rPr>
                <w:sz w:val="19"/>
                <w:szCs w:val="19"/>
                <w:color w:val="auto"/>
              </w:rPr>
            </w:pPr>
          </w:p>
        </w:tc>
        <w:tc>
          <w:tcPr>
            <w:tcW w:w="2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8"/>
              </w:rPr>
              <w:t>Common stock, $</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0.01 par value</w:t>
            </w:r>
          </w:p>
        </w:tc>
        <w:tc>
          <w:tcPr>
            <w:tcW w:w="17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101,102,388</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
        </w:trPr>
        <w:tc>
          <w:tcPr>
            <w:tcW w:w="19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4"/>
        </w:trPr>
        <w:tc>
          <w:tcPr>
            <w:tcW w:w="19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08" w:right="2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20" w:type="dxa"/>
            <w:vAlign w:val="bottom"/>
          </w:tcPr>
          <w:p>
            <w:pPr>
              <w:spacing w:after="0"/>
              <w:rPr>
                <w:sz w:val="20"/>
                <w:szCs w:val="20"/>
                <w:color w:val="auto"/>
              </w:rPr>
            </w:pPr>
          </w:p>
        </w:tc>
      </w:tr>
      <w:tr>
        <w:trPr>
          <w:trHeight w:val="324"/>
        </w:trPr>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20" w:type="dxa"/>
            <w:vAlign w:val="bottom"/>
          </w:tcPr>
          <w:p>
            <w:pPr>
              <w:spacing w:after="0"/>
              <w:rPr>
                <w:sz w:val="24"/>
                <w:szCs w:val="24"/>
                <w:color w:val="auto"/>
              </w:rPr>
            </w:pPr>
          </w:p>
        </w:tc>
      </w:tr>
      <w:tr>
        <w:trPr>
          <w:trHeight w:val="286"/>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4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(unaudited) – June 30, 2013 and December 31, 2012</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40" w:type="dxa"/>
            <w:vAlign w:val="bottom"/>
            <w:gridSpan w:val="1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(unaudited) – Three and six months ended June 30, 2013 and 2012</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6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Condensed Consolidated Statements of Comprehensive Income (unaudited) – Three and six months ended June 30, 2013 and</w:t>
              </w:r>
            </w:hyperlink>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780" w:type="dxa"/>
            <w:vAlign w:val="bottom"/>
            <w:gridSpan w:val="2"/>
          </w:tcPr>
          <w:p>
            <w:pPr>
              <w:ind w:left="440"/>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2012</w:t>
              </w:r>
            </w:hyperlink>
          </w:p>
        </w:tc>
        <w:tc>
          <w:tcPr>
            <w:tcW w:w="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6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40" w:type="dxa"/>
            <w:vAlign w:val="bottom"/>
            <w:gridSpan w:val="1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(unaudited) – Six months ended June 30, 2013 and 2012</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0" w:type="dxa"/>
            <w:vAlign w:val="bottom"/>
            <w:tcBorders>
              <w:top w:val="single" w:sz="8" w:color="0000EE"/>
            </w:tcBorders>
            <w:gridSpan w:val="8"/>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Condensed Consolidated Statement of Stockholders’ Equity (unaudited) – Six months ended June 30, 2013</w:t>
              </w:r>
            </w:hyperlink>
          </w:p>
        </w:tc>
        <w:tc>
          <w:tcPr>
            <w:tcW w:w="134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600" w:type="dxa"/>
            <w:vAlign w:val="bottom"/>
          </w:tcPr>
          <w:p>
            <w:pPr>
              <w:spacing w:after="0"/>
              <w:rPr>
                <w:sz w:val="24"/>
                <w:szCs w:val="24"/>
                <w:color w:val="auto"/>
              </w:rPr>
            </w:pPr>
          </w:p>
        </w:tc>
        <w:tc>
          <w:tcPr>
            <w:tcW w:w="4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Notes to Condensed Consolidated Financial Statements (unaudited)</w:t>
              </w:r>
            </w:hyperlink>
          </w:p>
        </w:tc>
        <w:tc>
          <w:tcPr>
            <w:tcW w:w="464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2"/>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10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2"/>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Controls and Procedures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160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820" w:type="dxa"/>
            <w:vAlign w:val="bottom"/>
          </w:tcPr>
          <w:p>
            <w:pPr>
              <w:spacing w:after="0"/>
              <w:rPr>
                <w:sz w:val="20"/>
                <w:szCs w:val="20"/>
                <w:color w:val="auto"/>
              </w:rPr>
            </w:pPr>
          </w:p>
        </w:tc>
      </w:tr>
      <w:tr>
        <w:trPr>
          <w:trHeight w:val="286"/>
        </w:trPr>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900" w:type="dxa"/>
            <w:vAlign w:val="bottom"/>
            <w:gridSpan w:val="5"/>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Legal Proceedings</w:t>
              </w:r>
            </w:hyperlink>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Risk Factors</w:t>
              </w:r>
            </w:hyperlink>
          </w:p>
        </w:tc>
        <w:tc>
          <w:tcPr>
            <w:tcW w:w="5600" w:type="dxa"/>
            <w:vAlign w:val="bottom"/>
            <w:gridSpan w:val="2"/>
          </w:tcPr>
          <w:p>
            <w:pPr>
              <w:spacing w:after="0"/>
              <w:rPr>
                <w:sz w:val="24"/>
                <w:szCs w:val="24"/>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04"/>
        </w:trPr>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900" w:type="dxa"/>
            <w:vAlign w:val="bottom"/>
            <w:gridSpan w:val="5"/>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Unregistered Sales of Equity Securities and Use of Proceeds</w:t>
              </w:r>
            </w:hyperlink>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42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Exhibits</w:t>
              </w:r>
            </w:hyperlink>
          </w:p>
        </w:tc>
        <w:tc>
          <w:tcPr>
            <w:tcW w:w="26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4"/>
        </w:trPr>
        <w:tc>
          <w:tcPr>
            <w:tcW w:w="1600" w:type="dxa"/>
            <w:vAlign w:val="bottom"/>
            <w:gridSpan w:val="3"/>
          </w:tcPr>
          <w:p>
            <w:pPr>
              <w:ind w:left="44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83"/>
        </w:trPr>
        <w:tc>
          <w:tcPr>
            <w:tcW w:w="4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240" w:type="dxa"/>
            <w:vAlign w:val="bottom"/>
            <w:gridSpan w:val="4"/>
          </w:tcPr>
          <w:p>
            <w:pPr>
              <w:ind w:left="4080"/>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1320"/>
          </w:cols>
          <w:pgMar w:left="240" w:top="2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ind w:left="39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2,028,229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146,386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207,031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2,490,335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4,760,886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324,269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67,157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7,773,339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208,005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744,225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Gaming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162,302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Construction retention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1,368,044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6,010,763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concession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61,648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125,647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7,595,775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400,000,000 shares authorized; 114,070,993 and 113,730,442 shares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101,102,388 and 100,866,712 shares outstanding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 12,968,605 and 12,863,730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(1,141,809)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(1,127,947)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873,874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Wynn Resorts, Limited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(88,028)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265,592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177,564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7,773,339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1,016,148</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953,390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2,122,651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2,002,669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124,880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161,137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101,402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1,418,122</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1,340,809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2,886,354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2,748,640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(85,849)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(87,602)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(175,427)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1,332,273</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1,253,207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2,710,927</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2,566,705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645,688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1,362,610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1,320,344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84,522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169,340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46,108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227,290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(11,225)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93,463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1,058,249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989,084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2,103,255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2,042,483</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274,024</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607,672</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(73,764)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(73,874)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(149,141)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(26,578)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(26,578)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(80,184)</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(146,830)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194,553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199,293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464,860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(62,931)</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(132,112)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138,064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278,628</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income per common share:</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 attributable to Wynn Resorts,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101,010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21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5"/>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$192,716</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$199,293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$ 464,860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$ 397,702</w:t>
            </w:r>
          </w:p>
        </w:tc>
        <w:tc>
          <w:tcPr>
            <w:tcW w:w="100" w:type="dxa"/>
            <w:vAlign w:val="bottom"/>
            <w:shd w:val="clear" w:color="auto" w:fill="CCEEFF"/>
          </w:tcPr>
          <w:p>
            <w:pPr>
              <w:spacing w:after="0"/>
              <w:rPr>
                <w:sz w:val="18"/>
                <w:szCs w:val="18"/>
                <w:color w:val="auto"/>
              </w:rPr>
            </w:pPr>
          </w:p>
        </w:tc>
      </w:tr>
      <w:tr>
        <w:trPr>
          <w:trHeight w:val="3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12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895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gridSpan w:val="3"/>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(1,786)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(loss) gain on available-for-sale securities, net of tax</w:t>
            </w:r>
          </w:p>
        </w:tc>
        <w:tc>
          <w:tcPr>
            <w:tcW w:w="120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(345)</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4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(184)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193,266</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462,890</w:t>
            </w:r>
          </w:p>
        </w:tc>
        <w:tc>
          <w:tcPr>
            <w:tcW w:w="5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20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(63,185)</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(61,210)</w:t>
            </w:r>
          </w:p>
        </w:tc>
        <w:tc>
          <w:tcPr>
            <w:tcW w:w="14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(131,641)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(119,486)</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Wynn Resorts, Limited</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130,081</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137,853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$ 331,249</w:t>
            </w:r>
          </w:p>
        </w:tc>
        <w:tc>
          <w:tcPr>
            <w:tcW w:w="5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$ 279,884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5"/>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464,860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(7,409)</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deferred financing costs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of unconsolidated affiliates, net of distributions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(4,930)</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660,822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(189,722)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(115,341)</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corporate debt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(121,408)</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or maturity of corporate debt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Deposits and purchase of other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(3,568)</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(125,106)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(179,975)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(597,435)</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rate swap settlement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(2,368)</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long-term land concession obligation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(11,268)</w:t>
            </w: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(100,859)</w:t>
            </w:r>
          </w:p>
        </w:tc>
      </w:tr>
      <w:tr>
        <w:trPr>
          <w:trHeight w:val="230"/>
        </w:trPr>
        <w:tc>
          <w:tcPr>
            <w:tcW w:w="20" w:type="dxa"/>
            <w:vAlign w:val="bottom"/>
          </w:tcPr>
          <w:p>
            <w:pPr>
              <w:spacing w:after="0"/>
              <w:rPr>
                <w:sz w:val="20"/>
                <w:szCs w:val="20"/>
                <w:color w:val="auto"/>
              </w:rPr>
            </w:pPr>
          </w:p>
        </w:tc>
        <w:tc>
          <w:tcPr>
            <w:tcW w:w="7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(483,681)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8"/>
                <w:szCs w:val="18"/>
                <w:color w:val="auto"/>
              </w:rPr>
            </w:pPr>
          </w:p>
        </w:tc>
      </w:tr>
      <w:tr>
        <w:trPr>
          <w:trHeight w:val="22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670,602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1,725,219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1,262,587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2,028,229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1,933,189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2" w:right="239" w:bottom="1440" w:gutter="0" w:footer="0" w:header="0"/>
        </w:sectPr>
      </w:pPr>
    </w:p>
    <w:bookmarkStart w:id="6" w:name="page7"/>
    <w:bookmarkEnd w:id="6"/>
    <w:p>
      <w:pPr>
        <w:jc w:val="center"/>
        <w:ind w:left="260" w:right="256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 CONDENSED CONSOLIDATED STATEMENT OF STOCKHOLDERS’ EQUITY (amounts in thousands, except share data) (unaudited)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6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0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Resorts,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Ltd.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98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2"/>
                <w:szCs w:val="12"/>
                <w:color w:val="auto"/>
              </w:rPr>
            </w:pPr>
          </w:p>
        </w:tc>
        <w:tc>
          <w:tcPr>
            <w:tcW w:w="920" w:type="dxa"/>
            <w:vAlign w:val="bottom"/>
            <w:gridSpan w:val="2"/>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paid-in</w:t>
            </w:r>
          </w:p>
        </w:tc>
        <w:tc>
          <w:tcPr>
            <w:tcW w:w="12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outstanding</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4"/>
                <w:szCs w:val="14"/>
                <w:color w:val="auto"/>
              </w:rPr>
            </w:pPr>
          </w:p>
        </w:tc>
        <w:tc>
          <w:tcPr>
            <w:tcW w:w="92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3"/>
              </w:rPr>
              <w:t>income</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January 1, 2013</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100,866,712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$1,137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8"/>
              </w:rPr>
              <w:t>$(1,127,947)</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818,821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4,177</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44,775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(259,037)</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362,969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103,932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332,748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332,748</w:t>
            </w: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132,112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464,860</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Currency translation adjustment</w:t>
            </w: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(1,291)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(1,291)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(495)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(1,786)</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 loss on investments</w:t>
            </w:r>
          </w:p>
        </w:tc>
        <w:tc>
          <w:tcPr>
            <w:tcW w:w="9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(208)</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(208)</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(184)</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stock options</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292,951</w:t>
            </w: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15,134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15,137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15,137</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Cancellation of restricted stock</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(77,500)</w:t>
            </w:r>
          </w:p>
        </w:tc>
        <w:tc>
          <w:tcPr>
            <w:tcW w:w="5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 of treasury stock</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(104,875)</w:t>
            </w:r>
          </w:p>
        </w:tc>
        <w:tc>
          <w:tcPr>
            <w:tcW w:w="5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shd w:val="clear" w:color="auto" w:fill="CCEEFF"/>
          </w:tcPr>
          <w:p>
            <w:pPr>
              <w:jc w:val="right"/>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(13,862)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(13,862)</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(13,862)</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Issuance of restricted stock</w:t>
            </w: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125,100</w:t>
            </w:r>
          </w:p>
        </w:tc>
        <w:tc>
          <w:tcPr>
            <w:tcW w:w="2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2"/>
                <w:szCs w:val="12"/>
                <w:color w:val="auto"/>
              </w:rPr>
            </w:pPr>
          </w:p>
        </w:tc>
        <w:tc>
          <w:tcPr>
            <w:tcW w:w="920" w:type="dxa"/>
            <w:vAlign w:val="bottom"/>
            <w:gridSpan w:val="2"/>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dividends</w:t>
            </w: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(201,435)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(200,954)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(229,611)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(430,565)</w:t>
            </w:r>
          </w:p>
        </w:tc>
        <w:tc>
          <w:tcPr>
            <w:tcW w:w="0" w:type="dxa"/>
            <w:vAlign w:val="bottom"/>
          </w:tcPr>
          <w:p>
            <w:pPr>
              <w:spacing w:after="0"/>
              <w:rPr>
                <w:sz w:val="1"/>
                <w:szCs w:val="1"/>
                <w:color w:val="auto"/>
              </w:rPr>
            </w:pPr>
          </w:p>
        </w:tc>
      </w:tr>
      <w:tr>
        <w:trPr>
          <w:trHeight w:val="132"/>
        </w:trPr>
        <w:tc>
          <w:tcPr>
            <w:tcW w:w="3060" w:type="dxa"/>
            <w:vAlign w:val="bottom"/>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Excess tax benefits from stock-based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10,068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10,068</w:t>
            </w: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10,068</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Stock-based compensation</w:t>
            </w: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29,371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29,964</w:t>
            </w:r>
          </w:p>
        </w:tc>
        <w:tc>
          <w:tcPr>
            <w:tcW w:w="0" w:type="dxa"/>
            <w:vAlign w:val="bottom"/>
          </w:tcPr>
          <w:p>
            <w:pPr>
              <w:spacing w:after="0"/>
              <w:rPr>
                <w:sz w:val="1"/>
                <w:szCs w:val="1"/>
                <w:color w:val="auto"/>
              </w:rPr>
            </w:pPr>
          </w:p>
        </w:tc>
      </w:tr>
      <w:tr>
        <w:trPr>
          <w:trHeight w:val="156"/>
        </w:trPr>
        <w:tc>
          <w:tcPr>
            <w:tcW w:w="30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June 30, 2013</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101,102,388</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1,141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(1,141,809</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873,874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2,678</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176,088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(88,028)</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265,592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177,564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2" w:right="239" w:bottom="1440" w:gutter="0" w:footer="0" w:header="0"/>
        </w:sectPr>
      </w:pPr>
    </w:p>
    <w:bookmarkStart w:id="7" w:name="page8"/>
    <w:bookmarkEnd w:id="7"/>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 NOTES TO CONDENSED CONSOLIDATED FINANCIAL STATEMENTS (Unaudited)</w:t>
      </w:r>
    </w:p>
    <w:p>
      <w:pPr>
        <w:spacing w:after="0" w:line="168" w:lineRule="exact"/>
        <w:rPr>
          <w:sz w:val="20"/>
          <w:szCs w:val="20"/>
          <w:color w:val="auto"/>
        </w:rPr>
      </w:pPr>
    </w:p>
    <w:p>
      <w:pPr>
        <w:ind w:left="240" w:right="8240" w:hanging="232"/>
        <w:spacing w:after="0" w:line="345" w:lineRule="auto"/>
        <w:tabs>
          <w:tab w:leader="none" w:pos="2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i w:val="1"/>
          <w:iCs w:val="1"/>
          <w:color w:val="auto"/>
        </w:rPr>
        <w:t>Organization</w:t>
      </w:r>
    </w:p>
    <w:p>
      <w:pPr>
        <w:spacing w:after="0" w:line="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currently owns and operates casino hotel resort properties in Las Vegas, Nevada and Macau.</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Macau operations consist of a resort destination casino located in the Macau Special Administrative Region of the People’s Republic of China featuring two luxury hotel towers with a total of 1,008 spacious guest rooms and suites, approximately 275,000 square feet of casino space, casual and fine dining in eight restaurants, approximately 57,000 square feet of retail space, recreation and leisure facilities, including two health clubs and spas and a pool.</w:t>
      </w:r>
    </w:p>
    <w:p>
      <w:pPr>
        <w:spacing w:after="0" w:line="132"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 October 2009, Wynn Macau, Limited, an indirect wholly owned subsidiary of the Company, listed its ordinary shares of common stock on The Stock Exchange of Hong Kong Limited. Through an initial public offering, including the over allotment, Wynn Macau, Limited sold 1,437,500,000 shares (27.7%) of this subsidiary’s common stock.</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Las Vegas operations feature two luxury hotel towers with a total of 4,748 spacious guest rooms, suites and villas, approximately 186,000 square feet of casino space, 35 food and beverage outlets featuring signature chefs, an on-site 18-hole golf course, approximately 284,000 square feet of meeting and convention space, a Ferrari and Maserati dealership, approximately 96,000 square feet of retail space as well as two showrooms; three nightclubs and a beach club.</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2013,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purchase maturities of three months or less. Cash equivalents are carried at cost, which approximates fair value. Cash equivalents of $1,036.2 million and $969.2 million at June 30, 2013 and December 31, 2012, respectively, were invested in time deposits, money market accounts and commercial paper. In addition, the Company held bank deposits and cash on hand of approximately $992 million and $756 million as of June 30, 2013 and December 31, 2012, respectively.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2" w:right="259" w:bottom="1440" w:gutter="0" w:footer="0" w:header="0"/>
        </w:sectPr>
      </w:pPr>
    </w:p>
    <w:bookmarkStart w:id="8" w:name="page9"/>
    <w:bookmarkEnd w:id="8"/>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Cash and Investment Securities</w:t>
      </w:r>
    </w:p>
    <w:p>
      <w:pPr>
        <w:spacing w:after="0" w:line="92"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 xml:space="preserve">Restricted cash balances totaled approximately $243 million and $99.2 million at June 30, 2013 and December 31, 2012, respectively. At June 30, 2013, the Company’s restricted cash consists of funds held for the purpose of redeeming, in November 2013, the portion of the Wynn Las Vegas 7 </w:t>
      </w:r>
      <w:r>
        <w:rPr>
          <w:rFonts w:ascii="Times New Roman" w:cs="Times New Roman" w:eastAsia="Times New Roman" w:hAnsi="Times New Roman"/>
          <w:sz w:val="10"/>
          <w:szCs w:val="10"/>
          <w:color w:val="auto"/>
        </w:rPr>
        <w:t>7</w:t>
      </w:r>
      <w:r>
        <w:rPr>
          <w:rFonts w:ascii="Times New Roman" w:cs="Times New Roman" w:eastAsia="Times New Roman" w:hAnsi="Times New Roman"/>
          <w:sz w:val="16"/>
          <w:szCs w:val="16"/>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6"/>
          <w:szCs w:val="16"/>
          <w:color w:val="auto"/>
        </w:rPr>
        <w:t>% First Mortgage Notes due 2017 that were not tendered in May 2013 in the cash tender offer (the “tender offer”). For more information on the Wynn Las Vegas tender offer, see Note 9 – “Long-Term Debt”. At December 31, 2012, the Company’s restricted cash consisted of certain proceeds of the Company’s financing activities that were restricted by the agreements governing the Company’s debt instruments for the payment of certain Cotai related construction and development costs.</w:t>
      </w:r>
    </w:p>
    <w:p>
      <w:pPr>
        <w:spacing w:after="0" w:line="10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short-term and long-term investments in domestic and foreign corporate debt securities and commercial paper. The Company’s investment policy limits the amount of exposure to any one issuer with the objective of minimizing the potential risk of principal loss. Management determines the appropriate classification (held-to-maturity or 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the stated interest on such securities.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2013 and December 31, 2012, approximately 83% and 84%,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Accounts receivable, including casino and hotel receivables, are typically non-interest bearing and are initially recorded at cost. Accounts are written off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management deems them to be uncollectible or after two years, whichever period is shorter. Recoveries of accounts previously written off are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when received. An allowance for doubtful accounts is maintained to reduce the Company’s receivables to their estimated carrying amount, which approximates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The allowance is estimated based on specific review of customer accounts as well as management’s experience with collection trends in the casino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industry and current economic and business conditions. During the quarter ended June 30, 2013, the Company recorded an adjustment to its reserve estimates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casino accounts receivable based on the results of historical collection patterns and current collection trends. This adjustment benefitted operating income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$14.9 million and net income attributable to Wynn Resorts, Limited by $12 million (or $0.12 per share on a fully diluted basis for the three and six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2013). This change in estimate was the primary factor that resulted in an $11.2 million credit to the provision for doubtful accounts for the quarter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2013.</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quarter ended June 30, 2012, the Company recorded a similar adjustment which benefitted operating income by $30.9 million and net income attributable to Wynn Resorts, Limited by $23.3 million (or $0.23 per share and $0.22 per share on a fully diluted basis for the three and six months ended June 30, 2012, respectively). This change in estimate was the primary factor that resulted in a $17.3 million credit to the provision for doubtful accounts for the quarter ended June 30, 2012.</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2" w:right="25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Price Promissory Note</w:t>
      </w:r>
    </w:p>
    <w:p>
      <w:pPr>
        <w:spacing w:after="0" w:line="92"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Based on the Board of Directors’ finding of “unsuitability,” on February 18, 2012, the Company redeemed and cancelled Aruze USA, Inc.’s 24,549,222 shares of Wynn Resorts’ common stock. On February 18, 2012, the Company issued a subordinated Redemption Price Promissory Note (the “Redemption Note”) with a principal amount of approximately $1.94 billion in redemption of all of the shares of Wynn Resorts’ common stock held by Aruze USA, Inc.</w:t>
      </w:r>
    </w:p>
    <w:p>
      <w:pPr>
        <w:spacing w:after="0" w:line="97"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Company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 – “Commitments and Contingencies”); the outcome of on-going investigations by the Nevada Gaming Control Board and/or other governmental regulatory agencies;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 For more information on the redemption and ongoing litigation, please see Note 15 – “Commitments and Contingencies.”</w:t>
      </w: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9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3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8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2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$12,173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$12,804</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$25,229</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25,689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3,977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41,088</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42,470</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85,466</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88,976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80" w:type="dxa"/>
            <w:vAlign w:val="bottom"/>
            <w:vMerge w:val="restart"/>
          </w:tcPr>
          <w:p>
            <w:pPr>
              <w:jc w:val="right"/>
              <w:ind w:right="1112"/>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2" w:right="25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Gaming Taxes</w:t>
      </w:r>
    </w:p>
    <w:p>
      <w:pPr>
        <w:spacing w:after="0" w:line="9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These taxes totaled approximately $462 million and $443.1 million for the three months ended June 30, 2013 and 2012, respectively. These taxes totaled approximately $943.2 million and $907.6 million for the six months ended June 30, 2013 and 2012, respectively.</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9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takes place and such costs are primarily included in general and administrative expenses. For the three months ended June 30, 2013 and 2012, advertising costs totaled approximately $6.1 million and $6.6 million, respectively. These costs totaled approximately $12.4 million and $11.3 million for the six months ended June 30, 2013 and 2012, respectively.</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92"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assets (liabilities) carried at fair value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88"/>
              </w:rPr>
              <w:t>Prices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Active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Markets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r>
      <w:tr>
        <w:trPr>
          <w:trHeight w:val="165"/>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June 30, 2013</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1,036,230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215,420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820,810</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available-for-sale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243,038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 Promissory Note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(1,936,443)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(1,936,443)</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322"/>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2012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80,434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888,732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279,221</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279,221</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Price Promissory Note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(1,936,443)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(1,936,443)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(3,938)</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As of June 30, 2013 and December 31, 2012, approximately 60% and 77% of the Company’s cash equivalents categorized as Level 2 were deposits held in foreign currencies, respectively.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92"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In July 2013, the Financial Accounting Standards Board (“FASB”) issued an accounting standards update that amends the presentation requirements of an unrecognized tax benefit when a loss or other carryforward exists. The update would require the netting of unrecognized tax benefits against a deferred tax asset for a loss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2" w:right="239" w:bottom="1440" w:gutter="0" w:footer="0" w:header="0"/>
        </w:sectPr>
      </w:pPr>
    </w:p>
    <w:bookmarkStart w:id="11" w:name="page12"/>
    <w:bookmarkEnd w:id="11"/>
    <w:p>
      <w:pPr>
        <w:ind w:right="10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carryforward that would apply in settlement of the uncertain tax positions. The effective date for this update is for the annual and interim periods beginning after December 15, 2013. The Company is currently evaluating the impact, if any, of adopting this statement on its condensed consolidated financial statements.</w:t>
      </w:r>
    </w:p>
    <w:p>
      <w:pPr>
        <w:spacing w:after="0" w:line="7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February 2013, the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Company has adopted this update; see Note 4 – “Accumulated Other Comprehensive Income.”</w:t>
      </w:r>
    </w:p>
    <w:p>
      <w:pPr>
        <w:spacing w:after="0" w:line="13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update did not have a material impact on the Company’s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92"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includes stock options and nonvested stock. For the six months ended June 30, 2013, basic and diluted EPS was based on 100.4 million shares and 101.5 million shares, respectively, compared to 106.2 million shares and 107.5 million shares for basic and diluted EPS, respectively, for the six months ended June 30, 2012. The decrease was largely due to the redemption of Aruze USA, Inc.’s 24.5 million shares on February 18, 2012, as described in Note 15 – “Commitments and Contingencies.”</w:t>
      </w:r>
    </w:p>
    <w:p>
      <w:pPr>
        <w:spacing w:after="0" w:line="108"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(amounts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calculation of basic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100,484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100,361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Potential dilution from the assumed exercise of stock options and nonvested stock</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Weighted average common and common equivalent shares outstanding (used in calculation of diluted</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jc w:val="right"/>
              <w:ind w:right="5872"/>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101,549</w:t>
            </w:r>
          </w:p>
        </w:tc>
        <w:tc>
          <w:tcPr>
            <w:tcW w:w="3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101,010</w:t>
            </w:r>
          </w:p>
        </w:tc>
        <w:tc>
          <w:tcPr>
            <w:tcW w:w="3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101,493</w:t>
            </w:r>
          </w:p>
        </w:tc>
        <w:tc>
          <w:tcPr>
            <w:tcW w:w="3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Anti-dilutive stock options excluded from the calculation of diluted earnings per share</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 Ltd.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129,785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138,064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332,748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Wynn Resorts, Ltd. per common share, basic</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 Ltd. per common share,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jc w:val="right"/>
              <w:ind w:right="16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Accumulated Other Comprehensive Income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 in Accumulated other comprehensive income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9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gridSpan w:val="2"/>
          </w:tcPr>
          <w:p>
            <w:pPr>
              <w:jc w:val="right"/>
              <w:ind w:right="838"/>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 on</w:t>
            </w: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r>
      <w:tr>
        <w:trPr>
          <w:trHeight w:val="165"/>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income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0" w:type="dxa"/>
            <w:vAlign w:val="bottom"/>
            <w:tcBorders>
              <w:top w:val="single" w:sz="8" w:color="CCEEFF"/>
            </w:tcBorders>
            <w:shd w:val="clear" w:color="auto" w:fill="CCEEFF"/>
          </w:tcPr>
          <w:p>
            <w:pPr>
              <w:jc w:val="right"/>
              <w:ind w:right="65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 other comprehensive loss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142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2,678</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Supplemental Disclosure of Cash Flow Information</w:t>
      </w:r>
    </w:p>
    <w:p>
      <w:pPr>
        <w:spacing w:after="0" w:line="9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Interest paid for the six months ended June 30, 2013 and 2012 totaled approximately $164 million and $100 million, respectively. The increase in interest paid during the six months ended June 30, 2013 is due to the issuance of the Redemption Note and other indebtedness incurred during 2012. Capitalized interest was $3.4 million and $0.5 million for the six months ended June 30, 2013 and 2012, respectively.</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For the six months ended June 30, 2013, capital expenditures included an increase of $24.9 million in construction payables and retention. For the six months ended June 30, 2012, there were no changes in construction payables and retention included in capital expenditures.</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February 2012, the Company redeemed and cancelled 24,549,222 shares of common stock from a former stockholder and related party with the issuance of the $1.94 billion Redemption Note due in 2022. For details of this transaction see Note 9 – “Long-Term Debt” and Note 15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securities consisted of the following (amounts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Fair value</w:t>
            </w: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7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(net</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2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14"/>
                <w:szCs w:val="14"/>
                <w:color w:val="auto"/>
              </w:rPr>
            </w:pPr>
          </w:p>
        </w:tc>
        <w:tc>
          <w:tcPr>
            <w:tcW w:w="142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amount)</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June 30, 2013</w:t>
            </w: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Domestic and foreign corporate bonds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$201,140</w:t>
            </w:r>
          </w:p>
        </w:tc>
        <w:tc>
          <w:tcPr>
            <w:tcW w:w="7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(541)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$200,648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26,952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228,092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8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227,617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Domestic and foreign corporate bonds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$161,631</w:t>
            </w:r>
          </w:p>
        </w:tc>
        <w:tc>
          <w:tcPr>
            <w:tcW w:w="7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(369)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$161,356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18,704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180,335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8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180,059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For investments with unrealized losses as of June 30, 2013 and December 31, 2012,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2" w:right="239" w:bottom="1440" w:gutter="0" w:footer="0" w:header="0"/>
        </w:sectPr>
      </w:pPr>
    </w:p>
    <w:bookmarkStart w:id="13" w:name="page14"/>
    <w:bookmarkEnd w:id="13"/>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Each quarter, the Company validates the fair value pricing methodology to determine its consistency with applicable accounting guidance and to confirm that the securities are classified properly in the fair value hierarchy. The Company compares the pricing received from its vendors to independent sources for the same or similar securities and no adjustment to such prices have resulted.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amortized cost and estimated fair value of these investment securities at June 30, 2013, by contractual maturity, are as follows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$ 146,554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$ 146,386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1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81,538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1"/>
              </w:rPr>
              <w:t>$ 228,092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$ 227,617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Receivables, net</w:t>
            </w: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Receivables, net consisted of the following (amounts in thousands):</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4"/>
                <w:szCs w:val="24"/>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0" w:type="dxa"/>
            <w:vAlign w:val="bottom"/>
            <w:gridSpan w:val="4"/>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$232,667</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leases and other</w:t>
            </w:r>
          </w:p>
        </w:tc>
        <w:tc>
          <w:tcPr>
            <w:tcW w:w="1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296,862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86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(89,831)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(102,213)</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207,031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(amounts in thousands):</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4"/>
                <w:szCs w:val="24"/>
                <w:color w:val="auto"/>
              </w:rPr>
            </w:pP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0" w:type="dxa"/>
            <w:vAlign w:val="bottom"/>
            <w:gridSpan w:val="4"/>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732,209</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3,850,755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3,837,215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Airplanes</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1,655,472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1,646,506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interests in land</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4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283,076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6,972,990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6,778,470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(2,212,104)</w:t>
            </w:r>
          </w:p>
        </w:tc>
        <w:tc>
          <w:tcPr>
            <w:tcW w:w="200" w:type="dxa"/>
            <w:vAlign w:val="bottom"/>
          </w:tcPr>
          <w:p>
            <w:pPr>
              <w:spacing w:after="0"/>
              <w:rPr>
                <w:sz w:val="18"/>
                <w:szCs w:val="18"/>
                <w:color w:val="auto"/>
              </w:rPr>
            </w:pPr>
          </w:p>
        </w:tc>
        <w:tc>
          <w:tcPr>
            <w:tcW w:w="14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(2,050,571)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$ 4,760,886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$ 4,727,899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Long-Term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9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82"/>
        </w:trPr>
        <w:tc>
          <w:tcPr>
            <w:tcW w:w="9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Wynn Las Vegas First Mortgage Notes, due November 1, 2017, net of original issue discount of $3,041 at June 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2013 and $7,384 at December 31, 2012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222,254</w:t>
            </w:r>
          </w:p>
        </w:tc>
        <w:tc>
          <w:tcPr>
            <w:tcW w:w="2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492,616</w:t>
            </w:r>
          </w:p>
        </w:tc>
        <w:tc>
          <w:tcPr>
            <w:tcW w:w="120" w:type="dxa"/>
            <w:vAlign w:val="bottom"/>
            <w:shd w:val="clear" w:color="auto" w:fill="CCEEFF"/>
          </w:tcPr>
          <w:p>
            <w:pPr>
              <w:spacing w:after="0"/>
              <w:rPr>
                <w:sz w:val="20"/>
                <w:szCs w:val="20"/>
                <w:color w:val="auto"/>
              </w:rPr>
            </w:pPr>
          </w:p>
        </w:tc>
      </w:tr>
      <w:tr>
        <w:trPr>
          <w:trHeight w:val="202"/>
        </w:trPr>
        <w:tc>
          <w:tcPr>
            <w:tcW w:w="9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Wynn Las Vegas First Mortgage Notes, due May 1, 2020, net of original issue discount of $1,550 at June 30, 2013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$1,632 at December 31, 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350,378</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Wynn Las Vegas First Mortgage Notes, due August 15,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1,320,000</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Wynn Las Vegas First Mortgage Notes, due March 15, 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Wynn Las Vegas Senior Notes, due May 30, 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9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Wynn Macau Senior Term Loan Facilities (as amended July 2012), due July 31, 2017 and July 31, 2018: interest at LIBOR 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HIBOR plus 1.75%-2.50%, net of original issue discount of $3,401 at June 30, 2013 and $3,737 at December 31, 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749,433</w:t>
            </w:r>
          </w:p>
        </w:tc>
        <w:tc>
          <w:tcPr>
            <w:tcW w:w="120" w:type="dxa"/>
            <w:vAlign w:val="bottom"/>
          </w:tcPr>
          <w:p>
            <w:pPr>
              <w:spacing w:after="0"/>
              <w:rPr>
                <w:sz w:val="19"/>
                <w:szCs w:val="19"/>
                <w:color w:val="auto"/>
              </w:rPr>
            </w:pPr>
          </w:p>
        </w:tc>
      </w:tr>
      <w:tr>
        <w:trPr>
          <w:trHeight w:val="204"/>
        </w:trPr>
        <w:tc>
          <w:tcPr>
            <w:tcW w:w="92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Wynn Macau Senior Revolving Credit Facilities, (as amended July 2012) due July 31, 2017; interest at LIBOR or HIBOR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plus 1.75%-2.50%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1,936,443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1,936,443</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million Note Payable, due April 1, 2017; interest at LIBOR plus 1.25%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2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6,011,813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5,782,820</w:t>
            </w:r>
          </w:p>
        </w:tc>
        <w:tc>
          <w:tcPr>
            <w:tcW w:w="120" w:type="dxa"/>
            <w:vAlign w:val="bottom"/>
          </w:tcPr>
          <w:p>
            <w:pPr>
              <w:spacing w:after="0"/>
              <w:rPr>
                <w:sz w:val="19"/>
                <w:szCs w:val="19"/>
                <w:color w:val="auto"/>
              </w:rPr>
            </w:pPr>
          </w:p>
        </w:tc>
      </w:tr>
      <w:tr>
        <w:trPr>
          <w:trHeight w:val="217"/>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9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6,010,763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5,781,770</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First Mortgage Notes</w:t>
      </w:r>
    </w:p>
    <w:p>
      <w:pPr>
        <w:spacing w:after="0" w:line="92"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 xml:space="preserve">On May 15, 2013, Wynn Las Vegas, LLC (“Wynn Las Vegas”), an indirect wholly owned subsidiary of Wynn Resorts, Limited, commenced a cash tender offer (the “tender offer”) for any and all of the outstanding $500 million aggregate principal amount of the 7 </w:t>
      </w:r>
      <w:r>
        <w:rPr>
          <w:rFonts w:ascii="Times New Roman" w:cs="Times New Roman" w:eastAsia="Times New Roman" w:hAnsi="Times New Roman"/>
          <w:sz w:val="10"/>
          <w:szCs w:val="10"/>
          <w:color w:val="auto"/>
        </w:rPr>
        <w:t>7</w:t>
      </w:r>
      <w:r>
        <w:rPr>
          <w:rFonts w:ascii="Times New Roman" w:cs="Times New Roman" w:eastAsia="Times New Roman" w:hAnsi="Times New Roman"/>
          <w:sz w:val="16"/>
          <w:szCs w:val="16"/>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6"/>
          <w:szCs w:val="16"/>
          <w:color w:val="auto"/>
        </w:rPr>
        <w:t>% First Mortgage Notes due 2017 (the “2017 Notes”) of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10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retirement of debt in the accompanying Condensed Consolidated Statements of Income. In addition, upon the tender offer completion, the Issuers entered into a supplemental indenture, which eliminated substantially all of the restrictive covenants and certain events of default from the 2017 Indenture.</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Also in connection with this transaction, the Company expensed $6.7 million of unamortized debt issue costs and original issue discount related to the 2017 Notes and incurred other fees of approximately $0.3 million that are included in loss on retirement of debt in the accompanying Condensed Consolidated Statements of Income.</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2023 Notes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Separately, on May 22, 2013, the Issuers completed the issuance of $500 million aggregate principal amount of 4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Senior Notes due 2023 (the “2023 Notes”) pursuant to an indenture, dated as of May 22, 2013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2" w:right="2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“2023 Indenture”), among the Issuers, the Guarantors (as defined below)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may use any remaining net proceeds to redeem any and all of the 2017 Notes not previously tendered. In connection with the issuance of the 2023 Notes, the Company capitalized approximately $4.1 million of financing costs.</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2023 Notes will mature on May 30, 2023 and bear interest at the rate of 4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2023 Notes are the Issuers’ senior unsecured obligations and rank pari passu in right of payment with the Issuers’ outstanding 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xml:space="preserve">% First Mortgage Notes due 2020 (“7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xml:space="preserve">% 2020 Notes”), 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xml:space="preserve">% First Mortgage Notes due 2020 (the “7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xml:space="preserve">% 2020 Notes”) and 5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xml:space="preserve">% First Mortgage Notes due 2022 (the “2022 Notes” and, together with the 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xml:space="preserve">% 2020 Notes and 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3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0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3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Price Promissory Note</w:t>
      </w:r>
    </w:p>
    <w:p>
      <w:pPr>
        <w:spacing w:after="0" w:line="92"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the Company issued the Redemption Note to Aruze USA, Inc., a former stockholder and related party,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4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has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 – “Commitments and Contingencies”); the outcome of ongoing investigations by the Nevada Gaming Control Board and/or other governmental regulatory agencies;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w:t>
      </w:r>
    </w:p>
    <w:p>
      <w:pPr>
        <w:spacing w:after="0" w:line="139"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Aruze USA, Inc. (at the time a stockholder of Wynn Resorts), Universal Entertainment Corporation (Aruze USA, Inc.’s parent company), and Kazuo Okada (the majority shareholder of Universal Entertainment Corporation) (collectively, the “Okada Parties”) have challenged the redemption of Aruze USA, Inc.’s shares and the Company is currently involved in litigation with those parties as well as related shareholder derivative litigation. 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The Company is to have no responsibility for fees or costs of the account, and will receive a full release and indemnity related to the account. On February 14, 2013, the Company issued a check to Aruze USA, Inc. in the amount of $38.7 million, representing the interest payment</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2" w:right="259" w:bottom="1440" w:gutter="0" w:footer="0" w:header="0"/>
        </w:sectPr>
      </w:pPr>
    </w:p>
    <w:bookmarkStart w:id="17" w:name="page18"/>
    <w:bookmarkEnd w:id="17"/>
    <w:p>
      <w:pPr>
        <w:ind w:right="3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on the Redemption Note at that time. However, as of the date of this report, the check remains uncashed as the Okada Parties have not proposed a form of escrow agreement to the Company, as contemplated by the court’s order.</w:t>
      </w:r>
    </w:p>
    <w:p>
      <w:pPr>
        <w:spacing w:after="0" w:line="120" w:lineRule="exact"/>
        <w:rPr>
          <w:sz w:val="20"/>
          <w:szCs w:val="20"/>
          <w:color w:val="auto"/>
        </w:rPr>
      </w:pPr>
    </w:p>
    <w:p>
      <w:pPr>
        <w:jc w:val="both"/>
        <w:ind w:right="100" w:firstLine="456"/>
        <w:spacing w:after="0" w:line="289" w:lineRule="auto"/>
        <w:rPr>
          <w:sz w:val="20"/>
          <w:szCs w:val="20"/>
          <w:color w:val="auto"/>
        </w:rPr>
      </w:pPr>
      <w:r>
        <w:rPr>
          <w:rFonts w:ascii="Times New Roman" w:cs="Times New Roman" w:eastAsia="Times New Roman" w:hAnsi="Times New Roman"/>
          <w:sz w:val="16"/>
          <w:szCs w:val="16"/>
          <w:color w:val="auto"/>
        </w:rPr>
        <w:t>As further discussed in Note 15 – “Commitments and Contingencies”, on June 19, 2012, Elaine Wynn responded to the counterclaim and asserted a cross claim against Steve Wynn and Kazuo Okada seeking a declaration that (1) any and all of Elaine Wynn’s duties under the Stockholders Agreement be discharged;</w:t>
      </w:r>
    </w:p>
    <w:p>
      <w:pPr>
        <w:spacing w:after="0" w:line="1" w:lineRule="exact"/>
        <w:rPr>
          <w:sz w:val="20"/>
          <w:szCs w:val="20"/>
          <w:color w:val="auto"/>
        </w:rPr>
      </w:pPr>
    </w:p>
    <w:p>
      <w:pPr>
        <w:ind w:right="60" w:firstLine="8"/>
        <w:spacing w:after="0" w:line="251"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governing the Existing Notes (other than the 5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First Mortgage Notes due 2022) and the 2023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4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July 31, 2012, Wynn Macau, S.A. amended and restated its credit facilities, dated September 14, 2004 to expand the availability under the Wynn Macau S.A. senior secured bank facility to US$2.3 billion equivalent, consisting of a US$750 million equivalent fully funded senior term loan facility and a US$1.55 billion equivalent senior secured revolving credit facility. As of June 30, 2013, there were no amounts outstanding under the Wynn Macau Senior Revolving Credit Facility. Accordingly, the Company has availability of US$1.55 billion under the Amended Wynn Macau Credit Facilities.</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July 30, 2013, Wynn Macau, S.A. exercised its option to increase the senior term loan facility by US$200 million equivalent pursuant to the terms and provisions of the Amended Wynn Macau Credit Facilities. The US$200 million equivalent was fully funded as of July 31, 2013 and is required to be used for the payment of certain Cotai related construction and development costs. The additional US$200 million equivalent will mature on July 31, 2018 and will bear interest at HIBOR plus a margin between 1.75% to 2.50% based on Wynn Macau’s leverage ratio.</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2013, management believes the Company was in compliance with all debt covenants.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net book value of the Company’s outstanding first mortgage notes and senior notes was approximately $3.3 billion and $3.1 billion at June 30, 2013 and December 31, 2012, respectively. The estimated fair value of the Company’s outstanding first mortgage notes and senior notes, based on recent trades (using Level 2 inputs), was approximately $3.5 billion and $3.4 billion at June 30, 2013 and December 31, 2012, respectively. The net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 value of the Company’s other debt instruments, excluding the Redemption Note, was approximately $782.7 million and $783.4 million at June 30, 2013 and December 31, 2012, respectively. The estimated fair value of the Company’s other debt instruments was approximately $767.2 million and $760.8 million at June 30, 2013 and December 31, 2012, respectively. The estimated fair value of the Redemption Note (using Level 2 inputs) was approximately $1.94 billion at both June 30, 2013 and December 31, 2012.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10.Interest Rate Swaps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utilized Level 2 inputs as described in Note 2 – “Summary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June 30, 2013, the interest rate swaps were recorded as an asset of $12.7 million and included in deposits and other assets. As of December 31, 2012, the interest rate swaps were recorded as a liability of $3.9 million and included in other long-term liabilities.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 Swaps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currently has three interest rate swap agreements intended to hedge a portion of the underlying interest rate risk on borrowings under the Amended Wynn Macau Credit Facilities. Under two of the swap agreements, the Company pays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the third swap agreement, the Company pays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11.Related Party Transactions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Share Redemption of a Former Related Party</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among other things, restrictions on most of the shares which were subject to the terms of an existing stockholder agreement. Pursuant to the articles of incorporation, the Company issued the Redemption Note to Aruze USA, Inc., a former stockholder and related party, in redemption of the shares. The Okada Parties have challenged the redemption of Aruze USA, Inc.’s shares and the Company is currently involved in litigation with those parties as well as related shareholder derivative litigation.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June 30, 2013 and December 31, 2012, Mr. Wynn and the other officers and directors had a net deposit balance with the Company of approximately $1.1 million and $1 million, respectively.</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Villa Suite Lease</w:t>
      </w:r>
    </w:p>
    <w:p>
      <w:pPr>
        <w:spacing w:after="0" w:line="92"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On March 18, 2010, Mr. Wynn and Wynn Las Vegas entered into an Amended and Restated Agreement of Lease (the “Prior SW Lease”) for a villa suite to serve as Mr. Wynn’s personal residence. The 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suite is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 On May 7, 2013, Wynn Las Vegas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appraisal. The rental value for the villa suite will be re-determined every two years during the term of the Existing SW Lease by the Audit Committee. Certain services for, and maintenance of, the villa suite are included in the rental.</w:t>
      </w: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Aircraft Purchase Option Agreement</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name and Mr. Wynn’s persona in connection with its casino resorts. Under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274" w:right="279" w:bottom="1440" w:gutter="0" w:footer="0" w:header="0"/>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12.Property Charges and Other</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Property charges and other generally include costs related to the retirement of assets for remodels and asset abandonments. Property charges and other for the three and six months ended June 30, 2013 were $5.6 million and $11 million, respectively, which includes miscellaneous renovations and abandonments at our resorts, entertainment development costs and fees paid in connection with the termination of a contract. Property charges and other for the three and six months ended June 30, 2012 were $3.5 million and $13.8 million respectively.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13.Noncontrolling Interest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$62.9 million and $61.2 million for the three months ended June 30, 2013 and 2012, respectively. Net income attributable to noncontrolling interest was $132.1 million and $119.1 million for the six months ended June 30, 2013 and 2012, respectively.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14.Stock-Based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compensation cost relating both to stock options and nonvested stock is allocated as follows (amounts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r>
      <w:tr>
        <w:trPr>
          <w:trHeight w:val="165"/>
        </w:trPr>
        <w:tc>
          <w:tcPr>
            <w:tcW w:w="6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26,204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24,877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6,635</w:t>
            </w:r>
          </w:p>
        </w:tc>
        <w:tc>
          <w:tcPr>
            <w:tcW w:w="100" w:type="dxa"/>
            <w:vAlign w:val="bottom"/>
            <w:shd w:val="clear" w:color="auto" w:fill="CCEEFF"/>
          </w:tcPr>
          <w:p>
            <w:pPr>
              <w:spacing w:after="0"/>
              <w:rPr>
                <w:sz w:val="18"/>
                <w:szCs w:val="18"/>
                <w:color w:val="auto"/>
              </w:rPr>
            </w:pPr>
          </w:p>
        </w:tc>
      </w:tr>
      <w:tr>
        <w:trPr>
          <w:trHeight w:val="223"/>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28,746</w:t>
            </w:r>
          </w:p>
        </w:tc>
        <w:tc>
          <w:tcPr>
            <w:tcW w:w="5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29,868</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7,854</w:t>
            </w:r>
          </w:p>
        </w:tc>
        <w:tc>
          <w:tcPr>
            <w:tcW w:w="100" w:type="dxa"/>
            <w:vAlign w:val="bottom"/>
          </w:tcPr>
          <w:p>
            <w:pPr>
              <w:spacing w:after="0"/>
              <w:rPr>
                <w:sz w:val="19"/>
                <w:szCs w:val="19"/>
                <w:color w:val="auto"/>
              </w:rPr>
            </w:pPr>
          </w:p>
        </w:tc>
      </w:tr>
      <w:tr>
        <w:trPr>
          <w:trHeight w:val="217"/>
        </w:trPr>
        <w:tc>
          <w:tcPr>
            <w:tcW w:w="6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23"/>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28,794</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5,253</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29,964</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7,951</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339" w:lineRule="auto"/>
        <w:rPr>
          <w:sz w:val="20"/>
          <w:szCs w:val="20"/>
          <w:color w:val="auto"/>
        </w:rPr>
      </w:pPr>
      <w:r>
        <w:rPr>
          <w:rFonts w:ascii="Times New Roman" w:cs="Times New Roman" w:eastAsia="Times New Roman" w:hAnsi="Times New Roman"/>
          <w:sz w:val="16"/>
          <w:szCs w:val="16"/>
          <w:color w:val="auto"/>
        </w:rPr>
        <w:t>For the three months ended June 30, 2013, the Company recorded a charge, in accordance with applicable accounting standards, of approximately $23 million due to the retirement of the Company’s former chief operating officer and the related accelerated vesting of shares previously granted to him.</w:t>
      </w:r>
    </w:p>
    <w:p>
      <w:pPr>
        <w:spacing w:after="0" w:line="7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For the six months ended June 30, 2012, the Company reversed stock-based compensation expense allocated to casino operations related to stock options and restricted stock granted in 2008 with an approximate 8 year cliff vest provision that were forfeited during the first quarter of 2012.</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274" w:right="279" w:bottom="1440" w:gutter="0" w:footer="0" w:header="0"/>
        </w:sectPr>
      </w:pPr>
    </w:p>
    <w:bookmarkStart w:id="21" w:name="page22"/>
    <w:bookmarkEnd w:id="21"/>
    <w:p>
      <w:pPr>
        <w:ind w:right="8700" w:firstLine="8"/>
        <w:spacing w:after="0" w:line="387" w:lineRule="auto"/>
        <w:tabs>
          <w:tab w:leader="none" w:pos="23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Commitments and Contingencies </w:t>
      </w:r>
      <w:r>
        <w:rPr>
          <w:rFonts w:ascii="Times New Roman" w:cs="Times New Roman" w:eastAsia="Times New Roman" w:hAnsi="Times New Roman"/>
          <w:sz w:val="16"/>
          <w:szCs w:val="16"/>
          <w:b w:val="1"/>
          <w:bCs w:val="1"/>
          <w:i w:val="1"/>
          <w:iCs w:val="1"/>
          <w:color w:val="auto"/>
        </w:rPr>
        <w:t>Wynn Macau</w:t>
      </w: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i w:val="1"/>
          <w:iCs w:val="1"/>
          <w:color w:val="auto"/>
        </w:rPr>
        <w:t>Cotai Development and Land Concession Contract</w:t>
      </w:r>
    </w:p>
    <w:p>
      <w:pPr>
        <w:spacing w:after="0" w:line="92"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In September 2011, Palo Real Estate Company Limited (“Palo”) and Wynn Resorts (Macau) S.A.,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June 30, 2013 and December 31, 2012, the Company has recorded this obligation and related asset with $28.6 million and $27.9 million included as a current liability, respectively and $61.6 million and $76.2 million, respectively, included as a long-term liability. The Company is also required to make annual lease payments of $0.8 million during the resort construction period and annual payments of approximately $1.1 million once the development is completed.</w:t>
      </w:r>
    </w:p>
    <w:p>
      <w:pPr>
        <w:spacing w:after="0" w:line="113"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Company is constructing a full scale integrated resort containing a casino, luxury hotel, convention, retail, entertainment and food and beverage offerings on this land. The Company estimates the project budget to be approximately $4 billion and anticipates opening the resort in the first half of 2016. In February 2013, the Company started pre-foundation work and continues to remain on pace with the construction schedule.</w:t>
      </w:r>
    </w:p>
    <w:p>
      <w:pPr>
        <w:spacing w:after="0" w:line="13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July 29, 2013, Wynn Resorts Macau S.A., Palo and Leighton Contractors (Asia) Limited (as the general contractor) entered into a supplemental agreement concerning the construction of Wynn Macau Limited’s Cotai project and confirming, among other things, the guaranteed maximum price for the construction works undertaken by the general contractor (the “Contractor Works”). The July 29, 2013 agreement supplements the agreement between the same parties dated November 9, 2012 (both agreements collectively the “Cotai Construction Agreement”). The scope of the Contractor Works under the Cotai Construction Agreement includes construction, project management, substructure, structural, design and architectural works, facades, exterior finishes, certain interior finishes, mechanical, electrical and plumbing installations, external landscaping work, underground drainage and utilities service works. The general contractor must complete the Contractor Works in accordance with the detailed terms of the Cotai Construction Agreement in good faith and by furnishing its best skill and judgment. The general contractor is obligated to substantially complete the project in the first half of 2016 for a guaranteed maximum price of approximately HK$20 billion (approximately US$2.57 billion). An early completion bonus which has been factored in the guaranteed maximum price for achievement of substantial completion on or before January 25, 2016 will be paid to the general contractor if certain conditions are satisfied under the Cotai Construction Agreement. Both the contract time and guaranteed maximum price are subject to further adjustment under certain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9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Atlantic-Pacific Capital</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On May 3, 2010, Atlantic-Pacific Capital, Inc. (“APC”) filed an arbitration demand with JAMS, a private alternative dispute resolution provider, regarding an agreement with the Company. The action concerns a claim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2" w:right="23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compensation of approximately $32 million pursuant to an agreement entered into between APC and the Company on or about March 30, 2008, whereby APC was engaged to raise equity capital for a specific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matter is proceeding in arbitration. An arbitrator has been selected, and the parties are beginning the discovery process. The arbitration has been set for April 2014. Management believes that APC’s claims against the Company are without merit, and the Company intends to continue to defend this matter vigorously.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USA, Inc. and Affiliates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concluded an investigation after receiving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refused to acknowledge or abide by Wynn Resorts’ anti-bribery policies and refused to participate in the training all other directors received concerning these policies.</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each of the Okada Parties is an “unsuitable person”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and on February 24, 2012, he was removed from the Board of Directors of Wynn Macau, Limited. On February 22, 2013, Mr. Okada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38"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6"/>
          <w:szCs w:val="16"/>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both"/>
        <w:ind w:right="20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36"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June 19, 2012, Elaine Wynn responded to the Counterclaim and asserted a cross claim against Steve Wynn and Kazuo Okada seeking a declaration that</w:t>
      </w:r>
    </w:p>
    <w:p>
      <w:pPr>
        <w:spacing w:after="0" w:line="44" w:lineRule="exact"/>
        <w:rPr>
          <w:sz w:val="20"/>
          <w:szCs w:val="20"/>
          <w:color w:val="auto"/>
        </w:rPr>
      </w:pPr>
    </w:p>
    <w:p>
      <w:pPr>
        <w:ind w:right="20" w:firstLine="8"/>
        <w:spacing w:after="0" w:line="287" w:lineRule="auto"/>
        <w:tabs>
          <w:tab w:leader="none" w:pos="2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governing the Existing Notes (other than the 5 </w:t>
      </w:r>
      <w:r>
        <w:rPr>
          <w:rFonts w:ascii="Times New Roman" w:cs="Times New Roman" w:eastAsia="Times New Roman" w:hAnsi="Times New Roman"/>
          <w:sz w:val="10"/>
          <w:szCs w:val="10"/>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6"/>
          <w:szCs w:val="16"/>
          <w:color w:val="auto"/>
        </w:rPr>
        <w:t>% First Mortgage Notes due 2022) and the 2023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1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June 12, 2013, the Okada Parties filed a request to file a third amended counterclaim, but the amended pleading has not yet been filed.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may change due to the Stay.</w:t>
      </w:r>
    </w:p>
    <w:p>
      <w:pPr>
        <w:spacing w:after="0" w:line="13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The Company is to have no responsibility for fees or costs of the account, and will receive a full release and indemnity related to the account. On February 14, 2013, the Company issued a check to Aruze USA, Inc. in the amount of $38.7 million, representing the interest payment due on the Redemption Note at that time. However, as of the date of this report, the check remains uncashed as the Okada Parties have not proposed a form of escrow agreement to the Company, as contemplated by the court’s order.</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 – that is, potential violations of the Foreign Corrupt Practice Act and related fraudulent conduct – that form the basis of” the Company’s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w:t>
      </w:r>
    </w:p>
    <w:p>
      <w:pPr>
        <w:spacing w:after="0" w:line="14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August 2, 2013, the court stayed discovery in the indemnification action related to the government investigations (consistent with the Stay in the Redemption Action), and ordered that all other discovery be conducted within ninety (90) days. The court did not set a trial date; rather set the matter for a status check on January 10, 2014.</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Subject to the Stay,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 Commenced by Kazuo Okada</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Books and Records Action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served on those boards. The sole dissenting vote was cast by Mr. Okada whose stated objection was to the length of time over which the donation would occur, not its propriety.</w:t>
      </w:r>
    </w:p>
    <w:p>
      <w:pPr>
        <w:spacing w:after="0" w:line="141"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On January 11, 2012, Mr. Okada, in his then role as a Wynn Resorts’ director, commenced a writ proceeding in the Eighth Judicial District Court, Clark County, Nevada, seeking to compel the Company to produce certain books and records relating to the Company’s donation to the University of Macau, among other things.</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 a hearing on February 9, 2012, the Nevada state court held that, as a director of the Company, Mr. Okada had the right to make a reasonable inspection of the Company’s corporate books and records. Following that hearing, the Company released certain documents to Mr. Okada for his inspection. At a subsequent hearing on March 8, 2012, the court considered Mr. Okada’s request that the Company’s Board of Directors make additional documents available to him, and ruled that Mr. Okada was entitled to inspect two additional pages of documents. The Company promptly complied with the court’s ruling. On May 25, 2012, Mr. Okada amended his petition to request inspection of additional records. Following a hearing held on October 2, 2012, the court ruled that Mr. Okada is entitled to review certain additional Company documents from the 2000 to 2002 time period. The Company promptly complied with the court’s ruling. On November 2, 2012, Mr. Okada filed a motion to compel the production of additional documents and to depose a witness designated by the Company. At the conclusion of a hearing held on November 8, 2012, the court denied Mr. Okada’s motion. The Company has not received any further requests for information by Mr. Okada in relation to this matter as of the date of this report.</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On August 28, 2012, Mr. Okada, Universal Entertainment Corporation and Okada Holdings (“Okada Japan Parties”) filed a complaint in Tokyo District Court against the Company, all members of the Board of Directors (other than Mr. Okada) and the Company’s General Counsel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The Okada Japan Parties filed their opposition, and the Wynn Parties’ reply memorandum is due on August 15, 2013. A formal hearing has been set for September 2, 2013, and the court is expected to set a date for its ruling during this hearing. The Wynn Parties are vigorously defending against the claims asserted against them in this matter.</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Motion for Preliminary Injunction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August 31, 2012, Aruze USA, Inc. filed a motion for preliminary injunction with the Nevada state court. The motion sought an order that would prohibit Wynn Resorts from barring or preventing Aruze USA, Inc. from exercising rights as a stockholder at its 2012 Annual Meeting. On October 2, 2012, the Nevada state court denied Aruze USA, Inc.’s motion for preliminary injunction. On October 19, 2012, Aruze USA, Inc. filed a notice of appeal with the Nevada Supreme Court. The appeal was assigned to the Nevada Supreme Court’s mediation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2" w:right="259" w:bottom="1440" w:gutter="0" w:footer="0" w:header="0"/>
        </w:sectPr>
      </w:pPr>
    </w:p>
    <w:bookmarkStart w:id="26" w:name="page27"/>
    <w:bookmarkEnd w:id="26"/>
    <w:p>
      <w:pPr>
        <w:ind w:right="1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program, which determined that mediation would not be fruitful. The matter was therefore back before the Nevada Supreme Court. On June 10, 2013, the Okada Parties requested that the appeal be dismissed and thereafter the parties stipulated to dismiss the appeal.</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On March 20, 2013, Mr. Okada filed a complaint against the Company in Nevada state court for indemnification under the Company’s Articles, bylaws and agreements with its directors. The complaint seeks advancement of Mr. Okada’s costs and expenses (including attorney’s fees) incurred pursuant to the various legal proceedings and related regulatory investigations described above. The Company believes there is no basis for the relief requested in the complaint and intends to vigorously defend against this matter. The Company’s answer and counterclaim was filed on April 15, 2013. The counterclaim names each of the Okada Parties as defendants and seeks indemnification under the Company’s Articles for costs and expenses (including attorney’s fees) incurred pursuant to the various legal proceedings and related regulatory investigations described above. On April 30, 2013, Mr. Okada filed his reply to the counterclaim.</w:t>
      </w:r>
    </w:p>
    <w:p>
      <w:pPr>
        <w:spacing w:after="0" w:line="111"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On June 14, 2013, Mr. Okada filed a motion for partial summary judgment that he was entitled to advancement of his expenses incurred in the various proceedings and investigations. Mr. Okada also filed a special motion to dismiss, arguing that the Company’s counterclaims seek to infringe upon Mr. Okada’s right to petition the court, and constitute a strategic lawsuit against public policy (“S.L.A.P.P.”). The Company’s counterclaims seek only to enforce Wynn Resorts’ contractual right to indemnity under Article VII, Section 4 of the Company’s Articles. At a hearing on August 1, 2013, the court denied both motions.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Various Investigations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February 8, 2012, following the initiation of Mr. Okada’s books and records action (described above) regarding Wynn Macau’s donation to the University of Macau Development Foundation, the Company received a letter from the Salt Lake Regional Office of the SEC (the “Office”)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fully cooperated with the Salt Lake Regional Office staff. On July 2, 2013, the Company received a letter from the Office stating that the investigation had been completed with the Office not intending to recommend any enforcement action against the Company by the SEC.</w:t>
      </w:r>
    </w:p>
    <w:p>
      <w:pPr>
        <w:spacing w:after="0" w:line="141"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In February 2013, the Nevada Gaming Control Board informed the Company that it had completed an investigation of allegations made by Mr. Okada against the Company regarding the activities of Mr. Wynn and related entities in Macau and found no violations of the Gaming Control Act or the Nevada Gaming Commission Regulations.</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donation to the University of Macau discussed above. The Company has not received any target letter or subpoena in connection with such an investigation. The Company intends to cooperate fully with the government in response to any inquiry related to the donation to the University of Macau.</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4" w:right="259" w:bottom="1440" w:gutter="0" w:footer="0" w:header="0"/>
        </w:sectPr>
      </w:pPr>
    </w:p>
    <w:bookmarkStart w:id="27" w:name="page28"/>
    <w:bookmarkEnd w:id="27"/>
    <w:p>
      <w:pPr>
        <w:ind w:right="6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University of Macau. While the Company believes that it is in full compliance with all applicable laws, any such investigations could result in actions by regulators against the Company.</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Derivative Claims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four federal actions brought by the following plaintiffs have been consolidated: (1) The Louisiana Municipal Police Employees’ Retirement System,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Maryanne Solak, (3) Excavators Union Local 731 Welfare Fund, and (4) Boilermakers Lodge No. 154 Retirement Fund (collectively, the “Federal Plaintiffs”).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Federal Plaintiffs filed a consolidated complaint on August 6, 2012, asserting claims for: (1) breach of fiduciary duty; (2) waste of corporate assets;</w:t>
      </w:r>
    </w:p>
    <w:p>
      <w:pPr>
        <w:spacing w:after="0" w:line="44" w:lineRule="exact"/>
        <w:rPr>
          <w:sz w:val="20"/>
          <w:szCs w:val="20"/>
          <w:color w:val="auto"/>
        </w:rPr>
      </w:pPr>
    </w:p>
    <w:p>
      <w:pPr>
        <w:ind w:right="140" w:firstLine="8"/>
        <w:spacing w:after="0" w:line="251"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are against the Company and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on May 23, 2013. The Plaintiffs’ opposition was filed on July 8, 2013, and the Company and directors’ reply will be due on or before August 7, 2013.</w:t>
      </w:r>
    </w:p>
    <w:p>
      <w:pPr>
        <w:spacing w:after="0" w:line="14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4" w:right="259" w:bottom="1440" w:gutter="0" w:footer="0" w:header="0"/>
        </w:sectPr>
      </w:pPr>
    </w:p>
    <w:bookmarkStart w:id="28" w:name="page29"/>
    <w:bookmarkEnd w:id="28"/>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individual defendants are vigorously defending against the claims pleaded against them in these derivative actions. We are unable to predict the outcome of these litigations at this time.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16.Income Taxes</w:t>
      </w:r>
    </w:p>
    <w:p>
      <w:pPr>
        <w:spacing w:after="0" w:line="92" w:lineRule="exact"/>
        <w:rPr>
          <w:sz w:val="20"/>
          <w:szCs w:val="20"/>
          <w:color w:val="auto"/>
        </w:rPr>
      </w:pPr>
    </w:p>
    <w:p>
      <w:pPr>
        <w:ind w:right="80" w:firstLine="456"/>
        <w:spacing w:after="0" w:line="288" w:lineRule="auto"/>
        <w:rPr>
          <w:sz w:val="20"/>
          <w:szCs w:val="20"/>
          <w:color w:val="auto"/>
        </w:rPr>
      </w:pPr>
      <w:r>
        <w:rPr>
          <w:rFonts w:ascii="Times New Roman" w:cs="Times New Roman" w:eastAsia="Times New Roman" w:hAnsi="Times New Roman"/>
          <w:sz w:val="16"/>
          <w:szCs w:val="16"/>
          <w:color w:val="auto"/>
        </w:rPr>
        <w:t>For the three months ended June 30, 2013 and 2012, the Company recorded a tax expense of $1.1 million and a tax benefit of $4.7 million, respectively. The Company’s income tax expense is primarily related to U.S. tax provision on foreign passive income, foreign taxes assessable on the dividends of Wynn Macau, S.A. and foreign tax provisions related to our international marketing offices. For the six months ended June 30, 2013 and 2012, the Company recorded a tax benefit of $4 million and $4.9 million, respectively. The Company’s income tax benefit is primarily related to a decrease in deferred tax liabilities offset by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six months ended June 30, 2013 and 2012, the Company recognized income tax benefits related to excess tax deductions associated with stock compensation costs of $10.1 million and $1.1 million, respectively.</w:t>
      </w:r>
    </w:p>
    <w:p>
      <w:pPr>
        <w:spacing w:after="0" w:line="3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Wynn Macau, S.A. has received a 5-year exemption from Macau’s 12% Complementary Tax on casino gaming profits through December 31, 2015. Accordingly, the Company was exempted from the payment of $24.2 million in such taxes during each of the three months ended June 30, 2013 and 2012. For the six months ended June 30, 2013 and 2012, the Company was exempted from the payment of such taxes totaling $50.7 million and $46.6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February 2013, the Company received notification that it had been accepted into the Internal Revenue Service (“IRS”) Compliance Assurance Program (“CAP”), which accelerates IRS examination of key transactions with the goal of resolving any issues before the taxpayer files its return, for the 2013 tax year. In March 2013, the Company received additional notification that it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39"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In January 2013, the Financial Services Bureau of the Government of the Macau Special Administrative Region (the “Financial Services Bureau”) examined the 2009 and 2010 Macau income tax returns of Palo, which is a co-holder of the land concession for the resort in Cotai. The exam resulted in no change to the tax returns.</w:t>
      </w:r>
    </w:p>
    <w:p>
      <w:pPr>
        <w:spacing w:after="0" w:line="13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In March 2013, the Financial Services Bureau commenced an examination of the 2009, 2010, and 2011 Macau income tax returns of Wynn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13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In May 2013, the Company received notification that the IRS completed its examination of the Company’s 2011 U.S. income tax return and had no changes.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17.Segment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monitors its operations and evaluates earnings by reviewing the assets and operations of its Macau Operations and its Las Vegas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assets by segment are as follows (amounts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4100" w:type="dxa"/>
            <w:vAlign w:val="bottom"/>
          </w:tcPr>
          <w:p>
            <w:pPr>
              <w:spacing w:after="0"/>
              <w:rPr>
                <w:sz w:val="14"/>
                <w:szCs w:val="14"/>
                <w:color w:val="auto"/>
              </w:rPr>
            </w:pPr>
          </w:p>
        </w:tc>
        <w:tc>
          <w:tcPr>
            <w:tcW w:w="296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$ 2,881,592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3,004,658</w:t>
            </w: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3,855,504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3,669,881</w:t>
            </w:r>
          </w:p>
        </w:tc>
        <w:tc>
          <w:tcPr>
            <w:tcW w:w="120" w:type="dxa"/>
            <w:vAlign w:val="bottom"/>
            <w:shd w:val="clear" w:color="auto" w:fill="CCEEFF"/>
          </w:tcPr>
          <w:p>
            <w:pPr>
              <w:spacing w:after="0"/>
              <w:rPr>
                <w:sz w:val="18"/>
                <w:szCs w:val="18"/>
                <w:color w:val="auto"/>
              </w:rPr>
            </w:pPr>
          </w:p>
        </w:tc>
      </w:tr>
      <w:tr>
        <w:trPr>
          <w:trHeight w:val="223"/>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and other</w:t>
            </w:r>
          </w:p>
        </w:tc>
        <w:tc>
          <w:tcPr>
            <w:tcW w:w="2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1,036,243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602,055</w:t>
            </w:r>
          </w:p>
        </w:tc>
        <w:tc>
          <w:tcPr>
            <w:tcW w:w="12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$ 7,773,339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7,276,594</w:t>
            </w:r>
          </w:p>
        </w:tc>
        <w:tc>
          <w:tcPr>
            <w:tcW w:w="12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segment information for its results of operations are as follows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Macau Operations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907,641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1,922,956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1,858,344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Las Vegas Operations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401,382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345,566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1,332,273</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1,253,207</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2,710,927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2,566,705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Property EBITDA (1)</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Macau Operations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290,088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302,210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620,799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Las Vegas Operations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425,745</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384,129</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274,024</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264,123</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costs and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(73,764)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(73,874)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(26,578)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(146,830)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(131,377)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464,860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580" w:hanging="452"/>
        <w:spacing w:after="0" w:line="27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property charges and other, corporate expenses, intercompany golf course and water rights leases,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2" w:right="239" w:bottom="1440" w:gutter="0" w:footer="0" w:header="0"/>
        </w:sectPr>
      </w:pPr>
    </w:p>
    <w:bookmarkStart w:id="30" w:name="page31"/>
    <w:bookmarkEnd w:id="30"/>
    <w:p>
      <w:pPr>
        <w:ind w:left="4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18.Subsequent Events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July 29, 2013 the Company announced a cash dividend of $1.00 per share, payable on August 26, 2013 to stockholders of record as of August 12, 2013.</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4"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92"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3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These include the risks and uncertainties in Item 1A – Risk Factors and other risk factors we describe from time to time in our periodic filings with the SEC as well as the following:</w:t>
      </w:r>
    </w:p>
    <w:p>
      <w:pPr>
        <w:spacing w:after="0" w:line="5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 and existing management;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enforcement actions and probity investigations;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levels of travel, leisure and consumer spending;</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high unemployment;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over the development and success of new gaming and resort properties;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 and construction activities of competitors;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tourism and trends reflecting current domestic and international economic conditions;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macroeconomic conditions;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 (including the risks associated with developing gaming regulatory frameworks);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the legalization of gaming in certain jurisdictions);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risk including misappropriation of customer information or other breaches of information security;</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laws regarding healthcare;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under applicable jurisdictional laws and regulations (including gaming laws and regulations);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weakness in world-wide credit and financial markets and from governmental intervention in the financial markets;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20"/>
          </w:cols>
          <w:pgMar w:left="240" w:top="272" w:right="339" w:bottom="1440" w:gutter="0" w:footer="0" w:header="0"/>
        </w:sectPr>
      </w:pPr>
    </w:p>
    <w:bookmarkStart w:id="32" w:name="page33"/>
    <w:bookmarkEnd w:id="32"/>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continued compliance with all provisions in our credit agreements;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an outbreak of an infectious disease or the impact of a natural disaster may have on the travel and leisure industry;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military conflicts and any future security alerts and/or terrorist attacks.</w:t>
      </w:r>
    </w:p>
    <w:p>
      <w:pPr>
        <w:spacing w:after="0" w:line="171"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We currently own and operate two casino resort complexes. In the Macau Special Administrative Region of the People’s Republic of China (“Macau”), we operate and own a majority of Wynn Macau | Encore, which we refer to as our “Macau Operations.” In Las Vegas, Nevada, we own and operate Wynn Las Vegas | Encore, which we refer to as our “Las Vegas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Resorts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about our resorts as of July 2013:</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2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17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460" w:type="dxa"/>
            <w:vAlign w:val="bottom"/>
          </w:tcPr>
          <w:p>
            <w:pPr>
              <w:spacing w:after="0"/>
              <w:rPr>
                <w:sz w:val="12"/>
                <w:szCs w:val="12"/>
                <w:color w:val="auto"/>
              </w:rPr>
            </w:pPr>
          </w:p>
        </w:tc>
        <w:tc>
          <w:tcPr>
            <w:tcW w:w="1720" w:type="dxa"/>
            <w:vAlign w:val="bottom"/>
            <w:gridSpan w:val="2"/>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Hotel Rooms</w:t>
            </w:r>
          </w:p>
        </w:tc>
        <w:tc>
          <w:tcPr>
            <w:tcW w:w="172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Casino</w:t>
            </w:r>
          </w:p>
        </w:tc>
        <w:tc>
          <w:tcPr>
            <w:tcW w:w="174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r>
      <w:tr>
        <w:trPr>
          <w:trHeight w:val="149"/>
        </w:trPr>
        <w:tc>
          <w:tcPr>
            <w:tcW w:w="4460" w:type="dxa"/>
            <w:vAlign w:val="bottom"/>
          </w:tcPr>
          <w:p>
            <w:pPr>
              <w:spacing w:after="0"/>
              <w:rPr>
                <w:sz w:val="12"/>
                <w:szCs w:val="12"/>
                <w:color w:val="auto"/>
              </w:rPr>
            </w:pPr>
          </w:p>
        </w:tc>
        <w:tc>
          <w:tcPr>
            <w:tcW w:w="760" w:type="dxa"/>
            <w:vAlign w:val="bottom"/>
          </w:tcPr>
          <w:p>
            <w:pPr>
              <w:jc w:val="right"/>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&amp;</w:t>
            </w:r>
          </w:p>
        </w:tc>
        <w:tc>
          <w:tcPr>
            <w:tcW w:w="960" w:type="dxa"/>
            <w:vAlign w:val="bottom"/>
          </w:tcPr>
          <w:p>
            <w:pPr>
              <w:spacing w:after="0"/>
              <w:rPr>
                <w:sz w:val="12"/>
                <w:szCs w:val="12"/>
                <w:color w:val="auto"/>
              </w:rPr>
            </w:pPr>
          </w:p>
        </w:tc>
        <w:tc>
          <w:tcPr>
            <w:tcW w:w="172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Square</w:t>
            </w:r>
          </w:p>
        </w:tc>
        <w:tc>
          <w:tcPr>
            <w:tcW w:w="174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Table</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165"/>
        </w:trPr>
        <w:tc>
          <w:tcPr>
            <w:tcW w:w="446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Suites</w:t>
            </w:r>
          </w:p>
        </w:tc>
        <w:tc>
          <w:tcPr>
            <w:tcW w:w="17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6"/>
              </w:rPr>
              <w:t>Footage</w:t>
            </w:r>
          </w:p>
        </w:tc>
        <w:tc>
          <w:tcPr>
            <w:tcW w:w="17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6"/>
              </w:rPr>
              <w:t>Games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Slots</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Operations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2"/>
              </w:rPr>
              <w:t>275,000</w:t>
            </w:r>
          </w:p>
        </w:tc>
        <w:tc>
          <w:tcPr>
            <w:tcW w:w="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Las Vegas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96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186,000</w:t>
            </w:r>
          </w:p>
        </w:tc>
        <w:tc>
          <w:tcPr>
            <w:tcW w:w="17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235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Wynn Macau |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Macau resort complex features:</w:t>
      </w:r>
    </w:p>
    <w:p>
      <w:pPr>
        <w:spacing w:after="0" w:line="90" w:lineRule="exact"/>
        <w:rPr>
          <w:sz w:val="20"/>
          <w:szCs w:val="20"/>
          <w:color w:val="auto"/>
        </w:rPr>
      </w:pPr>
    </w:p>
    <w:p>
      <w:pPr>
        <w:ind w:left="900" w:right="4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275,000 square feet of casino space, offering 24-hour gaming and a full range of games, including private gaming salons, sky casinos and a poker pit;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spacious guest rooms and suites;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eight restaurants;</w:t>
      </w:r>
    </w:p>
    <w:p>
      <w:pPr>
        <w:spacing w:after="0" w:line="90" w:lineRule="exact"/>
        <w:rPr>
          <w:rFonts w:ascii="Times New Roman" w:cs="Times New Roman" w:eastAsia="Times New Roman" w:hAnsi="Times New Roman"/>
          <w:sz w:val="18"/>
          <w:szCs w:val="18"/>
          <w:color w:val="auto"/>
        </w:rPr>
      </w:pPr>
    </w:p>
    <w:p>
      <w:pPr>
        <w:jc w:val="both"/>
        <w:ind w:left="900" w:hanging="325"/>
        <w:spacing w:after="0" w:line="26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57,000 square feet of high-end, brand-name retail shopping, including stores and boutiques by Bvlgari, Cartier, Chanel, Dior, Dunhill, Ferrari, Giorgio Armani, Graff, Gucci, Hermes, Hugo Boss, Jaeger-LeCoultre, Louis Vuitton, Miu Miu, Piaget, Prada, Roger Dubuis, Rolex, Tiffany, Tudor, Vacheron Constantin, Van Cleef &amp; Arpels, Versace, Vertu, Ermenegildo Zegna and others;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and spas, a salon and a pool;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Lounges and meeting facilities.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response to our evaluation of our Macau Operations and the reactions of our guests, we have made and expect to continue to make enhancements and refinements to this resort complex.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Wynn Las Vegas | Encore is located at the intersection of the Las Vegas Strip and Sands Avenue, and occupies approximately 215 acres of land fronting the Las Vegas Strip and 5 acres adjacent to the golf course on which an office building is located. In addition, we own approximately 18 acres across Sands Avenue, a portion of which is utilized for employee parking.</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Las Vegas resort complex features:</w:t>
      </w:r>
    </w:p>
    <w:p>
      <w:pPr>
        <w:spacing w:after="0" w:line="90" w:lineRule="exact"/>
        <w:rPr>
          <w:sz w:val="20"/>
          <w:szCs w:val="20"/>
          <w:color w:val="auto"/>
        </w:rPr>
      </w:pPr>
    </w:p>
    <w:p>
      <w:pPr>
        <w:ind w:left="900" w:right="48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186,000 square feet of casino space, offering 24-hour gaming and a full range of games, including private gaming salons, a sky casino, a poker room, and a race and sports book;</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spacious guest rooms, suites and villas;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food and beverage outlets featuring signature chefs;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meeting and convention space;</w:t>
      </w:r>
    </w:p>
    <w:p>
      <w:pPr>
        <w:spacing w:after="0" w:line="90" w:lineRule="exact"/>
        <w:rPr>
          <w:rFonts w:ascii="Times New Roman" w:cs="Times New Roman" w:eastAsia="Times New Roman" w:hAnsi="Times New Roman"/>
          <w:sz w:val="18"/>
          <w:szCs w:val="18"/>
          <w:color w:val="auto"/>
        </w:rPr>
      </w:pPr>
    </w:p>
    <w:p>
      <w:pPr>
        <w:ind w:left="900" w:right="140" w:hanging="325"/>
        <w:spacing w:after="0" w:line="26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96,000 square feet of high-end, brand-name retail shopping, including stores and boutiques by Alexander McQueen, Brioni, Cartier, Chanel, Chloé, Chopard, Dior, Graff, Hermes, IWC Schaffhausen, Jaeger-LeCoultre, Loro Piana, Louis Vuitton, Manolo Blahnik, Nicholas Kirkwood, Oscar de la Renta, Piaget, Rolex, Vertu and others;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and two full service spas and salons;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showrooms;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the reactions of our guests, we have made and expect to continue to make enhancements and refinements to this resort complex.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9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are constructing a full scale integrated resort containing a casino, luxury hotel, convention, retail, entertainment and food and beverage offerings on 51 acres of land in the Cotai area of Macau. We estimate the project budget to be approximately $4 billion and anticipate opening the resort in the first half of 2016. In February 2013, we started pre-foundation work and continue to remain on pace with the construction schedule.</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July 29, 2013, Wynn Resorts Macau S.A., Palo and Leighton Contractors (Asia) Limited (as the general contractor) entered into a supplemental agreement concerning the construction of Wynn Macau Limited’s Cotai project and confirming, among other things, the guaranteed maximum price for the construction works undertaken by the general contractor (the “Contractor Works”). The July 29, 2013 agreement supplements the agreement between the same parties dated November 9, 2012 (both agreements collectively the “Cotai Construction Agreement”). The scope of the Contractor Works under the Cotai Construction Agreement includes construction, project management, substructure, structural, design and architectural works, facades, exterior finishes, certain interior finishes, mechanical, electrical and plumbing installations, external landscaping work, underground drainage and utilities service works. The general contractor must complete the Contractor Works in accordance with the detailed terms of the Cotai Construction Agreement in good faith and by furnishing its best skill and judgment. The general contractor is obligated to substantially complete the project in the first half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2016 for a guaranteed maximum price of approximately HK$20 billion (approximately US$2.57 billion). An early completion bonus which has been factored in the guaranteed maximum price for achievement of substantial completion on or before January 25, 2016 will be paid to the general contractor if certain conditions are satisfied under the Cotai Construction Agreement. Both the contract time and guaranteed maximum price are subject to further adjustment under certain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 We have made applications for gaming licenses in both Massachusetts and Pennsylvania and have announced potential projects in each jurisdiction. In each case, the process is competitive and we do not expect to know the outcome until 2014. Proceeding with either or both of these projects will require significant expenditure of Company funds. In addition, we are exploring various international jurisdictions for expansion opportunities.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presents our net revenues (amounts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5"/>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930,891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$ 1,922,956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1,858,344</w:t>
            </w:r>
          </w:p>
        </w:tc>
      </w:tr>
      <w:tr>
        <w:trPr>
          <w:trHeight w:val="216"/>
        </w:trPr>
        <w:tc>
          <w:tcPr>
            <w:tcW w:w="5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401,382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345,566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787,971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708,361</w:t>
            </w:r>
          </w:p>
        </w:tc>
      </w:tr>
      <w:tr>
        <w:trPr>
          <w:trHeight w:val="223"/>
        </w:trPr>
        <w:tc>
          <w:tcPr>
            <w:tcW w:w="5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1,332,273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1,253,207</w:t>
            </w: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$ 2,710,927</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2,566,705</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310" w:lineRule="auto"/>
        <w:rPr>
          <w:sz w:val="20"/>
          <w:szCs w:val="20"/>
          <w:color w:val="auto"/>
        </w:rPr>
      </w:pPr>
      <w:r>
        <w:rPr>
          <w:rFonts w:ascii="Times New Roman" w:cs="Times New Roman" w:eastAsia="Times New Roman" w:hAnsi="Times New Roman"/>
          <w:sz w:val="16"/>
          <w:szCs w:val="16"/>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premium gaming customers who wager on credit, thus exposing us to credit risk. High-end gaming also increases the potential for variability in our results.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Measures</w:t>
      </w:r>
    </w:p>
    <w:p>
      <w:pPr>
        <w:spacing w:after="0" w:line="92" w:lineRule="exact"/>
        <w:rPr>
          <w:sz w:val="20"/>
          <w:szCs w:val="20"/>
          <w:color w:val="auto"/>
        </w:rPr>
      </w:pPr>
    </w:p>
    <w:p>
      <w:pPr>
        <w:ind w:right="280" w:firstLine="456"/>
        <w:spacing w:after="0" w:line="339" w:lineRule="auto"/>
        <w:rPr>
          <w:sz w:val="20"/>
          <w:szCs w:val="20"/>
          <w:color w:val="auto"/>
        </w:rPr>
      </w:pPr>
      <w:r>
        <w:rPr>
          <w:rFonts w:ascii="Times New Roman" w:cs="Times New Roman" w:eastAsia="Times New Roman" w:hAnsi="Times New Roman"/>
          <w:sz w:val="16"/>
          <w:szCs w:val="16"/>
          <w:color w:val="auto"/>
        </w:rPr>
        <w:t>Certain key operating statistics specific to the gaming industry are included in our discussion of our operational performance for the periods for which a Condensed Consolidated Statement of Income is presented. Below is a discussion of the methodologies used to calculate win percentage at our resorts.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The measurement base used in the general casino is not the same that is used in the VIP casino. It is customary in Macau to measure VIP casino play using this rolling chip method. We expect our win as a percentage of turnover to be within the range of 2.7% to 3.0%.</w:t>
      </w:r>
    </w:p>
    <w:p>
      <w:pPr>
        <w:spacing w:after="0" w:line="139"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In our general casino in Macau, customers may purchase cash chips at either the gaming tables or at the casino cage. The cash and net markers used to purchase the cash chips at the gaming tables are deposited in the gaming table’s drop box. This is the base of measurement that we use for calculating win percentage in our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casino. We do not report an expected range for the win percentage in our general casino as chips purchased at the casino cage are excluded from table games drop and distort our expected win percentage. With increased purchases at the casino cage, we believe the relevant indicator of volumes in the mass market segment should be table games win.</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measurements in our VIP casino and the general casino are not comparable as the general casino tracks the initial purchase of chips at the table while the measurement method in our VIP casino tracks the sum of all losing wagers. Accordingly, the base measurement in the VIP casino is much larger than the base measurement in the general casino. As a result, the expected win percentage with the same amount of gaming win is smaller in the VIP casino when compared to the general casino.</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are definitions of the statistics discussed:</w:t>
      </w:r>
    </w:p>
    <w:p>
      <w:pPr>
        <w:spacing w:after="0" w:line="90"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drop or turnover that is retained and recorded as casino revenue.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 is the amount of cash and net markers issued that are deposited in a gaming table’s drop box.</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turnover for purposes of calculating incentives.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w:t>
      </w:r>
    </w:p>
    <w:p>
      <w:pPr>
        <w:spacing w:after="0" w:line="90"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38"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 including the retail value of promotional allowances (less service charges, if any) by total rooms available.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total rooms available.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June 30, 2013 compared to the three months ended June 30, 2012.</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Net revenues for the three months ended June 30, 2013, were comprised of $1,016.2 million in casino revenues (76.3% of total net revenues) and $316.1 million of net non-casino revenues (23.7% of total net revenues). Net revenues for the three months ended June 30, 2012, were comprised of $953.4 million in casino revenues (76.1% of total net revenues) and $299.8 million of net non-casino revenues (23.9% of total net revenues).</w:t>
      </w:r>
    </w:p>
    <w:p>
      <w:pPr>
        <w:spacing w:after="0" w:line="132"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Casino revenues are primarily comprised of the net win from our table games and slot machine operations. Casino revenues for the three months ended June 30, 2013, of $1,016.2 million represents a $62.8 million (6.6%) increase from casino revenues of $953.4 million for the three months ended June 30, 2012.</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months ended June 30, 2013, our Macau Operations experienced an $18.8 million (2.2%) increase in casino revenues to $873.6 million, compared to the prior year quarter casino revenue of $854.8 million due primarily to stronger table games profits in our general casino and a higher table games win percentage in our VIP Casino. For the three months ended June 30, 2013, our Las Vegas Operations experienced a $44 million (44.7%) increase in casino revenues to $142.6 million, compared to the prior year quarter casino revenue of $98.6 million due to a significant increase in table games win percentage (before discounts).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key gaming statistics related to our Macau and Las Vegas Operations.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jc w:val="right"/>
              <w:ind w:right="493"/>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Pr>
          <w:p>
            <w:pPr>
              <w:spacing w:after="0"/>
              <w:rPr>
                <w:sz w:val="14"/>
                <w:szCs w:val="14"/>
                <w:color w:val="auto"/>
              </w:rPr>
            </w:pPr>
          </w:p>
        </w:tc>
        <w:tc>
          <w:tcPr>
            <w:tcW w:w="12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520" w:type="dxa"/>
            <w:vAlign w:val="bottom"/>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380" w:type="dxa"/>
            <w:vAlign w:val="bottom"/>
            <w:tcBorders>
              <w:top w:val="single" w:sz="8" w:color="auto"/>
            </w:tcBorders>
            <w:gridSpan w:val="5"/>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(amounts in thousands, except for win per unit per day amounts)</w:t>
            </w: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VIP Casino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VIP turnover</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96"/>
              </w:rPr>
              <w:t>29,869,181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96"/>
              </w:rPr>
              <w:t>30,348,654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96"/>
              </w:rPr>
              <w:t>(479,473)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tcPr>
          <w:p>
            <w:pPr>
              <w:spacing w:after="0"/>
              <w:rPr>
                <w:sz w:val="19"/>
                <w:szCs w:val="19"/>
                <w:color w:val="auto"/>
              </w:rPr>
            </w:pP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0.15pts</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General Casino</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Drop (1)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626,581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671,825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(45,244)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217,049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200,012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17,037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Table games win % (1)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tcPr>
          <w:p>
            <w:pPr>
              <w:spacing w:after="0"/>
              <w:rPr>
                <w:sz w:val="18"/>
                <w:szCs w:val="18"/>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29.8%</w:t>
            </w:r>
          </w:p>
        </w:tc>
        <w:tc>
          <w:tcPr>
            <w:tcW w:w="40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4.8pts</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11,671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10,963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708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handle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1,171,288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1,170,654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634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Slot machine win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57,808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63,424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(5,616)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752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Drop</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548,021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575,560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(27,539)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117,782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86,485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31,297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Table games win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tcPr>
          <w:p>
            <w:pPr>
              <w:spacing w:after="0"/>
              <w:rPr>
                <w:sz w:val="18"/>
                <w:szCs w:val="18"/>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6.5pts</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5,548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4,384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1,164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handle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712,603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707,840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4,763</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Slot machine win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44,689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40,484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4,205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right="40" w:hanging="452"/>
        <w:spacing w:after="0" w:line="26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13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For the three months ended June 30, 2013, room revenues were $129.4 million, an increase of $4.5 million (3.6%) compared to prior year quarter room revenue of $124.9 million. Room revenue at our Macau Operations increased $0.1 million (0.3%) to $28.8 million compared to the prior year quarter room revenue of $28.7 million. During the second quarter of 2013, we began a renovation of the approximately 600 guest rooms in the original Wynn Macau tower, contributing to an approximate 5% reduction in the number of available room-nights compared to the second quarter of 2012. We expect to complete the guest room renovation by the end of 2013. Room revenue at our Las Vegas Operations increased approximately $4.4 million (4.6%) to $100.6 million compared to the prior year quarter room revenue of $96.2 million. In Las Vegas, during the three months ended June 30, 2013, we experienced an increase in room rates compared to the three months ended June 30, 2012, but this increase was accompanied by a small decrease in occupancy rate of 0.7 percentage points. ADR at our Las Vegas Operations has increased as we adjusted rates in an effort to attract customers who would take advantage of all aspects of our resort.</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274" w:right="259"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key operating measures related to room revenue.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4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Average Daily Rate</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8"/>
                <w:szCs w:val="18"/>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Occupancy</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REVPAR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Pr>
          <w:p>
            <w:pPr>
              <w:spacing w:after="0"/>
              <w:rPr>
                <w:sz w:val="18"/>
                <w:szCs w:val="18"/>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Other non-casino revenues for the three months ended June 30, 2013, included food and beverage revenues of $169.6 million, retail revenues of $67.9 million, entertainment revenues of $14.7 million, and other revenues from outlets, including the spa and salon, of $20.4 million. Other non-casino revenues for the three months ended June 30, 2012, included food and beverage revenues of $161.1 million, retail revenues of $63 million, entertainment revenues of $18.1 million, and other revenues from outlets such as the spa and salon, of $20.3 million. Food and beverage revenues at our Macau Operations increased $0.3 million, while food and beverage revenues at our Las Vegas Operations increased $8.2 million as compared to the prior year quarter. The increase in Las Vegas is due primarily to strong business in our restaurants and nightclubs. Retail revenues at our Macau Operations increased $3.7 million due to strong same store sales growth as well as new stores. Entertainment revenues decreased $3.4 million from the prior year quarter due to a Las Vegas show that ended its run in November 2012.</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Departmental, Administrative and Other Expenses</w:t>
      </w:r>
    </w:p>
    <w:p>
      <w:pPr>
        <w:spacing w:after="0" w:line="92"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For the three months ended June 30, 2013, departmental expenses included casino expenses of $665.4 million, room expenses of $34 million, food and beverage expenses of $95.5 million, and entertainment, retail and other expenses of $43 million. Also included are general and administrative expenses of $132.4 million and a credit of $11.2 million for the provision for doubtful accounts receivable. For the three months ended June 30, 2012, departmental expenses included casino expenses of $645.7 million, room expenses of $33.3 million, food and beverage expenses of $84.5 million, and entertainment, retail and other expenses of $46.1 million. Also included for the three months ended June 30, 2012, are general and administrative expenses of $99.8 million and a credit of $17.3 million for the provision for doubtful accounts receivable. Casino expenses increased for the three months ended June 30, 2013, from the prior year quarter primarily due to higher gaming taxes commensurate with the increase in casino revenue at our Macau Operations (where we incur a gaming tax and other levies at a rate totaling 39% in accordance with the concession agreement). Food and beverage expenses increased over the prior year quarter primarily due to additional nightclub promotional costs at our Las Vegas Operations. Entertainment, retail and other expenses decreased primarily due to a Las Vegas show that ended its run in November 2012. General and administrative expenses increased from the prior year quarter due to higher stock-based compensation expense related to the accelerated vesting of a restricted stock award that was previously granted to our former chief operating officer and increased development costs. During both the quarters ended June 30, 2013 and 2012, we recorded adjustments of $14.9 million and $30.9 million, respectively to our reserve estimates for casino accounts receivable based on the results of historical collection patterns and current collection trends. These adjustments were the primary factors that resulted in an $11.2 million and $17.3 million credit to the provision for doubtful accounts for the three months ended June 30, 2013 and 2012, respectively.</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4" w:right="259" w:bottom="1440" w:gutter="0" w:footer="0" w:header="0"/>
        </w:sectPr>
      </w:pPr>
    </w:p>
    <w:bookmarkStart w:id="38" w:name="page39"/>
    <w:bookmarkEnd w:id="38"/>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Depreciation and amortization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and amortization for the three months ended June 30, 2013, was $93.2 million compared to $93.5 million for the three months ended June 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w:t>
      </w:r>
    </w:p>
    <w:p>
      <w:pPr>
        <w:spacing w:after="0" w:line="15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36"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Property charges and other for the three months ended June 30, 2013, were $5.6 million compared to $3.5 million for the three months ended June 30, 2012. For the three months ended June 30, 2013 and 2012, property charges and other related primarily to a contract termination fee, miscellaneous renovations and abandonments at our resorts and entertainment development costs.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response to our evaluation of our resorts and the reactions of our guests, we continue to remodel and make enhancements at our resorts.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Interest income was $4.2 million for the three months ended June 30, 2013, compared to $2.5 million for the three months ended June 30, 2012. During 2013 and 2012, our short-term investment strategy has been to preserve capital while retaining sufficient liquidity. The majority of our short-term investments were primarily in money market accounts, time deposits and fixed deposits with a maturity of three months or less.</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Interest expense was $73.8 million, net of capitalized interest of $2.1 million, for the three months ended June 30, 2013, compared to $73.9 million, net of capitalized interest of $0.3 million, for the three months ended June 30, 2012. Capitalized interest increased due to the construction costs of our Cotai project. Capitalized interest will continue to increase with the ongoing borrowings and construction costs related to the Cotai project.</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Changes in the fair value of our interest rate swaps are recorded as an increase or (decrease) in swap fair value in each period. We recorded a gain of $13.5 million for the three months ended June 30, 2013, resulting from the increase in the fair value of our interest rate swaps during the period. For the three months ended June 30, 2012, we recorded a gain of $2.6 million resulting from the increase in the fair value of interest rate swaps during the three months ended June 30, 2012. In addition, in June 2012, we terminated an interest rate swap agreement that was used to hedge a portion of the underlying interest rate risk on borrowings under the then existing Wynn Las Vegas Credit Agreement for a payment of $2.4 million, and an interest rate swap agreement that was used to hedge a portion of the underlying interest rate risk on borrowings under the then existing Wynn Macau credit facilities matured. For further information on our interest rate swaps, see Item 3 – “Quantitative and Qualitative Disclosures about Market Risk.”</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22, 2013, Wynn Las Vegas completed the purchase of $274.7 million of the $500 million aggregate principal amount of the Wynn Las Vegas</w:t>
      </w:r>
    </w:p>
    <w:p>
      <w:pPr>
        <w:spacing w:after="0" w:line="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First Mortgage Notes due 2017 (the “2017 Notes”) pursuant to a tender offer for any and all of the 2017 Notes. In connection with this tender offer, Wynn Las Vegas paid</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272" w:right="279" w:bottom="1440" w:gutter="0" w:footer="0" w:header="0"/>
        </w:sectPr>
      </w:pPr>
    </w:p>
    <w:bookmarkStart w:id="39" w:name="page40"/>
    <w:bookmarkEnd w:id="39"/>
    <w:p>
      <w:pPr>
        <w:ind w:right="3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$19.6 million in consideration to holders who tendered their notes. Additionally, Wynn Las Vegas expensed $6.7 million of unamortized debt issue costs and original issue discount related to the 2017 Notes and incurred other fees of approximately $0.3 million related to the tender offer. In accordance with the applicable accounting standards, we recorded these expenses and charges as a loss on retirement of debt totaling $26.6 million.</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2013 and 2012, we recorded a tax expense of $1.1 million and a tax benefit of $4.7 million, respectively. Our income tax expense is primarily related to U.S. tax provision on foreign passive income,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three months ended June 30, 2013, we recognized income tax benefits related to excess tax deductions associated with stock compensation costs of $8.9 million.</w:t>
      </w:r>
    </w:p>
    <w:p>
      <w:pPr>
        <w:spacing w:after="0" w:line="14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Wynn Macau, S.A. has received an exemption from Macau’s 12% Complementary Tax on casino gaming profits through December 31, 2015. Accordingly, we were exempt from the payment of $24.2 million in such taxes during both the three months ended June 30, 2013 and 2012. Our non-gaming profits remain subject to the Macau Complementary Tax and casino winnings remain subject to the Macau Special Gaming tax and other levies together totaling 39% in accordance with our concession agreement.</w:t>
      </w:r>
    </w:p>
    <w:p>
      <w:pPr>
        <w:spacing w:after="0" w:line="13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February 2013, we received notification that we had been accepted into the IRS Compliance Assurance Program (“CAP”) for the 2013 tax year and in March 2013, we received additional notification that we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36" w:lineRule="exact"/>
        <w:rPr>
          <w:sz w:val="20"/>
          <w:szCs w:val="20"/>
          <w:color w:val="auto"/>
        </w:rPr>
      </w:pPr>
    </w:p>
    <w:p>
      <w:pPr>
        <w:ind w:right="620" w:firstLine="456"/>
        <w:spacing w:after="0" w:line="339" w:lineRule="auto"/>
        <w:rPr>
          <w:sz w:val="20"/>
          <w:szCs w:val="20"/>
          <w:color w:val="auto"/>
        </w:rPr>
      </w:pPr>
      <w:r>
        <w:rPr>
          <w:rFonts w:ascii="Times New Roman" w:cs="Times New Roman" w:eastAsia="Times New Roman" w:hAnsi="Times New Roman"/>
          <w:sz w:val="16"/>
          <w:szCs w:val="16"/>
          <w:color w:val="auto"/>
        </w:rPr>
        <w:t>In January 2013, the Financial Services Bureau of the Government of the Macau Special Administrative Region (the “Financial Services Bureau”) examined the 2009 and 2010 Macau income tax returns of Palo Real Estate Company Limited. The exam resulted in no change to the tax returns.</w:t>
      </w:r>
    </w:p>
    <w:p>
      <w:pPr>
        <w:spacing w:after="0" w:line="74"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In March 2013, the Financial Services Bureau commenced an examination of the 2009, 2010, and 2011 Macau income tax returns of Wynn Macau, S.A. Since the examination is in its initial stages, we are unable to determine if it will conclude within the next 12 months. We believe that our liability for uncertain tax positions is adequate with respect to these years.</w:t>
      </w:r>
    </w:p>
    <w:p>
      <w:pPr>
        <w:spacing w:after="0" w:line="13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In May 2013, the Company received notification that the IRS completed its examination of the Company’s 2011 U.S. income tax return and had no changes.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92"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$62.9 million for the three months ended June 30, 2013, compared to $61.2 million for the three months ended June 30, 2012. This represents the noncontrolling interests’ share of net income from Wynn Macau, Limited during each quarter.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274"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results for the six months ended June 30, 2013 compared to the six months ended June 30, 2012.</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Net revenues for the six months ended June 30, 2013, were comprised of $2,122.7 million in casino revenues (78.3% of total net revenues) and $588.3 million of net non-casino revenues (21.7% of total net revenues). Net revenues for the six months ended June 30, 2012, are comprised of $2,002.7 million in casino revenues (78% of total net revenues) and $564 million of net non-casino revenues (22% of total net revenues).</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Casino revenues are comprised of the net win from our table games and slot machine operations. Casino revenues for the six months ended June 30, 2013, of $2,122.7 million represents a $120 million (6.0%) increase from casino revenues of $2,002.7 million for the six months ended June 30, 2012.</w:t>
      </w:r>
    </w:p>
    <w:p>
      <w:pPr>
        <w:spacing w:after="0" w:line="12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2013, our Macau Operations experienced a $57.4 million (3.3%) increase in casino revenues to $1,803.8 million, compared to the prior year period casino revenue of $1,746.4 million due primarily to strong table games results in both the general casino and VIP Casino. For the six months ended June 30, 2013, our Las Vegas Operations experienced a $62.6 million (24.4%) increase in casino revenues to $318.9 million, compared to the prior year period casino revenue of $256.3 million due to a significant increase in our table games win percentage (before discounts).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key gaming statistics related to our Macau and Las Vegas Operations.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jc w:val="right"/>
              <w:ind w:right="494"/>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14"/>
                <w:szCs w:val="14"/>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80" w:type="dxa"/>
            <w:vAlign w:val="bottom"/>
            <w:tcBorders>
              <w:top w:val="single" w:sz="8" w:color="auto"/>
            </w:tcBorders>
            <w:gridSpan w:val="5"/>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(amounts in thousands, except for win per unit per day amounts)</w:t>
            </w: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VIP Casino</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VIP turnover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96"/>
              </w:rPr>
              <w:t>58,283,299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96"/>
              </w:rPr>
              <w:t>63,889,493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95"/>
              </w:rPr>
              <w:t>(5,606,194)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100" w:type="dxa"/>
            <w:vAlign w:val="bottom"/>
          </w:tcPr>
          <w:p>
            <w:pPr>
              <w:spacing w:after="0"/>
              <w:rPr>
                <w:sz w:val="19"/>
                <w:szCs w:val="19"/>
                <w:color w:val="auto"/>
              </w:rPr>
            </w:pP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2.69%</w:t>
            </w:r>
          </w:p>
        </w:tc>
        <w:tc>
          <w:tcPr>
            <w:tcW w:w="360" w:type="dxa"/>
            <w:vAlign w:val="bottom"/>
          </w:tcPr>
          <w:p>
            <w:pPr>
              <w:spacing w:after="0"/>
              <w:rPr>
                <w:sz w:val="19"/>
                <w:szCs w:val="19"/>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0.35pts</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General Casino</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Drop (1)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1,311,391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1,379,201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(67,810)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460,172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414,048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46,124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Table games win % (1)</w:t>
            </w:r>
          </w:p>
        </w:tc>
        <w:tc>
          <w:tcPr>
            <w:tcW w:w="100" w:type="dxa"/>
            <w:vAlign w:val="bottom"/>
          </w:tcPr>
          <w:p>
            <w:pPr>
              <w:spacing w:after="0"/>
              <w:rPr>
                <w:sz w:val="18"/>
                <w:szCs w:val="18"/>
                <w:color w:val="auto"/>
              </w:rPr>
            </w:pP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35.1%</w:t>
            </w:r>
          </w:p>
        </w:tc>
        <w:tc>
          <w:tcPr>
            <w:tcW w:w="340" w:type="dxa"/>
            <w:vAlign w:val="bottom"/>
          </w:tcPr>
          <w:p>
            <w:pPr>
              <w:spacing w:after="0"/>
              <w:rPr>
                <w:sz w:val="18"/>
                <w:szCs w:val="18"/>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tcPr>
          <w:p>
            <w:pPr>
              <w:spacing w:after="0"/>
              <w:rPr>
                <w:sz w:val="18"/>
                <w:szCs w:val="18"/>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5.1pts</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12,422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11,448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974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handle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2,287,391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2,627,077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(339,686)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Slot machine win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119,197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136,882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(17,685)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769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812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Drop</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1,216,940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1,230,081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(13,141)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296,572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235,775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60,797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Table games win %</w:t>
            </w:r>
          </w:p>
        </w:tc>
        <w:tc>
          <w:tcPr>
            <w:tcW w:w="100" w:type="dxa"/>
            <w:vAlign w:val="bottom"/>
          </w:tcPr>
          <w:p>
            <w:pPr>
              <w:spacing w:after="0"/>
              <w:rPr>
                <w:sz w:val="18"/>
                <w:szCs w:val="18"/>
                <w:color w:val="auto"/>
              </w:rPr>
            </w:pP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Pr>
          <w:p>
            <w:pPr>
              <w:spacing w:after="0"/>
              <w:rPr>
                <w:sz w:val="18"/>
                <w:szCs w:val="18"/>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tcPr>
          <w:p>
            <w:pPr>
              <w:spacing w:after="0"/>
              <w:rPr>
                <w:sz w:val="18"/>
                <w:szCs w:val="18"/>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5.2pts</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7,025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5,923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1,102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handle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1,409,198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1,426,749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(17,551)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Slot machine win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86,973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83,486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3,487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hanging="452"/>
        <w:spacing w:after="0" w:line="26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270" w:right="299" w:bottom="1440" w:gutter="0" w:footer="0" w:header="0"/>
        </w:sectPr>
      </w:pPr>
    </w:p>
    <w:bookmarkStart w:id="41" w:name="page42"/>
    <w:bookmarkEnd w:id="41"/>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six months ended June 30, 2013, room revenues were $249.9 million, an increase of $7.5 million (3.1%) compared to prior year period room revenue of $242.4 million. Room revenue at our Macau Operations decreased $1.0 million (1.9%) to $57.8 million compared to the prior year period of $58.8 million. During the second quarter of 2013, we began a renovation of the approximately 600 guest rooms in the original Wynn Macau tower, contributing to an approximate 5% reduction in the number of available room-nights compared to the second quarter of 2012. We expect to complete the guest room renovation by the end of 2013. Room revenue at our Las Vegas Operations increased to $192.1 million, approximately $8.5 million (4.7%) compared to the prior year period’s $183.6 million. In Las Vegas, during the six months ended June 30, 2013, we experienced an increase in occupancy and room rates compared to the six months ended June 30, 2012. ADR at our Las Vegas Operations has increased as we adjusted rates in an effort to attract customers who would take advantage of all aspects of our resort.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key operating measures related to room revenue.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5"/>
        </w:trPr>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Average Daily Rate</w:t>
            </w:r>
          </w:p>
        </w:tc>
        <w:tc>
          <w:tcPr>
            <w:tcW w:w="2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$ 315</w:t>
            </w: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$ 321</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Occupancy</w:t>
            </w: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2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REVPAR</w:t>
            </w: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$ 298</w:t>
            </w: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$ 291</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Other non-casino revenues for the six months ended June 30, 2013, included food and beverage revenues of $309.3 million, retail revenues of $136.7 million, entertainment revenues of $29.9 million, and other revenues from outlets, including the spa and salon, of $38 million. Other non-casino revenues for the six months ended June 30, 2012, included food and beverage revenues of $296.3 million, retail revenues of $129.6 million, entertainment revenues of $39.2 million, and other revenues from outlets such as the spa and salon, of $38.5 million. Food and beverage revenues increased primarily due to strong business in our restaurants and nightclubs at our Las Vegas Operations. Retail revenues at our Macau Operations increased $6.2 million due to strong same store sales growth and new stores. Entertainment revenues decreased due to a Las Vegas show that ended its run in November 2012.</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Departmental, Administrative and Other Expenses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2013, departmental expenses included casino expenses of $1,362.6 million, room expenses of $67.4 million, food and beverage expenses of $169.3 million, and entertainment, retail and other expenses of $83.3 million. Also included are general and administrative expenses of $227.3 million and a credit of $4.2 million for the provision for doubtful accounts receivable. For the six months ended June 30, 2012, departmental expenses included casino expenses of $1,320.3 million, room expenses of $63.2 million, food and beverage expenses of $154.9 million, and entertainment, retail and other expenses of $97.8 million. Also included for the six months ended June 30, 2012, are general and administrative expenses of $205.7 million and $0.8 million charged as a provision for doubtful accounts receivable. Casino expenses have increased for the six months ended June 30, 2013, over the prior year period due primarily to higher gaming taxes commensurate with the increase in casino revenue at our Las Vegas Operations and Macau Operations (where we incur a gaming tax and other levies at a rate totaling 39% in accordance with the concession agreement). Food and beverage expenses increased over the prior year period primarily due to additional nightclub promotional costs at our Las Vegas Operations. The decrease in entertainment, retail and other expenses was due primarily to a Las Vegas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4" w:right="239" w:bottom="1440" w:gutter="0" w:footer="0" w:header="0"/>
        </w:sectPr>
      </w:pPr>
    </w:p>
    <w:bookmarkStart w:id="42" w:name="page43"/>
    <w:bookmarkEnd w:id="42"/>
    <w:p>
      <w:pPr>
        <w:ind w:right="16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show that ended its run in November 2012. General and administrative expense increased primarily due to higher stock-based compensation expense related to the accelerated vesting of a restricted stock award that was previously granted to our former chief operating officer and increased development costs partially offset by higher expenses related to the share redemption and litigation with a former shareholder that were incurred during the prior year period. During the six months ended June 30, 2013 and 2012, we recorded adjustments of $14.9 million and $30.9 million, respectively to our reserve estimates for casino accounts receivable based on the results of historical collection patterns and current collection trends. These adjustments were the primary factors that resulted in a $4.2 million credit and a $0.8 million charge to the provision for doubtful accounts for the six months ended June 30, 2013 and 2012, respectively.</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and amortization for the six months ended June 30, 2013, was $185.7 million compared to $185.9 million for the six months ended June 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w:t>
      </w:r>
    </w:p>
    <w:p>
      <w:pPr>
        <w:spacing w:after="0" w:line="15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36"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Property charges and other for the six months ended June 30, 2013, were $11 million compared to $13.8 million for the six months ended June 30, 2012. For the six months ended June 30, 2013 and 2012, property charges and other related primarily to miscellaneous renovations and abandonments at our resorts, entertainment development costs and a contract termination fee.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response to our evaluation of our resorts and the reactions of our guests, we continue to remodel and make enhancements at our resorts.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Interest income was $8.4 million for the six months ended June 30, 2013, compared to $4 million for the six months ended June 30, 2012. During 2013 and 2012, our short-term investment strategy has been to preserve capital while retaining sufficient liquidity. The majority of our short-term investments were primarily in money market accounts, time deposits and fixed deposits with a maturity of three months or less.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was $149.1 million, net of capitalized interest of $3.4 million, for the six months ended June 30, 2013, compared to $135.9 million net of capitalized interest of $0.5 million for the six months ended June 30, 2012. Our interest expense increased compared to the prior year period primarily due to the issuance of the $1.94 billion Redemption Note by Wynn Resorts, and the Wynn Las Vegas $900 million 5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first mortgage notes in March 2012, offset by the reduction of $370.9 million in Wynn Las Vegas term loan borrowings. Capitalized interest increased due to the construction costs of our Cotai project. Capitalized interest will continue to increase with the ongoing borrowings and construction costs related to the Cotai project.</w:t>
      </w:r>
    </w:p>
    <w:p>
      <w:pPr>
        <w:spacing w:after="0" w:line="13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Changes in the fair value of our interest rate swaps are recorded as an increase or (decrease) in swap fair value in each period. We recorded a gain of $16.7 million for the six months ended June 30, 2013, resulting from the increase in the fair value of our interest rate swaps during the period. For the six months ended June 30, 2012,</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74" w:right="259" w:bottom="1440" w:gutter="0" w:footer="0" w:header="0"/>
        </w:sectPr>
      </w:pPr>
    </w:p>
    <w:bookmarkStart w:id="43" w:name="page44"/>
    <w:bookmarkEnd w:id="4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recorded a gain of $4.9 million resulting from the increase in the fair value of interest rate swaps between December 31, 2011 and June 30, 2012. In addition, in June 2012, we terminated an interest rate swap agreement that was used to hedge a portion of the underlying interest rate risk on borrowings under the then existing Wynn Las Vegas Credit Agreement for a payment of $2.4 million, and an interest rate swap agreement that was used to hedge a portion of the underlying interest rate risk on borrowings under the then existing Wynn Macau credit facilities matured. For further information on our interest rate swaps, see Item 3 – “Quantitative and Qualitative Disclosures about Market Risk.”</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May 22, 2013, Wynn Las Vegas completed the purchase of $274.7 million of the 2017 Notes pursuant to a tender offer for any and all of the 2017 Notes. In connection with this tender offer, Wynn Las Vegas paid $19.6 million in consideration to holders who tendered their notes. Additionally, Wynn Las Vegas expensed $6.7 million of unamortized debt issue costs and original issue discount related to the 2017 Notes and incurred other fees of approximately $0.3 million related to the tender offer. In accordance with the applicable accounting standards, we recorded these expenses and charges as a loss on retirement of debt totaling $26.6 million.</w:t>
      </w:r>
    </w:p>
    <w:p>
      <w:pPr>
        <w:spacing w:after="0" w:line="139" w:lineRule="exact"/>
        <w:rPr>
          <w:sz w:val="20"/>
          <w:szCs w:val="20"/>
          <w:color w:val="auto"/>
        </w:rPr>
      </w:pPr>
    </w:p>
    <w:p>
      <w:pPr>
        <w:jc w:val="both"/>
        <w:ind w:right="400" w:firstLine="456"/>
        <w:spacing w:after="0" w:line="258" w:lineRule="auto"/>
        <w:rPr>
          <w:sz w:val="20"/>
          <w:szCs w:val="20"/>
          <w:color w:val="auto"/>
        </w:rPr>
      </w:pPr>
      <w:r>
        <w:rPr>
          <w:rFonts w:ascii="Times New Roman" w:cs="Times New Roman" w:eastAsia="Times New Roman" w:hAnsi="Times New Roman"/>
          <w:sz w:val="18"/>
          <w:szCs w:val="18"/>
          <w:color w:val="auto"/>
        </w:rPr>
        <w:t>On March 12, 2012, Wynn Las Vegas entered into an eighth amendment to its Amended and Restated Credit Agreement (the “Wynn Las Vegas Credit Agreement”). In connection with this amendment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2013 and 2012, we recorded a tax benefit of $4 million and $4.9 million, respectively. Our income tax benefit is primarily related to a decrease in our deferred 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The Company has not provided deferred U.S. income taxes or foreign withholding taxes on temporary differences as these amounts are permanently reinvested. For the six months ended June 30, 2013, we recognized income tax benefits related to excess tax deductions associated with stock compensation costs of $10.1 million.</w:t>
      </w:r>
    </w:p>
    <w:p>
      <w:pPr>
        <w:spacing w:after="0" w:line="14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Wynn Macau, S.A. has received an exemption from Macau’s 12% Complementary Tax on casino gaming profits through December 31, 2015. Accordingly, the Company was exempted from the payment of $50.7 million and $46.6 million in such taxes during the six months ended June 30, 2013 and 2012, respectively. Our non-gaming profits remain subject to the Macau Complementary Tax and casino winnings remain subject to the Macau Special Gaming tax and other levies together totaling 39% in accordance with our concession agreement.</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February 2013, we received notification that we had been accepted into the IRS CAP for the 2013 tax year and in March 2013, we received additional notification that we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36"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January 2013, the Financial Services Bureau examined the 2009 and 2010 Macau income tax returns of Palo Real Estate Company Limited. The exam resulted in no change to the tax returns.</w:t>
      </w:r>
    </w:p>
    <w:p>
      <w:pPr>
        <w:spacing w:after="0" w:line="120"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In March 2013, the Financial Services Bureau commenced an examination of the 2009, 2010, and 2011 Macau income tax returns of Wynn Macau, S.A. Since the examination is in its initial stages, we are unable to determine if it will conclude within the next 12 months. We believe that our liability for uncertain tax positions is adequate with respect to these years.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274" w:right="259" w:bottom="1440" w:gutter="0" w:footer="0" w:header="0"/>
        </w:sectPr>
      </w:pPr>
    </w:p>
    <w:bookmarkStart w:id="44" w:name="page45"/>
    <w:bookmarkEnd w:id="44"/>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May 2013, the Company received notification that the IRS completed its examination of the Company’s 2011 U.S. income tax return and had no changes.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92"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$132.1 million for the six months ended June 30, 2013, compared to $119.1 million for the six months ended June 30, 2012. This represents the noncontrolling interests’ share of net income from Wynn Macau, Limited during each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4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Adjusted Property EBITDA (amounts in thousands) for our Macau and Las Vegas Operations as reviewed by management and summarized in Notes to Condensed Consolidated Financial Statements, Note 17 – “Segment Information.” That footnote also presents a reconciliation of Adjusted Property EBITDA to net income.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8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r>
      <w:tr>
        <w:trPr>
          <w:trHeight w:val="165"/>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80" w:type="dxa"/>
            <w:vAlign w:val="bottom"/>
          </w:tcPr>
          <w:p>
            <w:pPr>
              <w:spacing w:after="0"/>
              <w:rPr>
                <w:sz w:val="14"/>
                <w:szCs w:val="14"/>
                <w:color w:val="auto"/>
              </w:rPr>
            </w:pPr>
          </w:p>
        </w:tc>
        <w:tc>
          <w:tcPr>
            <w:tcW w:w="128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42"/>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180" w:type="dxa"/>
            <w:vAlign w:val="bottom"/>
            <w:tcBorders>
              <w:top w:val="single" w:sz="8" w:color="auto"/>
            </w:tcBorders>
            <w:gridSpan w:val="2"/>
          </w:tcPr>
          <w:p>
            <w:pPr>
              <w:jc w:val="center"/>
              <w:ind w:left="44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5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18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Operations</w:t>
            </w:r>
          </w:p>
        </w:tc>
        <w:tc>
          <w:tcPr>
            <w:tcW w:w="2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$290,088</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$302,210</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$620,799</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$591,983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Las Vegas Operations</w:t>
            </w:r>
          </w:p>
        </w:tc>
        <w:tc>
          <w:tcPr>
            <w:tcW w:w="2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135,657</w:t>
            </w:r>
          </w:p>
        </w:tc>
        <w:tc>
          <w:tcPr>
            <w:tcW w:w="5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81,919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182,803</w:t>
            </w:r>
          </w:p>
        </w:tc>
        <w:tc>
          <w:tcPr>
            <w:tcW w:w="100" w:type="dxa"/>
            <w:vAlign w:val="bottom"/>
          </w:tcPr>
          <w:p>
            <w:pPr>
              <w:spacing w:after="0"/>
              <w:rPr>
                <w:sz w:val="18"/>
                <w:szCs w:val="18"/>
                <w:color w:val="auto"/>
              </w:rPr>
            </w:pPr>
          </w:p>
        </w:tc>
      </w:tr>
      <w:tr>
        <w:trPr>
          <w:trHeight w:val="27"/>
        </w:trPr>
        <w:tc>
          <w:tcPr>
            <w:tcW w:w="38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425,745</w:t>
            </w:r>
          </w:p>
        </w:tc>
        <w:tc>
          <w:tcPr>
            <w:tcW w:w="1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384,129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876,813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774,786</w:t>
            </w:r>
          </w:p>
        </w:tc>
        <w:tc>
          <w:tcPr>
            <w:tcW w:w="100" w:type="dxa"/>
            <w:vAlign w:val="bottom"/>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For the three months ended June 30, 2013, the Adjusted Property EBITDA at our Macau Operations was lower due to a significantly larger credit taken to the provision for doubtful accounts during the three months ended June 30, 2012. For the three months ended June 30, 2013, our Las Vegas Operations benefitted from a significantly higher table games win percentage.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4" w:right="259" w:bottom="1440" w:gutter="0" w:footer="0" w:header="0"/>
        </w:sectPr>
      </w:pPr>
    </w:p>
    <w:bookmarkStart w:id="45" w:name="page46"/>
    <w:bookmarkEnd w:id="45"/>
    <w:p>
      <w:pPr>
        <w:ind w:right="500" w:firstLine="456"/>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six months ended June 30, 2013, both our Macau and Las Vegas Operations benefitted from stronger operating results primarily in the casino department due to an increase in our table games win percentage. Refer to the discussions above regarding the specific details of our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Operations</w:t>
      </w:r>
    </w:p>
    <w:p>
      <w:pPr>
        <w:spacing w:after="0" w:line="9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Our operating cash flows primarily consist of our operating income generated by our Macau and Las Vegas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11"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Net cash provided by operations for the six months ended June 30, 2013, was $910.8 million compared to $660.8 million provided by operations for the six months ended June 30, 2012. Cash flow from operations improved due to significant changes in ordinary working capital accounts such as accounts payable and accrued expenses. Also benefitting operating cash flow was increased operating income that was driven by stronger operating results in the casino department.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Capital expenditures were approximately $189.7 million for the six months ended June 30, 2013. During the first half of 2013, our capital expenditures, net of construction payables and retention, included approximately $145 million of site preparation costs for our Cotai land and various renovations at our resorts including our Wynn Macau guest room renovation. Capital expenditures for the six months ended June 30, 2012 were approximately $115.3 million and related to various renovations at our resorts as well as a one-time payment of $50 million in consideration of an unrelated third party’s relinquishment of certain rights in and to any future development on the Cotai land that we are using for constructing a full scale integrated casino resort.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92"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On May 15, 2013, Wynn Las Vegas, LLC commenced the tender offer for any and all of the outstanding $500 million aggregate principal amount of the 2017 Notes of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9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retirement of debt in the accompanying Condensed Consolidated Statements of Income. In addition, upon the tender offer completion, the Issuers entered into a supplemental indenture, which eliminated substantially all of the restrictive covenants and certain events of default from the 2017 Indenture.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4" w:right="239" w:bottom="1440" w:gutter="0" w:footer="0" w:header="0"/>
        </w:sectPr>
      </w:pPr>
    </w:p>
    <w:bookmarkStart w:id="46" w:name="page47"/>
    <w:bookmarkEnd w:id="46"/>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in connection with this transaction, unamortized debt issue costs and original issue discount related to the 2017 Notes totaling $6.7 million were expensed and are included in loss on retirement of debt in the accompanying Condensed Consolidated Statements of Income.</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Separately, on May 22, 2013, the Issuers completed its issuance of $500 million aggregate principal amount of 4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Senior Notes due 2023 (the “2023 Notes”) pursuant to an indenture, dated as of May 22, 2013 (the “2023 Indenture”), among the Issuers, all of the Issuers’ subsidiaries, other than Wynn Las Vegas Capital Corp. which was a co-issuer,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may use any remaining net proceeds to redeem any and all of the 2017 Notes not previously tendered. In connection with the issuance of the 2023 Notes, the Company capitalized approximately $4.1 million of financing costs.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of June 30, 2013, our Wynn Macau credit facilities, as amended, (collectively the “Amended Wynn Macau Credit Facilities”) consisted of a US$750 million equivalent fully funded senior secured term loan facility (the “Wynn Macau Senior Term Loan”) and a US$1.55 billion equivalent senior secured revolving credit facility (the “Wynn Macau Senior Revolver”). Borrowings under the Amended Wynn Macau Credit Facilities, which consist of both Hong Kong Dollars and United States Dollar tranches, were used to refinance Wynn Macau’s existing indebtedness, and will be used to fund the design, development, construction and pre-opening expenses of our Cotai project, and for general corporate purposes.</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As of June 30, 2013, there were no amounts outstanding under the Wynn Macau Senior Revolver. Accordingly, the Company has availability of US$1.55 billion under the Amended Wynn Macau Credit Facilities.</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July 30, 2013, Wynn Macau, S.A. exercised its option to increase the senior term loan facility by US$200 million equivalent pursuant to the terms and provisions of the Amended Wynn Macau Credit Facilities. The US$200 million equivalent was fully funded as of July 31, 2013 and is required to be used for the payment of certain Cotai related construction and development costs. The additional US$200 million equivalent will mature on July 31, 2018 and will bear interest at HIBOR plus a margin between 1.75% to 2.50% based on Wynn Macau’s leverage ratio.</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Resorts Redemption Price Promissory Note</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we redeemed and cancelled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we issued the Redemption Note to Aruze USA, Inc.,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274" w:right="279" w:bottom="1440" w:gutter="0" w:footer="0" w:header="0"/>
        </w:sectPr>
      </w:pPr>
    </w:p>
    <w:bookmarkStart w:id="47" w:name="page48"/>
    <w:bookmarkEnd w:id="47"/>
    <w:p>
      <w:pPr>
        <w:ind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recorded the fair value of the Redemption Note at its estimated present value of approximately $1.94 billion in accordance with applicable accounting guidance. In determining this fair value, we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 – “Commitments and Contingencies”); the outcome of ongoing investigations by the Nevada Gaming Control Board and/or other governmental regulatory agencies;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we used observable inputs from a range of trading values of financial instruments with terms and lives similar to the estimated life and terms of the Redemption Note. As a result of this analysis, we concluded the Redemption Note’s stated rate of 2% approximated a market rate.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At June 30, 2013 we had approximately $2 billion of cash and cash equivalents and $227.6 million of available for sale investments in foreign and domestic debt securities with maturities of up to two years. Our cash is available for operations, debt service and retirement, development activities, general corporate purposes and enhancements to our resorts. In addition, we have $243 million of restricted cash consisting of funds held for the purpose of redeeming, in November 2013, the portion of Wynn Las Vegas 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First Mortgage Notes due 2017 that were not tendered in May 2013. Of these amounts, Wynn Macau, Limited and its subsidiaries held $1,231.3 million and $28.3 million in cash and available for sale investments, respectively, of which we own 72.3%. If our portion of this cash was repatriated to the U.S. on June 30, 2013, approximately one-half of this amount would be subject to U.S. tax in the year of repatriation. Wynn Resorts, Limited, which is not a guarantor of the debt of its subsidiaries, held $591 million and $199.3 million of cash and available for sale investments, respectively. Wynn Las Vegas, LLC held cash balances of $205.9 million.</w:t>
      </w:r>
    </w:p>
    <w:p>
      <w:pPr>
        <w:spacing w:after="0" w:line="138"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On July 31, 2012, Wynn Macau, S.A. amended and restated its credit facilities, dated September 14, 2004 to expand the availability under the Wynn Macau, S.A. senior secured bank facility to US$2.3 billion equivalent, consisting of a US$750 million equivalent fully funded senior term loan facility and a US$1.55 billion equivalent senior secured revolving credit facility.</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of June 30, 2013, there were no amounts outstanding under the Wynn Macau Senior Revolver. Accordingly, the Company has availability of US$1.55 billion under the Amended Wynn Macau Credit Facilities.</w:t>
      </w:r>
    </w:p>
    <w:p>
      <w:pPr>
        <w:spacing w:after="0" w:line="12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July 30, 2013, Wynn Macau, S.A. exercised its option to increase the senior term loan facility by US$200 million equivalent pursuant to the terms and provisions of the Amended Wynn Macau Credit Facilities. The US$200 million equivalent was fully funded as of July 31, 2013 and is required to be used for the payment of certain Cotai related construction and development costs. The additional US$200 million equivalent will mature on July 31, 2018 and will bear interest at HIBOR plus a margin between 1.75% to 2.50% based on Wynn Macau’s leverage ratio.</w:t>
      </w:r>
    </w:p>
    <w:p>
      <w:pPr>
        <w:spacing w:after="0" w:line="136"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bank credit facility and our existing cash balances will be adequate to satisfy our anticipated uses of capital for the remainder of 2013. If any additional financing became necessary, we cannot provide assurance that future borrowings will be available.</w:t>
      </w:r>
    </w:p>
    <w:p>
      <w:pPr>
        <w:spacing w:after="0" w:line="13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Cash and cash equivalents include cash in bank and fixed deposits, investments in money market funds, domestic and foreign bank time deposits and commercial paper, all with maturities of less than 90 days.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made applications for gaming licenses in both Massachusetts and Pennsylvania and have announced potential projects in each jurisdiction. In each case, the process is competitive and we do not expect to know the outcome until early 2014. Proceeding with either or both of these projects will require significant expenditure of company funds.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2013, we had unsecured outstanding letters of credit totaling $15.8 million.</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six months ended June 30, 2013 to our contractual obligations or off balance sheet arrangements as disclosed in our Annual Report on Form 10-K for the year ended December 31, 2012.</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92"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its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Amended Wynn Macau Credit Facilities contain similar restrictions, Wynn Macau is currently in compliance with all requirements, namely satisfaction of its leverage ratio, which must be met in order to pay dividends and is presently able to pay dividends in accordance with the Amended Wynn Macau Credit Facilities.</w:t>
      </w:r>
    </w:p>
    <w:p>
      <w:pPr>
        <w:spacing w:after="0" w:line="13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S.A.’s debt service obligations with existing cash, operating cash flow and availability under the Amended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 Certain legal matters may also impact our liquidity. As described in our Notes to Condensed Consolidated Financial Statements, Note 15 – “Commitments and Contingencies”, Elaine Wynn has submitted a cross claim against Steve Wynn and Kazuo Okada. The indentures governing the Existing Notes (other than the 5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First Mortgage Notes due 2022) and the 2023 Notes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our debt documents.</w:t>
      </w:r>
    </w:p>
    <w:p>
      <w:pPr>
        <w:spacing w:after="0" w:line="139"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4" w:right="239" w:bottom="1440" w:gutter="0" w:footer="0" w:header="0"/>
        </w:sectPr>
      </w:pPr>
    </w:p>
    <w:bookmarkStart w:id="49" w:name="page50"/>
    <w:bookmarkEnd w:id="49"/>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3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February 18, 2012, the Board of Directors of Wynn Resorts determined that Aruze USA, Inc., Universal Entertainment Corporation and Mr. Kazuo Okada are “unsuitable” under the provision of our articles of incorporation and redeemed and cancelled all of Aruze USA, Inc.’s, 24,549,222 shares of Wynn Resorts’ common stock. Pursuant to our articles of incorporation, we issued the Redemption Note to Aruze USA, Inc. in redemption of the shares. For additional information on the redemption and the Redemption Note, see Notes to Condensed Consolidated Financial Statements, Note 15 – “Commitments and Contingencies.”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2012. There has been no material change to these policies for the six months ended June 30,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July 2013, the Financial Accounting Standards Board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is currently evaluating the impact, if any, of adopting this statement on its condensed consolidated financial statements.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February 2013, the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We have adopted this update; see Notes to Condensed Consolidated Financial Statements, Note 4 – “Accumulated Other Comprehensive Income.”</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update did not have a material impact on our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2"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Rate Risks</w:t>
      </w:r>
    </w:p>
    <w:p>
      <w:pPr>
        <w:spacing w:after="0" w:line="92"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92"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We have entered into floating-for-fixed interest rate swap arrangements relating to certain of our floating-rate debt facilities. We measure the fair value of our interest rate swaps on a recurring basis. Changes in the fair values of these interest rate swaps for each reporting period recorded are, and will continue to be, recognized as an increase/(decrease) in swap fair value in our Condensed Consolidated Statements of Income as the swaps do not qualify for hedge accounting.</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the Amended Wynn Macau Credit Facilities. Under two of the swap agreements, we pay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2013, essentially all of our debt was based on fixed rates including the notional amounts related to interest rate swaps.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Foreign Currency Risks</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39"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272" w:right="259" w:bottom="1440" w:gutter="0" w:footer="0" w:header="0"/>
        </w:sectPr>
      </w:pPr>
    </w:p>
    <w:bookmarkStart w:id="51" w:name="page52"/>
    <w:bookmarkEnd w:id="51"/>
    <w:p>
      <w:pPr>
        <w:ind w:right="120" w:firstLine="456"/>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Approximately 60% of our cash balances are denominated in foreign currencies, primarily the Hong Kong Dollar. Based on our balances at June 30, 2013, an assumed 1% change in the US dollar/Hong Kong dollar exchange rate would cause a foreign currency transaction gain/loss of approximately $7.7 million.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2013, in addition to Hong Kong dollars, Wynn Macau also holds other foreign currencies, primarily CNH (offshore renminbi).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ind w:right="100" w:firstLine="464"/>
        <w:spacing w:after="0" w:line="253"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38" w:lineRule="exact"/>
        <w:rPr>
          <w:rFonts w:ascii="Times New Roman" w:cs="Times New Roman" w:eastAsia="Times New Roman" w:hAnsi="Times New Roman"/>
          <w:sz w:val="18"/>
          <w:szCs w:val="18"/>
          <w:color w:val="auto"/>
        </w:rPr>
      </w:pPr>
    </w:p>
    <w:p>
      <w:pPr>
        <w:ind w:firstLine="464"/>
        <w:spacing w:after="0" w:line="264"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Note 15 – “Commitments and Contingencies” to our Condensed Consolidated Financial Statements in this Quarterly Report on Form 10-Q.</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2"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2012. There were no material changes to those risk factors during the six months ended June 30,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Dividend Restrictions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November 2009, our Board of Directors approved the commencement of a regular quarterly cash dividend program. On January 31, 2013 the Company announced a cash dividend of $1.00 per share, payable on February 28, 2013 to stockholders of record as of February 14, 2013. On April 25, 2013 the Company announced a cash dividend of $1.00 per share, payable on May 23, 2013 to stockholders of record as of May 9, 2013. On July 29, 2013 the Company announced a cash dividend of $1.00 per share, payable on August 26, 2013 to stockholders of record as of August 12, 2013. 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its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While the Amended Wynn Macau Credit Facilities contain similar restrictions, Wynn Macau is currently in compliance with all requirements, namely satisfaction of its leverage ratio, which must be met in order to pay dividends and is presently able to pay dividends in accordance with the Amended Wynn Macau Credit Facilities. On March 28, 2013, the Wynn Macau, Limited Board of Directors recommended the payment of a HK$1.24 per share dividend that was approved by the shareholders of Wynn Macau, Limited at their annual meeting on May 16, 2013 and subsequently paid on June 6, 2013.</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May 2013, the Company repurchased a total of 83,900 shares at an average price of $135.89 per share in satisfaction of tax withholding obligations on vested restricted stock.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272"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6. Exhibits</w:t>
      </w:r>
    </w:p>
    <w:p>
      <w:pPr>
        <w:spacing w:after="0" w:line="92"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80" w:type="dxa"/>
            <w:vAlign w:val="bottom"/>
            <w:gridSpan w:val="3"/>
          </w:tcPr>
          <w:p>
            <w:pPr>
              <w:ind w:left="4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6"/>
        </w:trPr>
        <w:tc>
          <w:tcPr>
            <w:tcW w:w="2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660" w:type="dxa"/>
            <w:vAlign w:val="bottom"/>
          </w:tcPr>
          <w:p>
            <w:pPr>
              <w:spacing w:after="0"/>
              <w:rPr>
                <w:sz w:val="14"/>
                <w:szCs w:val="14"/>
                <w:color w:val="auto"/>
              </w:rPr>
            </w:pPr>
          </w:p>
        </w:tc>
      </w:tr>
      <w:tr>
        <w:trPr>
          <w:trHeight w:val="316"/>
        </w:trPr>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w:t>
            </w: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Second Amended and Restated Articles of Incorporation of the Registrant. (1)</w:t>
            </w:r>
          </w:p>
        </w:tc>
      </w:tr>
      <w:tr>
        <w:trPr>
          <w:trHeight w:val="324"/>
        </w:trPr>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Fifth Amended and Restated Bylaws of the Registrant, as amended. (2)</w:t>
            </w:r>
          </w:p>
        </w:tc>
      </w:tr>
      <w:tr>
        <w:trPr>
          <w:trHeight w:val="324"/>
        </w:trPr>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w:t>
            </w: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2013 Amended and Restated Agreement of Lease, dated as of May 7, 2013, by and between Wynn Las Vegas, LLC and Stephen A. Wynn. (3)</w:t>
            </w:r>
          </w:p>
        </w:tc>
      </w:tr>
      <w:tr>
        <w:trPr>
          <w:trHeight w:val="312"/>
        </w:trPr>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10.2</w:t>
            </w: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Indenture, dated May 22, 2013, among Wynn Las Vegas, LLC, Wynn Las Vegas Capital Corp., the Guarantors named therein and U.S. Bank</w:t>
            </w: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National Association, as trustee. (4)</w:t>
            </w:r>
          </w:p>
        </w:tc>
      </w:tr>
      <w:tr>
        <w:trPr>
          <w:trHeight w:val="312"/>
        </w:trPr>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10.3</w:t>
            </w: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6"/>
              </w:rPr>
              <w:t>Supplemental Indenture, dated May 22, 2013, among Wynn Las Vegas, LLC, Wynn Las Vegas Capital Corp., the Guarantors named therein and</w:t>
            </w: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U.S. Bank National Association, as trustee. (4)</w:t>
            </w:r>
          </w:p>
        </w:tc>
      </w:tr>
      <w:tr>
        <w:trPr>
          <w:trHeight w:val="324"/>
        </w:trPr>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*31.1</w:t>
            </w: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Certification of Chief Executive Officer of Periodic Report Pursuant to Rule 13a – 14(a) and Rule 15d – 14(a).</w:t>
            </w:r>
          </w:p>
        </w:tc>
      </w:tr>
      <w:tr>
        <w:trPr>
          <w:trHeight w:val="324"/>
        </w:trPr>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*31.2</w:t>
            </w: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Certification of Chief Financial Officer of Periodic Report Pursuant to Rule 13a – 14(a) and Rule 15d – 14(a).</w:t>
            </w:r>
          </w:p>
        </w:tc>
      </w:tr>
      <w:tr>
        <w:trPr>
          <w:trHeight w:val="324"/>
        </w:trPr>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Certification of CEO and CFO Pursuant to 18 U.S.C. Section 1350.</w:t>
            </w:r>
          </w:p>
        </w:tc>
      </w:tr>
      <w:tr>
        <w:trPr>
          <w:trHeight w:val="312"/>
        </w:trPr>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94"/>
              </w:rPr>
              <w:t>*101</w:t>
            </w:r>
          </w:p>
        </w:tc>
        <w:tc>
          <w:tcPr>
            <w:tcW w:w="400" w:type="dxa"/>
            <w:vAlign w:val="bottom"/>
          </w:tcPr>
          <w:p>
            <w:pPr>
              <w:spacing w:after="0"/>
              <w:rPr>
                <w:sz w:val="24"/>
                <w:szCs w:val="24"/>
                <w:color w:val="auto"/>
              </w:rPr>
            </w:pP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The following financial information from the Company’s Quarterly Report on Form 10-Q for the quarter ended June 30, 2013, filed with the</w:t>
            </w: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7"/>
              </w:rPr>
              <w:t>SEC on August 9, 2013 formatted in Extensible Business Reporting Language (XBRL): (i) the Condensed Consolidated Balance Sheets at June</w:t>
            </w:r>
          </w:p>
        </w:tc>
      </w:tr>
    </w:tbl>
    <w:p>
      <w:pPr>
        <w:ind w:left="1260" w:right="40"/>
        <w:spacing w:after="0" w:line="254" w:lineRule="auto"/>
        <w:rPr>
          <w:sz w:val="20"/>
          <w:szCs w:val="20"/>
          <w:color w:val="auto"/>
        </w:rPr>
      </w:pPr>
      <w:r>
        <w:rPr>
          <w:rFonts w:ascii="Times New Roman" w:cs="Times New Roman" w:eastAsia="Times New Roman" w:hAnsi="Times New Roman"/>
          <w:sz w:val="18"/>
          <w:szCs w:val="18"/>
          <w:color w:val="auto"/>
        </w:rPr>
        <w:t>30, 2013 and December 31, 2012, (ii) the Condensed Consolidated Statements of Income for the three and six months ended June 30, 2013 and 2012, (iii) the Condensed Consolidated Statements of Comprehensive Income for the three and six months ended June 30, 2013 and 2012, (iv) the Condensed Consolidated Statements of Cash Flows for the six months ended June 30, 2013 and 2012, (v) the Condensed Consolidated Statement of Stockholders’ Equity at June 30, 2013 and (vi)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right="460" w:hanging="452"/>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 filed by the Registrant on December 14, 2012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Quarterly Report on Form 10-Q filed by the Registrant on May 10, 2013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 filed by the Registrant on May 22, 2013 and incorporated herein by reference.</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272" w:right="299" w:bottom="1440" w:gutter="0" w:footer="0" w:header="0"/>
        </w:sectPr>
      </w:pPr>
    </w:p>
    <w:bookmarkStart w:id="54" w:name="page55"/>
    <w:bookmarkEnd w:id="54"/>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7" w:lineRule="exact"/>
        <w:rPr>
          <w:sz w:val="20"/>
          <w:szCs w:val="20"/>
          <w:color w:val="auto"/>
        </w:rPr>
      </w:pPr>
    </w:p>
    <w:p>
      <w:pPr>
        <w:spacing w:after="0"/>
        <w:tabs>
          <w:tab w:leader="none" w:pos="5940" w:val="left"/>
          <w:tab w:leader="none" w:pos="6480" w:val="left"/>
        </w:tabs>
        <w:rPr>
          <w:sz w:val="20"/>
          <w:szCs w:val="20"/>
          <w:color w:val="auto"/>
        </w:rPr>
      </w:pPr>
      <w:r>
        <w:rPr>
          <w:rFonts w:ascii="Times New Roman" w:cs="Times New Roman" w:eastAsia="Times New Roman" w:hAnsi="Times New Roman"/>
          <w:sz w:val="18"/>
          <w:szCs w:val="18"/>
          <w:color w:val="auto"/>
        </w:rPr>
        <w:t>Dated: August 9,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Matt Maddox</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40"/>
          </w:cols>
          <w:pgMar w:left="240" w:top="272" w:right="11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A. Wynn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Matt Maddox</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3"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June 30, 2013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55"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58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9, 2013</w:t>
            </w:r>
          </w:p>
        </w:tc>
      </w:tr>
      <w:tr>
        <w:trPr>
          <w:trHeight w:val="420"/>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Matt Maddox</w:t>
            </w: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 Maddox</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28"/>
        </w:trPr>
        <w:tc>
          <w:tcPr>
            <w:tcW w:w="58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9, 2013</w:t>
            </w:r>
          </w:p>
        </w:tc>
      </w:tr>
    </w:tbl>
    <w:p>
      <w:pPr>
        <w:spacing w:after="0" w:line="150"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5"/>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2019-12-07T03:56:37Z</dcterms:created>
  <dcterms:modified xsi:type="dcterms:W3CDTF">2019-12-07T03:56:37Z</dcterms:modified>
</cp:coreProperties>
</file>