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WYNN RESORTS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983134107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Blossom Fountain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983134107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Herobright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983134107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Galaxy Entertainment Group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WYNN RESORTS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539"/>
        <w:spacing w:after="0"/>
        <w:rPr>
          <w:sz w:val="20"/>
          <w:szCs w:val="20"/>
          <w:color w:val="auto"/>
        </w:rPr>
      </w:pPr>
      <w:r>
        <w:rPr>
          <w:rFonts w:ascii="Times New Roman" w:cs="Times New Roman" w:eastAsia="Times New Roman" w:hAnsi="Times New Roman"/>
          <w:sz w:val="22"/>
          <w:szCs w:val="22"/>
          <w:color w:val="auto"/>
        </w:rPr>
        <w:t>3131 Las Vegas Boulevard South, Las Vegas, Nevada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ind w:left="920" w:right="380"/>
        <w:spacing w:after="0" w:line="239" w:lineRule="auto"/>
        <w:rPr>
          <w:sz w:val="20"/>
          <w:szCs w:val="20"/>
          <w:color w:val="auto"/>
        </w:rPr>
      </w:pPr>
      <w:r>
        <w:rPr>
          <w:rFonts w:ascii="Times New Roman" w:cs="Times New Roman" w:eastAsia="Times New Roman" w:hAnsi="Times New Roman"/>
          <w:sz w:val="22"/>
          <w:szCs w:val="22"/>
          <w:color w:val="auto"/>
        </w:rPr>
        <w:t>Blossom Fountain Limited ("Blossom") Herobright Limited ("Herobright") Galaxy Entertainment Group Limited ("Galaxy") Each of such persons is referred to herein individually as a "Reporting Person" and collectively as the "Reporting Persons." This Schedule 13G is being filed pursuant to a Joint Filing Agreement, attached hereto as Exhibit 1</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Blossom: Vistra Corporate Services Centre, Wickhams Cay II, Road Town, Tortola, VG1110, British Virgin Islands</w:t>
      </w:r>
    </w:p>
    <w:p>
      <w:pPr>
        <w:spacing w:after="0" w:line="2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Herobright: Vistra Corporate Services Centre, Wickhams Cay II, Road Town, Tortola, VG1110, British Virgin Islands</w:t>
      </w:r>
    </w:p>
    <w:p>
      <w:pPr>
        <w:spacing w:after="0" w:line="1"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Galaxy: 22nd Floor, Wing On Centre, 111 Connaught Road Central, Hong Kong</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the responses to row 4 of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983134107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80"/>
        <w:spacing w:after="0" w:line="253" w:lineRule="auto"/>
        <w:rPr>
          <w:sz w:val="20"/>
          <w:szCs w:val="20"/>
          <w:color w:val="auto"/>
        </w:rPr>
      </w:pPr>
      <w:r>
        <w:rPr>
          <w:rFonts w:ascii="Times New Roman" w:cs="Times New Roman" w:eastAsia="Times New Roman" w:hAnsi="Times New Roman"/>
          <w:sz w:val="21"/>
          <w:szCs w:val="21"/>
          <w:color w:val="auto"/>
        </w:rPr>
        <w:t>See the response to row 9 of the attached cover page of each Reporting Person. 5,200,000 Shares are held directly by Blossom. Blossom is a wholly-owned subsidiary of Herobright, which itself is wholly owned by Galaxy. As such,</w:t>
      </w:r>
    </w:p>
    <w:p>
      <w:pPr>
        <w:spacing w:after="0" w:line="1" w:lineRule="exact"/>
        <w:rPr>
          <w:sz w:val="20"/>
          <w:szCs w:val="20"/>
          <w:color w:val="auto"/>
        </w:rPr>
      </w:pPr>
    </w:p>
    <w:p>
      <w:pPr>
        <w:ind w:left="920" w:right="60" w:hanging="912"/>
        <w:spacing w:after="0" w:line="233"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Herobright and Galaxy may be deemed to have shared voting and dispositive power over, and thus to indirectly beneficially own, the 5,200,000 Shares directly owned by Blossom. Galaxy is a publicly traded company listed on The Stock Exchange of Hong Kong Limited. Voting and dispositive power over the Shares held by Blossom is exercised indirectly by a majority vote of the board of directors of Galaxy consisting of nine members, none of whom is individually deemed a beneficial owner of the Shares.</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 to row 11 of the attached cover page of each Reporting Person. This percentage is based on</w:t>
      </w:r>
    </w:p>
    <w:p>
      <w:pPr>
        <w:spacing w:after="0" w:line="14" w:lineRule="exact"/>
        <w:rPr>
          <w:rFonts w:ascii="Times New Roman" w:cs="Times New Roman" w:eastAsia="Times New Roman" w:hAnsi="Times New Roman"/>
          <w:sz w:val="22"/>
          <w:szCs w:val="22"/>
          <w:color w:val="auto"/>
        </w:rPr>
      </w:pPr>
    </w:p>
    <w:p>
      <w:pPr>
        <w:ind w:left="920" w:hanging="912"/>
        <w:spacing w:after="0" w:line="196"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103,976,531 Shares of the Issuer outstanding as of July 30, 2025, as reported in the Issuer's quarterly report on Form 10-Q filed with the Securities and Exchange Commission on August 7, 2025. The Reporting Persons became required to report on Schedule 13G solely due to a decrease in the total number of Shares outstanding, which brought their ownership in the Shares over five percent of the Shares outstanding. The Reporting Persons did not acquire any Shares in the twelve months prior to the date of this filing.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 to row 5 of the attached cover page of each Reporting Person.</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See the response to row 6 of the attached cover page of each Reporting Person, as well as the response to Item 4(a) above.</w:t>
      </w:r>
    </w:p>
    <w:p>
      <w:pPr>
        <w:sectPr>
          <w:pgSz w:w="11900" w:h="16838" w:orient="portrait"/>
          <w:cols w:equalWidth="0" w:num="1">
            <w:col w:w="11120"/>
          </w:cols>
          <w:pgMar w:left="360" w:top="355" w:right="41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 to row 7 of the attached cover page of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See the response to row 8 of the attached cover page of each Reporting Person, as well as the response to Item 4(a) above.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409" w:right="399" w:bottom="1440" w:gutter="0" w:footer="0" w:header="0"/>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Blossom Fountain Limited</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Francis Lui Yiu Tung</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10/24/2025</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Herobright Limited</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Francis Lui Yiu Tung</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10/24/2025</w:t>
      </w:r>
    </w:p>
    <w:p>
      <w:pPr>
        <w:spacing w:after="0" w:line="15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Galaxy Entertainment Group Limited</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Francis Lui Yiu Tung</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10/24/2025</w:t>
      </w:r>
    </w:p>
    <w:p>
      <w:pPr>
        <w:spacing w:after="0" w:line="108" w:lineRule="exact"/>
        <w:rPr>
          <w:sz w:val="20"/>
          <w:szCs w:val="20"/>
          <w:color w:val="auto"/>
        </w:rPr>
      </w:pPr>
    </w:p>
    <w:p>
      <w:pPr>
        <w:jc w:val="center"/>
        <w:ind w:right="2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 Joint Filing Agreement, dated as of October 24, 2025, among the Reporting Persons.</w:t>
      </w:r>
    </w:p>
    <w:p>
      <w:pPr>
        <w:sectPr>
          <w:pgSz w:w="11900" w:h="16838" w:orient="portrait"/>
          <w:cols w:equalWidth="0" w:num="1">
            <w:col w:w="11140"/>
          </w:cols>
          <w:pgMar w:left="360" w:top="409" w:right="39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Rule 13d-1(k)(1) under the Securities Exchange Act of 1934, as amended, the undersigned hereby agree that only one statement containing the information required by Schedule 13G need be filed with respect to the ownership by each of the undersigned of common stock, par value $0.01 per share, of Wynn Resorts, Limited (the “Shares”).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In accordance with Rule 13d-1(k)(1) under the Securities Exchange Act of 1934, as amended, the persons named below agree to the joint filing on behalf of each of them of a statement on Schedule 13G (including amendments thereto) with respect to the Shares beneficially owned by each of them and further agree that this Joint Filing Agreement be included as an exhibit to such Schedule 13G and any amendments thereto.</w:t>
      </w:r>
    </w:p>
    <w:p>
      <w:pPr>
        <w:spacing w:after="0" w:line="195" w:lineRule="exact"/>
        <w:rPr>
          <w:sz w:val="20"/>
          <w:szCs w:val="20"/>
          <w:color w:val="auto"/>
        </w:rPr>
      </w:pPr>
    </w:p>
    <w:p>
      <w:pPr>
        <w:jc w:val="both"/>
        <w:ind w:firstLine="45"/>
        <w:spacing w:after="0" w:line="216" w:lineRule="auto"/>
        <w:rPr>
          <w:sz w:val="20"/>
          <w:szCs w:val="20"/>
          <w:color w:val="auto"/>
        </w:rPr>
      </w:pPr>
      <w:r>
        <w:rPr>
          <w:rFonts w:ascii="Times New Roman" w:cs="Times New Roman" w:eastAsia="Times New Roman" w:hAnsi="Times New Roman"/>
          <w:sz w:val="18"/>
          <w:szCs w:val="18"/>
          <w:color w:val="auto"/>
        </w:rPr>
        <w:t>In evidence thereof, the undersigned, being duly authorized, have executed this Joint Filing Agreement this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October, 2025. This agreement may be executed in any number of counterparts, each of which shall be deemed an original.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Blossom Fountain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Francis Lui Yiu Tung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(Name/Title)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24,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Herobright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Francis Lui Yiu Tung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(Name/Title)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24,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Galaxy Entertainment Group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Francis Lui Yiu Tung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(Name/Title)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24,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2025-10-24T08:23:51Z</dcterms:created>
  <dcterms:modified xsi:type="dcterms:W3CDTF">2025-10-24T08:23:51Z</dcterms:modified>
</cp:coreProperties>
</file>