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5980" w:type="dxa"/>
            <w:vAlign w:val="bottom"/>
          </w:tcPr>
          <w:p>
            <w:pPr>
              <w:ind w:left="18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28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262255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660" w:space="680"/>
            <w:col w:w="5220" w:space="720"/>
            <w:col w:w="2000" w:space="720"/>
            <w:col w:w="420"/>
          </w:cols>
          <w:pgMar w:left="240" w:top="229"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620" w:space="720"/>
            <w:col w:w="5220" w:space="720"/>
            <w:col w:w="2000" w:space="720"/>
            <w:col w:w="420"/>
          </w:cols>
          <w:pgMar w:left="240" w:top="229"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580" w:space="160"/>
            <w:col w:w="260" w:space="100"/>
            <w:col w:w="160" w:space="180"/>
            <w:col w:w="1980"/>
          </w:cols>
          <w:pgMar w:left="240" w:top="229"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4260" w:type="dxa"/>
            <w:vAlign w:val="bottom"/>
          </w:tcPr>
          <w:p>
            <w:pPr>
              <w:spacing w:after="0"/>
              <w:rPr>
                <w:sz w:val="14"/>
                <w:szCs w:val="14"/>
                <w:color w:val="auto"/>
              </w:rPr>
            </w:pPr>
          </w:p>
        </w:tc>
        <w:tc>
          <w:tcPr>
            <w:tcW w:w="5500" w:type="dxa"/>
            <w:vAlign w:val="bottom"/>
            <w:gridSpan w:val="3"/>
          </w:tcPr>
          <w:p>
            <w:pPr>
              <w:jc w:val="center"/>
              <w:ind w:left="2799"/>
              <w:spacing w:after="0"/>
              <w:rPr>
                <w:sz w:val="20"/>
                <w:szCs w:val="20"/>
                <w:color w:val="auto"/>
              </w:rPr>
            </w:pPr>
            <w:r>
              <w:rPr>
                <w:rFonts w:ascii="Arial" w:cs="Arial" w:eastAsia="Arial" w:hAnsi="Arial"/>
                <w:sz w:val="14"/>
                <w:szCs w:val="14"/>
                <w:b w:val="1"/>
                <w:bCs w:val="1"/>
                <w:color w:val="auto"/>
                <w:w w:val="94"/>
              </w:rPr>
              <w:t>Outstanding at April 30, 2014</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920" w:type="dxa"/>
            <w:vAlign w:val="bottom"/>
            <w:gridSpan w:val="3"/>
          </w:tcPr>
          <w:p>
            <w:pPr>
              <w:jc w:val="center"/>
              <w:ind w:right="2940"/>
              <w:spacing w:after="0"/>
              <w:rPr>
                <w:sz w:val="20"/>
                <w:szCs w:val="20"/>
                <w:color w:val="auto"/>
              </w:rPr>
            </w:pPr>
            <w:r>
              <w:rPr>
                <w:rFonts w:ascii="Arial" w:cs="Arial" w:eastAsia="Arial" w:hAnsi="Arial"/>
                <w:sz w:val="18"/>
                <w:szCs w:val="18"/>
                <w:color w:val="auto"/>
                <w:w w:val="90"/>
              </w:rPr>
              <w:t>Common stock, $0.01 par value</w:t>
            </w:r>
          </w:p>
        </w:tc>
        <w:tc>
          <w:tcPr>
            <w:tcW w:w="5100" w:type="dxa"/>
            <w:vAlign w:val="bottom"/>
            <w:gridSpan w:val="2"/>
          </w:tcPr>
          <w:p>
            <w:pPr>
              <w:jc w:val="right"/>
              <w:ind w:right="460"/>
              <w:spacing w:after="0"/>
              <w:rPr>
                <w:sz w:val="20"/>
                <w:szCs w:val="20"/>
                <w:color w:val="auto"/>
              </w:rPr>
            </w:pPr>
            <w:r>
              <w:rPr>
                <w:rFonts w:ascii="Arial" w:cs="Arial" w:eastAsia="Arial" w:hAnsi="Arial"/>
                <w:sz w:val="18"/>
                <w:szCs w:val="18"/>
                <w:color w:val="auto"/>
              </w:rPr>
              <w:t>101,257,217</w:t>
            </w:r>
          </w:p>
        </w:tc>
        <w:tc>
          <w:tcPr>
            <w:tcW w:w="40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2014 (unaudited) and December 31, 2013</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(unaudited) – Three months ended March 31, 2014 and 2013</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(unaudited) – Three months ended March 31, 2014 and</w:t>
              </w:r>
            </w:hyperlink>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2013</w:t>
              </w:r>
            </w:hyperlink>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(unaudited) – Three months ended March 31, 2014</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Three months ended March 31, 2014 and 2013</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58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27</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1"/>
                <w:szCs w:val="21"/>
                <w:color w:val="auto"/>
              </w:rPr>
            </w:pPr>
          </w:p>
        </w:tc>
        <w:tc>
          <w:tcPr>
            <w:tcW w:w="300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120" w:type="dxa"/>
            <w:vAlign w:val="bottom"/>
            <w:gridSpan w:val="12"/>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946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42</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43</w:t>
              </w:r>
            </w:hyperlink>
          </w:p>
        </w:tc>
      </w:tr>
      <w:tr>
        <w:trPr>
          <w:trHeight w:val="507"/>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8"/>
          </w:tcPr>
          <w:p>
            <w:pPr>
              <w:jc w:val="center"/>
              <w:ind w:left="345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22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4"/>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52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(unaudited)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3,273,621</w:t>
            </w:r>
          </w:p>
        </w:tc>
        <w:tc>
          <w:tcPr>
            <w:tcW w:w="120" w:type="dxa"/>
            <w:vAlign w:val="bottom"/>
          </w:tcPr>
          <w:p>
            <w:pPr>
              <w:spacing w:after="0"/>
              <w:rPr>
                <w:sz w:val="21"/>
                <w:szCs w:val="21"/>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2,435,041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174,399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230,690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241,932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74,739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44,132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42,703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3,839,184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2,968,814</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5,036,430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4,934,449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199,936</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35,947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79,989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30,767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financing costs,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71,688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67,926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91,001</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unconsolidated affiliates</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4,148</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9,113,221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8,377,030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Accounts and construction payables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270,299</w:t>
            </w:r>
          </w:p>
        </w:tc>
        <w:tc>
          <w:tcPr>
            <w:tcW w:w="120" w:type="dxa"/>
            <w:vAlign w:val="bottom"/>
          </w:tcPr>
          <w:p>
            <w:pPr>
              <w:spacing w:after="0"/>
              <w:rPr>
                <w:sz w:val="21"/>
                <w:szCs w:val="21"/>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272,861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Current portion of land concession obligation</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29,328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29,341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Customer deposits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511,153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704,401</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Gaming taxes payable</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228,538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205,260</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83,769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73,567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101,442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49,797</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Construction retention</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1,255,325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1,455,534</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7,329,777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6,586,518</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Land concession obligation</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46,800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46,819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141,465</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42,753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14,343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8,792,479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8,244,679</w:t>
            </w:r>
          </w:p>
        </w:tc>
        <w:tc>
          <w:tcPr>
            <w:tcW w:w="0" w:type="dxa"/>
            <w:vAlign w:val="bottom"/>
          </w:tcPr>
          <w:p>
            <w:pPr>
              <w:spacing w:after="0"/>
              <w:rPr>
                <w:sz w:val="1"/>
                <w:szCs w:val="1"/>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114,241,860 and 114,170,493 shares issued; 101,257,217</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101,192,408 shares outstanding,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12,984,643 and 12,978,085 shares,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(1,144,845)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(1,143,419)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902,046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888,727</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2,913</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166,664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66,130</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Wynn Resorts, Limited stockholders’ deficit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(72,465)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(184,507)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393,207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316,858</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equity</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320,742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132,351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9,113,221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8,377,030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46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462"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1,226,133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1,106,503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120,480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141,837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139,701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106,860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101,548</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1,611,306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1,468,232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(97,693)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(89,578)</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1,513,613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1,378,654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783,734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697,188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74,953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73,873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40,326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111,277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94,909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92,518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1,136,782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1,045,006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376,831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333,648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Increase in swap fair value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267,002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272,144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226,896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202,963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100,237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102,009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101,373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303,043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272,144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Unrealized gain on available-for-sale securities, net of tax</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302,498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269,624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(68,456)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Wynn Resorts, Limited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226,511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201,168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460"/>
        <w:spacing w:after="0" w:line="327" w:lineRule="auto"/>
        <w:rPr>
          <w:sz w:val="20"/>
          <w:szCs w:val="20"/>
          <w:color w:val="auto"/>
        </w:rPr>
      </w:pPr>
      <w:r>
        <w:rPr>
          <w:rFonts w:ascii="Arial" w:cs="Arial" w:eastAsia="Arial" w:hAnsi="Arial"/>
          <w:sz w:val="13"/>
          <w:szCs w:val="13"/>
          <w:b w:val="1"/>
          <w:bCs w:val="1"/>
          <w:color w:val="auto"/>
        </w:rPr>
        <w:t xml:space="preserve">Balances, January 1, 2014 </w:t>
      </w:r>
      <w:r>
        <w:rPr>
          <w:rFonts w:ascii="Arial" w:cs="Arial" w:eastAsia="Arial" w:hAnsi="Arial"/>
          <w:sz w:val="13"/>
          <w:szCs w:val="13"/>
          <w:color w:val="auto"/>
        </w:rPr>
        <w:t>Net income</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unrealized gain on investments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520" w:right="20"/>
        <w:spacing w:after="0" w:line="307" w:lineRule="auto"/>
        <w:rPr>
          <w:sz w:val="20"/>
          <w:szCs w:val="20"/>
          <w:color w:val="auto"/>
        </w:rPr>
      </w:pPr>
      <w:r>
        <w:rPr>
          <w:rFonts w:ascii="Arial" w:cs="Arial" w:eastAsia="Arial" w:hAnsi="Arial"/>
          <w:sz w:val="11"/>
          <w:szCs w:val="11"/>
          <w:color w:val="auto"/>
        </w:rPr>
        <w:t>Shares repurchased by the Company and held as treasury shares</w:t>
      </w:r>
    </w:p>
    <w:p>
      <w:pPr>
        <w:spacing w:after="0" w:line="1" w:lineRule="exact"/>
        <w:rPr>
          <w:sz w:val="20"/>
          <w:szCs w:val="20"/>
          <w:color w:val="auto"/>
        </w:rPr>
      </w:pPr>
    </w:p>
    <w:p>
      <w:pPr>
        <w:ind w:left="520" w:right="500"/>
        <w:spacing w:after="0" w:line="512" w:lineRule="auto"/>
        <w:rPr>
          <w:sz w:val="20"/>
          <w:szCs w:val="20"/>
          <w:color w:val="auto"/>
        </w:rPr>
      </w:pPr>
      <w:r>
        <w:rPr>
          <w:rFonts w:ascii="Arial" w:cs="Arial" w:eastAsia="Arial" w:hAnsi="Arial"/>
          <w:sz w:val="11"/>
          <w:szCs w:val="11"/>
          <w:color w:val="auto"/>
        </w:rPr>
        <w:t>Issuance of restricted stock Cash dividends declared</w:t>
      </w:r>
    </w:p>
    <w:p>
      <w:pPr>
        <w:spacing w:after="0" w:line="1" w:lineRule="exact"/>
        <w:rPr>
          <w:sz w:val="20"/>
          <w:szCs w:val="20"/>
          <w:color w:val="auto"/>
        </w:rPr>
      </w:pPr>
    </w:p>
    <w:p>
      <w:pPr>
        <w:ind w:left="52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Stock-based compensation</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March 31, 2014</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20" w:type="dxa"/>
            <w:vAlign w:val="bottom"/>
            <w:gridSpan w:val="5"/>
          </w:tcPr>
          <w:p>
            <w:pPr>
              <w:ind w:left="4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0"/>
        </w:trPr>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1"/>
                <w:szCs w:val="11"/>
                <w:color w:val="auto"/>
              </w:rPr>
            </w:pPr>
          </w:p>
        </w:tc>
        <w:tc>
          <w:tcPr>
            <w:tcW w:w="6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Par</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4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equity (deficit)</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equity</w:t>
            </w:r>
          </w:p>
        </w:tc>
      </w:tr>
      <w:tr>
        <w:trPr>
          <w:trHeight w:val="241"/>
        </w:trPr>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101,192,408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1,142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(1,143,419)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888,727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2,913</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66,130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(184,507)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316,858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132,351</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226,896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226,896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76,147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303,043</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(606)</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61</w:t>
            </w:r>
          </w:p>
        </w:tc>
      </w:tr>
      <w:tr>
        <w:trPr>
          <w:trHeight w:val="270"/>
        </w:trPr>
        <w:tc>
          <w:tcPr>
            <w:tcW w:w="900" w:type="dxa"/>
            <w:vAlign w:val="bottom"/>
          </w:tcPr>
          <w:p>
            <w:pPr>
              <w:jc w:val="right"/>
              <w:ind w:right="57"/>
              <w:spacing w:after="0"/>
              <w:rPr>
                <w:sz w:val="20"/>
                <w:szCs w:val="20"/>
                <w:color w:val="auto"/>
              </w:rPr>
            </w:pPr>
            <w:r>
              <w:rPr>
                <w:rFonts w:ascii="Arial" w:cs="Arial" w:eastAsia="Arial" w:hAnsi="Arial"/>
                <w:sz w:val="13"/>
                <w:szCs w:val="13"/>
                <w:color w:val="auto"/>
              </w:rPr>
              <w:t>35,533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1,717</w:t>
            </w:r>
          </w:p>
        </w:tc>
      </w:tr>
      <w:tr>
        <w:trPr>
          <w:trHeight w:val="270"/>
        </w:trPr>
        <w:tc>
          <w:tcPr>
            <w:tcW w:w="900" w:type="dxa"/>
            <w:vAlign w:val="bottom"/>
          </w:tcPr>
          <w:p>
            <w:pPr>
              <w:jc w:val="right"/>
              <w:ind w:right="17"/>
              <w:spacing w:after="0"/>
              <w:rPr>
                <w:sz w:val="20"/>
                <w:szCs w:val="20"/>
                <w:color w:val="auto"/>
              </w:rPr>
            </w:pPr>
            <w:r>
              <w:rPr>
                <w:rFonts w:ascii="Arial" w:cs="Arial" w:eastAsia="Arial" w:hAnsi="Arial"/>
                <w:sz w:val="13"/>
                <w:szCs w:val="13"/>
                <w:color w:val="auto"/>
              </w:rPr>
              <w:t>(9,166)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00" w:type="dxa"/>
            <w:vAlign w:val="bottom"/>
          </w:tcPr>
          <w:p>
            <w:pPr>
              <w:jc w:val="right"/>
              <w:ind w:right="17"/>
              <w:spacing w:after="0"/>
              <w:rPr>
                <w:sz w:val="20"/>
                <w:szCs w:val="20"/>
                <w:color w:val="auto"/>
              </w:rPr>
            </w:pPr>
            <w:r>
              <w:rPr>
                <w:rFonts w:ascii="Arial" w:cs="Arial" w:eastAsia="Arial" w:hAnsi="Arial"/>
                <w:sz w:val="13"/>
                <w:szCs w:val="13"/>
                <w:color w:val="auto"/>
              </w:rPr>
              <w:t>(6,558)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(1,426)</w:t>
            </w:r>
          </w:p>
        </w:tc>
      </w:tr>
      <w:tr>
        <w:trPr>
          <w:trHeight w:val="270"/>
        </w:trPr>
        <w:tc>
          <w:tcPr>
            <w:tcW w:w="900" w:type="dxa"/>
            <w:vAlign w:val="bottom"/>
          </w:tcPr>
          <w:p>
            <w:pPr>
              <w:jc w:val="right"/>
              <w:ind w:right="57"/>
              <w:spacing w:after="0"/>
              <w:rPr>
                <w:sz w:val="20"/>
                <w:szCs w:val="20"/>
                <w:color w:val="auto"/>
              </w:rPr>
            </w:pPr>
            <w:r>
              <w:rPr>
                <w:rFonts w:ascii="Arial" w:cs="Arial" w:eastAsia="Arial" w:hAnsi="Arial"/>
                <w:sz w:val="13"/>
                <w:szCs w:val="13"/>
                <w:color w:val="auto"/>
              </w:rPr>
              <w:t>45,000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(126,362)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(126,303)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(126,303)</w:t>
            </w:r>
          </w:p>
        </w:tc>
      </w:tr>
      <w:tr>
        <w:trPr>
          <w:trHeight w:val="324"/>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2,449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2,449</w:t>
            </w:r>
          </w:p>
        </w:tc>
      </w:tr>
      <w:tr>
        <w:trPr>
          <w:trHeight w:val="28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9,094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9,094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9,456</w:t>
            </w:r>
          </w:p>
        </w:tc>
      </w:tr>
      <w:tr>
        <w:trPr>
          <w:trHeight w:val="237"/>
        </w:trPr>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101,257,217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1,142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(1,144,845)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902,046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2,528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166,664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(72,465)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393,207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320,742</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-2143125</wp:posOffset>
            </wp:positionV>
            <wp:extent cx="69380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-1800225</wp:posOffset>
            </wp:positionV>
            <wp:extent cx="69380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-1457325</wp:posOffset>
            </wp:positionV>
            <wp:extent cx="693801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-1114425</wp:posOffset>
            </wp:positionV>
            <wp:extent cx="693801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-736600</wp:posOffset>
            </wp:positionV>
            <wp:extent cx="69380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-359410</wp:posOffset>
            </wp:positionV>
            <wp:extent cx="69380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80"/>
            <w:col w:w="896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303,043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272,144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76,659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92,518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and write-offs of deferred financing costs and 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4,620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(Benefit) provision for doubtful accounts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7,004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Equity in income of unconsolidated affiliates, net of distributions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(3,144)</w:t>
            </w: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(7,904)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deposits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88,581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(18,291)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209,222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420,870</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(58,797)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corporate debt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(46,635)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(22,881)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or maturity of 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63,075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199,805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39,573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Deposits and purchase of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14,829</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(101,709)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756,229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first mortgage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612,797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(102,328)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in cash and cash equivalents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838,580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331,486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Balance,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2,435,041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1,725,219</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3,273,621</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2,056,705</w:t>
            </w: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24"/>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disclosures: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116,698</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121,386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5,535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property and equipment included in accounts and construction payables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4,205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27,550</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owns 72.3% of Wynn Macau, Limited, which operates a destination casino hotel resort in the Macau Special Administrative Region of the People’s Republic of China. The Company also owns and operates a destination casino hotel resort in Las Vegas, Nevada.</w:t>
      </w:r>
    </w:p>
    <w:p>
      <w:pPr>
        <w:spacing w:after="0" w:line="1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Company's fully integrated Macau resort of Wynn Macau and Encore at Wynn Macau features two luxury hotel towers with a total of 1,008 spacious guest rooms and suites, approximately 280,000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fully integrated resort as its Macau Operations.</w:t>
      </w:r>
    </w:p>
    <w:p>
      <w:pPr>
        <w:spacing w:after="0" w:line="18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Company's fully integrated Las Vegas resort of Wynn Las Vegas and Encore at Wynn Las Vegas features two luxury hotel towers with a total of 4,748 spacious guest rooms, suites and villas, approximately 186,000 square feet of casino space, 34 food and beverage outlets featuring signature chefs, an on-site 18-hole golf course, approximately 284,000 square feet of meeting and convention space, a Ferrari and Maserati dealership, approximately 99,000 square feet of retail space, as well as two showrooms, three nightclubs and a beach club. The Company refers to this fully integrated resort as its Las Vegas Operations.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is also currently constructing Wynn Palace, a fully integrated resort in the Cotai area of Macau containing a 1,700-room hotel, performance lake, meeting space, casino, spa, retail offerings, and food and beverage outlets. The Company continues to remain on schedule for an opening in the first half of 2016.</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2014,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2013.</w:t>
      </w:r>
    </w:p>
    <w:p>
      <w:pPr>
        <w:spacing w:after="0" w:line="2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condensed consolidated financial statements for the previous years have been reclassified to be consistent with the current year presentation. These reclassifications had no effect on the previously reported net income.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approximates fair value. Cash equivalents of $1,583.0 million and $1,349.6 million at March 31, 2014 and December 31, 2013, respectively, were invested in bank time deposits, money market accounts, U.S. Treasuries and commercial paper. In addition, the Company held bank deposits and cash on hand of approximately $1,690.6 million and $1,085.4 million as of March 31, 2014 and December 31, 2013,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Restricted cash consists primarily of certain proceeds of the Company’s financing activities that are restricted by the agreements governing the Company’s debt instruments for the payment of certain Wynn Palace related construction and development costs. Restricted cash balances totaled approximately $199.9 million at December 31, 2013. During the first quarter of 2014, the Company applied the restricted cash balances to payment of certain Wynn Palace related construction and development costs, with no remaining restricted cash balances at March 31, 2014.</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Investment securities consist of domestic and foreign short-term and long-term investments in corporate bonds and commercial paper reported at fair value, with unrealized gains and losses, net of tax, reported in other comprehensive income.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2014 and December 31, 2013, approximately 84% and 86% of the Company’s markers were due from customers residing outside the United States, primarily in Asia. Business or economic conditions or other significant events in these countries could affect the collectability of such receivables.</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recorded the fair value of the Redemption Price Promissory Note (the “Redemption Note”) of approximately $1.94 billion in accordance with applicable accounting guidance.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Universal Entertainment Corporation and Mr. Kazuo Okada (collectively, the “Okada Parties”) (see Note 14 “Commitments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reasonably determined that the estimated life of the Redemption Note could be less than the contractual life of the Redemption Note.</w:t>
      </w:r>
    </w:p>
    <w:p>
      <w:pPr>
        <w:spacing w:after="0" w:line="23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 As a result of this analysis, the Company concluded the Redemption Note's stated rate of 2% approximated a market rate.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65"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revenues; consequently, the Company’s casino revenues are reduced by discounts, commissions and points earned in the player’s club loyalty program.</w:t>
      </w:r>
    </w:p>
    <w:p>
      <w:pPr>
        <w:spacing w:after="0" w:line="14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1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13,056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31,042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27,764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3,558</w:t>
            </w:r>
          </w:p>
        </w:tc>
      </w:tr>
      <w:tr>
        <w:trPr>
          <w:trHeight w:val="237"/>
        </w:trPr>
        <w:tc>
          <w:tcPr>
            <w:tcW w:w="83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47,592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44,378</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gross gaming revenue and are recorded as casino expenses in the accompanying Condensed Consolidated Statements of Income. These taxes totaled approximately $550.2 million and $481.2 million for the three months ended March 31, 2014 and 2013,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1,583,046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1,582,841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254,823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254,823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1,349,647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220,923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1,128,724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199,936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199,936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254,388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March 31, 2014 and December 31, 2013, approximately 63% and 91% of the Company’s cash equivalents categorized as Level 2 were deposits held in foreign currencies,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July 2013, the Financial Accounting Standards Board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adoption of this update prospectively during the quarter resulted in the presentation of unrecognized tax benefits of $29.3 million previously reflected in other long-term liabilities to be classified in long-term deferred income taxes, net, in the Condensed Consolidated Balance Sheet, at March 31, 2014.</w:t>
      </w:r>
    </w:p>
    <w:p>
      <w:pPr>
        <w:spacing w:after="0" w:line="2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common shares outstanding during the period.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97"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attributable to Wynn Resorts, Ltd.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226,896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202,963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100,237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and common equivalent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101,373</w:t>
            </w: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Wynn Resorts, Ltd. per common share,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Net income attributable to Wynn Resorts, Ltd. per common share,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Anti-dilutive stock options excluded from the calculation of diluted earnings per share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gain on</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translation</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period other comprehensive (loss) gain</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2014, there were no amounts reclassified from accumulated other comprehensive income.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214,802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214,890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221,418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221,434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39,930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39,933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32,941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254,732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254,823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254,359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254,388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For investments with unrealized losses as of March 31, 2014 and December 31, 2013, the Company has determined that (i) it does not have the intent to sell any of these investments, and (ii) it is not likely that the Company will be required to sell</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investments prior to the recovery of the amortized cost. Accordingly, the Company has determined that no other-than-temporary impairments exist at the reporting dates.</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these investment securities at March 31, 2014, by contractual maturity,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in one year or less</w:t>
            </w: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218,876</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Due after one year through two years</w:t>
            </w:r>
          </w:p>
        </w:tc>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35,947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254,823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Receivables, net</w:t>
            </w:r>
          </w:p>
        </w:tc>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12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ind w:left="420"/>
              <w:spacing w:after="0"/>
              <w:rPr>
                <w:sz w:val="20"/>
                <w:szCs w:val="20"/>
                <w:color w:val="auto"/>
              </w:rPr>
            </w:pPr>
            <w:r>
              <w:rPr>
                <w:rFonts w:ascii="Arial" w:cs="Arial" w:eastAsia="Arial" w:hAnsi="Arial"/>
                <w:sz w:val="18"/>
                <w:szCs w:val="18"/>
                <w:color w:val="auto"/>
              </w:rPr>
              <w:t>Receivables, net consisted of the following (in thousands):</w:t>
            </w: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252,998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Hotel</w:t>
            </w:r>
          </w:p>
        </w:tc>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3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47,539</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293,378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315,923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(73,991)</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230,690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241,932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1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7 -</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733,233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3,872,997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3,883,442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1,695,071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1,686,522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interests in land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316,550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717,417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558,624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7,470,436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7,313,411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(2,434,006)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(2,378,962)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5,036,430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4,934,449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  Long-Term Debt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Long-term debt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Wynn Macau Senior Term Loan, due July 31, 2017 and July 31, 2018; interest at LIBOR or HIBOR plus 1.75%—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net of original issue discount of $4,631 at March 31, 2014 and $4,900 at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947,986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948,028</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5 1/4% Wynn Macau, Limited Senior Notes, due October 15, 2021, including original issue premium of $5,606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March 31, 2014 and none at December 31, 2013</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1,355,606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7 7/8% Wynn Las Vegas First Mortgage Notes, due May 1, 2020, net of original issue discount of $1,418 at March</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2014 and $1,463 at December 31, 2013</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350,592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350,547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7 3/4% Wynn Las Vegas First Mortgage Notes, due August 15, 2020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1,308,000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1,320,000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 3/8% Wynn Las Vegas First Mortgage Notes, due March 15, 2022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 1/4% Wynn Las Vegas Senior Notes, due May 30, 2023</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32,550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7,330,827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6,587,568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7,329,777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6,586,518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1/4% Wynn Macau, Limited Senior Notes due 2021</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On March 20, 2014, Wynn Macau, Limited (“WML”), an indirect subsidiary of Wynn Resorts, Limited, issued $750 million aggregate principal amount of 5 1/4% Senior Notes due 2021 (the “Additional 2021 Notes”), which were consolidated and form a single series with the $600 million aggregate principal amount of 5 1/4% Senior Notes due 2021 issued by WML on October 16, 2013 (the “Original 2021 Notes” and together with the “Additional 2021 Notes”, the “2021 Notes”). WML received net proceeds of approximately $748.8 million after adding the original issue premium and deducting commissions and estimated expenses of the offering. WML will use the net proceeds for working capital requirements and general corporate purposes.</w:t>
      </w:r>
    </w:p>
    <w:p>
      <w:pPr>
        <w:spacing w:after="0" w:line="158"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Additional 2021 Notes have the same terms and conditions as those of the Original 2021 Notes. 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aggregate principal amount of the 2021 Notes or (b) a “make-whole” amount as determined by an independent investment banker in accordance with the terms of the WML Indenture, in either case, plus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7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S.A.’s existing credit facilities. The 2021 Notes are not registered under the Securities Act of 1933, as amended (the “Securities Act”), and the 2021 Notes are subject to restrictions on transferability and resale.</w:t>
      </w:r>
    </w:p>
    <w:p>
      <w:pPr>
        <w:spacing w:after="0" w:line="17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first quarter of 2014, Wynn Las Vegas, LLC repurchased and canceled $12.0 million in principal plus interest of its 7 3/4% first mortgage notes due August 15, 2020 through an open market transaction. The Company incurred $1.5 million in expenses associated primarily with the premium paid for the repurchases and unamortized deferred financing costs included in loss on extinguishment of debt in the accompanying Condensed Consolidated Statements of Income.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jc w:val="both"/>
        <w:ind w:right="340" w:firstLine="405"/>
        <w:spacing w:after="0" w:line="259" w:lineRule="auto"/>
        <w:rPr>
          <w:sz w:val="20"/>
          <w:szCs w:val="20"/>
          <w:color w:val="auto"/>
        </w:rPr>
      </w:pPr>
      <w:r>
        <w:rPr>
          <w:rFonts w:ascii="Arial" w:cs="Arial" w:eastAsia="Arial" w:hAnsi="Arial"/>
          <w:sz w:val="18"/>
          <w:szCs w:val="18"/>
          <w:color w:val="auto"/>
        </w:rPr>
        <w:t>The Company's credit facilities consist of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As of March 31, 2014, there were no amounts outstanding under the Wynn Macau Senior Revolving Credit Facility.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estimated fair value of the Company's long-term debt, excluding the Redemption Note, as of March 31, 2014 and December 31, 2013, was approximately $5.6 billion and $4.8 billion, respectively, compared to its carrying value of $5.4 billion and $4.7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Interest Rate Swaps</w:t>
      </w:r>
    </w:p>
    <w:p>
      <w:pPr>
        <w:spacing w:after="0" w:line="17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7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utilized Level 2 inputs as described in Note 2 “Summary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March 31, 2014 and December 31, 2013, the interest rate swaps were recorded as an asset of $11.1 million and $10.3 million, respectively, and included in deposits and other assets.</w:t>
      </w:r>
    </w:p>
    <w:p>
      <w:pPr>
        <w:spacing w:after="0" w:line="18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Wynn Macau Senior Term Loan. Under two of the swap agreements, the Company pays a fixed interest rate (excluding the applicable interest margin) of</w:t>
      </w:r>
    </w:p>
    <w:p>
      <w:pPr>
        <w:ind w:right="60"/>
        <w:spacing w:after="0" w:line="277" w:lineRule="auto"/>
        <w:rPr>
          <w:sz w:val="20"/>
          <w:szCs w:val="20"/>
          <w:color w:val="auto"/>
        </w:rPr>
      </w:pPr>
      <w:r>
        <w:rPr>
          <w:rFonts w:ascii="Arial" w:cs="Arial" w:eastAsia="Arial" w:hAnsi="Arial"/>
          <w:sz w:val="17"/>
          <w:szCs w:val="17"/>
          <w:color w:val="auto"/>
        </w:rPr>
        <w:t>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7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Under the third swap agreement, the Company pays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March 31, 2014 and December 31, 2013, Mr. Wynn and the other officers and directors had a net deposit balance with the Company of approximately $1.6 million and $0.8 million, respectively.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Mr. Wynn currently leases from Wynn Las Vegas a villa which serves as Mr. Wynn’s personal residence. The restated lease agreement and amendments (“SW Lease”) were approved by the Audit Committee of the Board of Directors of Wynn Resorts. Pursuant to the SW Lease, Mr. Wynn pays Wynn Las Vegas annual rent for the villa of $525,000, which amount was determined to be the fair market value of the accommodations based on a third-party appraisal. In addition, pursuant to the SW Lease, Wynn Las Vegas pays for all capital improvements to the villa. The rental value for the villa will be re-determined every two years during the term of the SW Lease by the Audit Committee, with the current rent rate effective through February 28, 2015. Certain services for, and maintenance of, the villa are included in the annual rent.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Aircraft Purchase Option Agreement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Charges and Other</w:t>
      </w:r>
    </w:p>
    <w:p>
      <w:pPr>
        <w:spacing w:after="0" w:line="22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Property charges and other generally include costs related to the retirement of assets for remodels and asset abandonments. Property charges and other for the three months ended March 31, 2014 and 2013 were $9.9 million and $5.3 million, respectively. During the first quarter 2014, the Company incurred property charges primarily associated with the renovation of approximately 27,000 square feet of casino space at Wynn Macau for new VIP gaming rooms. The Company expects to complete this renovation before Chinese New Year of 2015. Property charges for the three months ended March 31, 2013 were primarily from miscellaneous renovations and abandonments at our resorts.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22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this subsidiary’s common stock. The shares of Wynn Macau, Limited were not and will not be registered under the Securities Act and may not be offered or sold in the United States absent a registration under the Securities Act, or an applicable exception from such registration requirements. Net income attributable to noncontrolling interest was $76.1 million and $69.2 million for the three months ended March 31, 2014 and 2013,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(in thousands):</w:t>
      </w:r>
    </w:p>
    <w:p>
      <w:pPr>
        <w:spacing w:after="0" w:line="37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Rooms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2,639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3,921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5,535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stock-based compensation costs</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9,456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1,170</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81"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During the first quarter of 2013, the Company reversed stock-based compensation expense allocated to general and administrative related to restricted stock granted in 2008 and 2011 with an average nine year cliff vest provision that were modified and forfeited during the first quarter of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Cotai Development and Land Concession Contract</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is currently constructing Wynn Palace, a fully integrated resort containing a 1,700-room hotel, performance lake, meeting space, casino, spa, retail and food and beverage outlets.</w:t>
      </w:r>
    </w:p>
    <w:p>
      <w:pPr>
        <w:spacing w:after="0" w:line="17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September 2011, Wynn Resorts (Macau) S.A. and Palo Real Estate Company Limited (“Palo”),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March 31, 2014 and December 31, 2013, the Company has recorded this obligation and related asset with $29.3 million included as a current liability and $46.8 million included as a long-term liability. The Company is also required to make annual lease payments of $0.8 million during the resort construction period and annual payments of approximately $1.1 million once the development is completed.</w:t>
      </w:r>
    </w:p>
    <w:p>
      <w:pPr>
        <w:spacing w:after="0" w:line="16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On July 29, 2013, Wynn Macau, S.A. and Palo finalized and executed a guaranteed maximum price construction (“GMP”) contract with Leighton Contractors (Asia) Limited, acting as the general contractor. Under the GMP contract, the general contractor is responsible for both the design and construction of the Wynn Palace project. The general contractor is obligated to substantially complete the project in the first half of 2016 for a guaranteed maximum price of HK$20 billion (approximately US$2.57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March 31, 2014, the Company incurred approximately $866.7 million of the $4.0 billion in total project budget costs. The total project budget includes all construction costs, capitalized interest, pre-opening expenses, land costs and financing fees. The Company continues to remain on schedule for an opening in the first half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Atlantic-Pacific Capital</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On May 3, 2010, Atlantic-Pacific Capital, Inc. (“APC”) filed an arbitration demand with JAMS, a private alternative dispute resolution provider, regarding an agreement with the Company. The action concerns a claim for compensation pursuant to an agreement entered into between APC and the Company on or about March 30, 2009, whereby APC was engaged to raise private equity capital for a specific investment vehicle to be sponsored by the Company. The investment vehicle was never formed. The Company has denied APC’s claims for compensation. After APC's demand in early 2010,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arbitration hearing took place during April 2014. The Arbitrator ordered the submission of post-hearing briefs, with the final brief due on or before June 12, 2014, and is expected to enter a decision within 30 days thereafter. Management maintains its belief that APC’s claims against the Company are without merit, and the Company intends to continue to defend this matter vigorously.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 USA, Inc.’s 24,549,222 shares of Wynn Resorts’ common stock. Following a finding of “unsuitability,” Article VII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Wynn Resorts’ articles of incorporation authorizes redemption at “fair value” of the shares held by unsuitable persons. The Company engaged an independent financial adviser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6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 USA, Inc.</w:t>
      </w:r>
    </w:p>
    <w:p>
      <w:pPr>
        <w:spacing w:after="0" w:line="17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88"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On June 19, 2012, Elaine Wynn asserted a cross claim against Stephen A. Wynn and Aruze USA, Inc.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 1/4% Senior Notes due 2023 (the "2023 Indenture," and, together with the 2020 Indentures, the "Indentures") provide that if Stephen A. Wynn, together with certain related parties, in the aggregate beneficially owns a lesser percentage of the outstanding common stock of the Company than are beneficially owned by any other person, a change of control will have occurred. The indentures for Wynn Las Vegas, LLC's 5 3/8% first mortgage notes due 2022 (the "2022 Indenture") provides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Wynn Las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Vegas debt documents. Under the 2020 Indentures and the 2022 Indenture,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67"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w:t>
      </w:r>
    </w:p>
    <w:p>
      <w:pPr>
        <w:spacing w:after="0" w:line="17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On each of February 14, 2013, and February 13, 2014, the Company issued a check to Aruze USA, Inc. in the amount of $38.7 million, representing the interest payments due on the Redemption Note at those times. However, those checks were not cashed. The parties engaged in discussions regarding the terms of an escrow agreement in accordance with a prior court order. However,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for deposit into the Clerk's Trust Account and filed a Notice with the Court with respect to the same.</w:t>
      </w:r>
    </w:p>
    <w:p>
      <w:pPr>
        <w:spacing w:after="0" w:line="16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August 28, 2012, Mr. Okada, Universal Entertainment Corporation and Okada Holdings (“Okada Japan Parties”) filed a complaint in Tokyo District Court against the Company, all members of the Board of Directors (other than Mr. Okada) and the Company’s General Counsel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April 24, 2014, a hearing took place, with a decision on the appeal expected in June, 2014.</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 (3) stayed the claims asserted by the Company against Mr. Okada pending the resolution of the Redemption Action.</w:t>
      </w:r>
    </w:p>
    <w:p>
      <w:pPr>
        <w:spacing w:after="0" w:line="16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donation to the University of Macau discussed above. The Company has not received any target letter or subpoena in connection with such an investigation. The Company intends to cooperate fully with the government in response to any inquiry related to the donation to the University of Macau.</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firstLine="8"/>
        <w:spacing w:after="0" w:line="267"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w:t>
      </w:r>
    </w:p>
    <w:p>
      <w:pPr>
        <w:spacing w:after="0" w:line="18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ind w:right="40" w:firstLine="8"/>
        <w:spacing w:after="0" w:line="28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February 5, 2014, the court entered a new stipulation between the parties that provides for a further stay of the state derivative action and directs the parties, within 30 days of the conclusion of the Stay in the Redemption Action, to discuss how the state derivative action should proceed and to file a joint report with the court.</w:t>
      </w:r>
    </w:p>
    <w:p>
      <w:pPr>
        <w:spacing w:after="0" w:line="16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For the three months ended March 31, 2014 and 2013, the Company recorded tax expense of $2.6 million and tax benefit of $5.1 million, respectively. The Company’s income tax expense for the three months ended March 31, 2014 is primarily related to an increase in the domestic valuation allowance for U.S. foreign tax credits that are not expected to provide a U.S. tax benefit in future years. The Company’s income tax benefit for the three months ended March 31, 2013 is primarily related to a decrease in deferred tax liabilities reduced by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three months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ended March 31, 2014 and 2013, the Company recognized income tax benefits related to excess tax deductions associated with stock compensation costs of $2.4 million and $1.2 million, respectively.</w:t>
      </w:r>
    </w:p>
    <w:p>
      <w:pPr>
        <w:spacing w:after="0" w:line="170"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Wynn Macau, S.A. has received a 5-year exemption from Macau’s 12% Complementary Tax on casino gaming profits through December 31, 2015. Accordingly, the Company was exempted from the payment of $31.6 million and $26.5 million in such taxes during each of the three months ended March 31, 2014 and 2013. The Company’s non-gaming profits remain subject to the Macau Complementary Tax and casino winnings remain subject to the Macau Special Gaming tax and other levies together totaling 39% in accordance with its concession agreement.</w:t>
      </w:r>
    </w:p>
    <w:p>
      <w:pPr>
        <w:spacing w:after="0" w:line="11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December 2013, the Company received notification that for the 2014 tax year it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February 2014, the Company received notification that the IRS completed its examination of the Company’s 2012 U.S. income tax return and had no changes.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its Macau Operations and its Las Vegas Operations. The Company’s total assets by segment are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4,828,933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3,918,163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4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3,515,731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768,557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882,219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9,113,221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8,377,030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segment information for its results of operations are as follows (in thousands):</w:t>
      </w:r>
    </w:p>
    <w:p>
      <w:pPr>
        <w:spacing w:after="0" w:line="163"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1,132,698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992,065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386,589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1,513,613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1,378,654</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Property EBITDA (1)</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384,328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330,711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120,357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494,616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451,068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92,518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117,785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117,420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333,648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Non-operating costs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(75,256)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(66,646)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305,652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267,002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303,043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272,144</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8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64" w:lineRule="exact"/>
        <w:rPr>
          <w:sz w:val="20"/>
          <w:szCs w:val="20"/>
          <w:color w:val="auto"/>
        </w:rPr>
      </w:pPr>
    </w:p>
    <w:p>
      <w:pPr>
        <w:ind w:left="340"/>
        <w:spacing w:after="0" w:line="306" w:lineRule="auto"/>
        <w:rPr>
          <w:sz w:val="20"/>
          <w:szCs w:val="20"/>
          <w:color w:val="auto"/>
        </w:rPr>
      </w:pPr>
      <w:r>
        <w:rPr>
          <w:rFonts w:ascii="Arial" w:cs="Arial" w:eastAsia="Arial" w:hAnsi="Arial"/>
          <w:sz w:val="18"/>
          <w:szCs w:val="18"/>
          <w:color w:val="auto"/>
        </w:rPr>
        <w:t>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On May 1, 2014 the Company announced a cash dividend of $1.25 per share of its outstanding common stock. The cash dividend will be payable on May 29, 2014 to stockholders of record on May 15, 2014.</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2013.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 the Macau Special Administrative Region of the People’s Republic of China (“Macau”), we operate and own 72.3% of Wynn Macau and Encore at Wynn Macau. We refer to the fully integrated Wynn Macau and Encore at Wynn Macau resort as Wynn Macau | Encore or as our Macau Operations. In Las Vegas, Nevada, we own and operate Wynn Las Vegas and Encore at Wynn Las Vegas, which we refer to as Wynn Las Vegas | Encore or our Las Vegas Operations. We are developing Wynn Palace, a fully integrated casino resort in the Cotai area of Macau.</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Wynn Macau | Encore under a 20-year casino concession agreement granted by the Macau government in June 2002.</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Macau resort complex features:</w:t>
      </w:r>
    </w:p>
    <w:p>
      <w:pPr>
        <w:spacing w:after="0" w:line="279" w:lineRule="exact"/>
        <w:rPr>
          <w:sz w:val="20"/>
          <w:szCs w:val="20"/>
          <w:color w:val="auto"/>
        </w:rPr>
      </w:pPr>
    </w:p>
    <w:p>
      <w:pPr>
        <w:ind w:left="1300" w:right="2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280,000 square feet of casino space, offering 24-hour gaming and a full range of games, including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117" w:lineRule="exact"/>
        <w:rPr>
          <w:rFonts w:ascii="Arial" w:cs="Arial" w:eastAsia="Arial" w:hAnsi="Arial"/>
          <w:sz w:val="18"/>
          <w:szCs w:val="18"/>
          <w:color w:val="auto"/>
        </w:rPr>
      </w:pPr>
    </w:p>
    <w:p>
      <w:pPr>
        <w:ind w:left="1300" w:right="180" w:hanging="644"/>
        <w:spacing w:after="0" w:line="31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Approximately 57,000 square feet of high-end, brand-name retail shopping, including stores and boutiques by Bvlgari, Cartier, Chanel, Dior, Dunhill, Ferrari, Giorgio Armani, Graff, Gucci, Hermes, Hugo Boss, Jaegar-LeCoultre, Loro Piana, Louis Vuitton, Miu Miu, Piaget, Prada, Roger Dubuis, Rolex, Tiffany, Tudor, Vacheron Constantin, Van Cleef &amp; Arpels, Versace, Vertu, Ermenegildo Zegna and others;</w:t>
      </w:r>
    </w:p>
    <w:p>
      <w:pPr>
        <w:spacing w:after="0" w:line="38"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31,000 square feet of space for lounges and meeting facilities.</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 In March 2014, we began renovation of approximately 27,000 square feet of our casino space at Wynn Macau for new VIP gaming rooms. We expect to complete this renovation before Chinese New Year of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5 acres adjacent to the golf course on which an office building is located.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Las Vegas resort complex features:</w:t>
      </w:r>
    </w:p>
    <w:p>
      <w:pPr>
        <w:spacing w:after="0" w:line="387" w:lineRule="exact"/>
        <w:rPr>
          <w:sz w:val="20"/>
          <w:szCs w:val="20"/>
          <w:color w:val="auto"/>
        </w:rPr>
      </w:pPr>
    </w:p>
    <w:p>
      <w:pPr>
        <w:ind w:left="1300" w:right="1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117" w:lineRule="exact"/>
        <w:rPr>
          <w:rFonts w:ascii="Arial" w:cs="Arial" w:eastAsia="Arial" w:hAnsi="Arial"/>
          <w:sz w:val="18"/>
          <w:szCs w:val="18"/>
          <w:color w:val="auto"/>
        </w:rPr>
      </w:pPr>
    </w:p>
    <w:p>
      <w:pPr>
        <w:jc w:val="both"/>
        <w:ind w:left="1300" w:right="6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Development</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currently constructing Wynn Palace in the Cotai area of Macau, a fully integrated resort containing a 1,700-room hotel, performance lake, meeting space, casino, spa, retail offerings and food and beverage outlets. The total project budget, including construction costs, capitalized interest, pre-opening expenses, land costs and financing fees, is $4.0 billion. As of March 31, 2014, we have invested $866.7 million in the project. We continue to remain on schedule for an opening in the first half of 2016.</w:t>
      </w:r>
    </w:p>
    <w:p>
      <w:pPr>
        <w:spacing w:after="0" w:line="18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July 29, 2013, Wynn Macau and Palo finalized and executed a guaranteed maximum price construction ("GMP") contract with Leighton Contractors (Asia) Limited acting as the general contractor. Under the GMP contract, the general contractor is responsible for both the design and construction of the Wynn Palace project. The general contractor is obligated to substantially complete the project in the first half of 2016 for a guaranteed maximum price of HK$20 billion (approximately $2.57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67"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 We have made an application for a gaming license in Massachusetts. The process is competitive and we expect to know the outcome by the end of the third quarter of 2014. Proceeding with this project will require significant expenditure of Company funds. In addition, we are exploring various international jurisdictions for expansion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Income is presented. Below are definitions of these key operating statistics discussed:</w:t>
      </w:r>
    </w:p>
    <w:p>
      <w:pPr>
        <w:spacing w:after="0" w:line="265" w:lineRule="exact"/>
        <w:rPr>
          <w:sz w:val="20"/>
          <w:szCs w:val="20"/>
          <w:color w:val="auto"/>
        </w:rPr>
      </w:pPr>
    </w:p>
    <w:p>
      <w:pPr>
        <w:ind w:left="1300" w:hanging="8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Operations’ VIP program.</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Slot win is the amount of handle (representing the total amount wagered) that is retained by us and is recorded as casino revenue.</w:t>
      </w:r>
    </w:p>
    <w:p>
      <w:pPr>
        <w:spacing w:after="0" w:line="128" w:lineRule="exact"/>
        <w:rPr>
          <w:rFonts w:ascii="Arial" w:cs="Arial" w:eastAsia="Arial" w:hAnsi="Arial"/>
          <w:sz w:val="17"/>
          <w:szCs w:val="17"/>
          <w:color w:val="auto"/>
        </w:rPr>
      </w:pPr>
    </w:p>
    <w:p>
      <w:pPr>
        <w:ind w:left="1300" w:right="40" w:hanging="806"/>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62" w:lineRule="exact"/>
        <w:rPr>
          <w:rFonts w:ascii="Arial" w:cs="Arial" w:eastAsia="Arial" w:hAnsi="Arial"/>
          <w:sz w:val="18"/>
          <w:szCs w:val="18"/>
          <w:color w:val="auto"/>
        </w:rPr>
      </w:pPr>
    </w:p>
    <w:p>
      <w:pPr>
        <w:ind w:left="1300" w:right="800" w:hanging="806"/>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62" w:lineRule="exact"/>
        <w:rPr>
          <w:rFonts w:ascii="Arial" w:cs="Arial" w:eastAsia="Arial" w:hAnsi="Arial"/>
          <w:sz w:val="18"/>
          <w:szCs w:val="18"/>
          <w:color w:val="auto"/>
        </w:rPr>
      </w:pPr>
    </w:p>
    <w:p>
      <w:pPr>
        <w:ind w:left="1300" w:hanging="8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 at our resorts.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w:t>
      </w:r>
    </w:p>
    <w:p>
      <w:pPr>
        <w:spacing w:after="0" w:line="18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measurement base used in the general casino is not the same as that used in the VIP casino. In our general casino in Macau, customers may purchase cash chips at either the gaming tables or at the casino cage. The cash used to purchase the cash chips at the gaming tables is deposited into the gaming table’s drop box. This is the base of measurement that we use for calculating win percentage in our general casino. We do not report an expected range for the win percentage in our general casino as chips purchased at the casino cage are excluded from table games drop and distort our expected win percentage. With increased purchases at the casino cage, we believe the relevant indicator of volumes in the mass market segment should be table games win.</w:t>
      </w:r>
    </w:p>
    <w:p>
      <w:pPr>
        <w:spacing w:after="0" w:line="15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measurements in our VIP casino and the general casino are not comparable as the general casino tracks the initial purchase of chips at the table while the measurement method in our VIP casino tracks the sum of all losing wagers. Accordingly, the base measurement in the VIP casino is much larger than the base measurement in the general casino. As a result, the expected win percentage with the same amount of gaming win is smaller in the VIP casino when compared to the general casino.</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First quarter 2014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color w:val="auto"/>
              </w:rPr>
              <w:t>(in thousands, except per share data)</w:t>
            </w:r>
          </w:p>
        </w:tc>
        <w:tc>
          <w:tcPr>
            <w:tcW w:w="380" w:type="dxa"/>
            <w:vAlign w:val="bottom"/>
          </w:tcPr>
          <w:p>
            <w:pPr>
              <w:spacing w:after="0"/>
              <w:rPr>
                <w:sz w:val="19"/>
                <w:szCs w:val="19"/>
                <w:color w:val="auto"/>
              </w:rPr>
            </w:pPr>
          </w:p>
        </w:tc>
        <w:tc>
          <w:tcPr>
            <w:tcW w:w="1140" w:type="dxa"/>
            <w:vAlign w:val="bottom"/>
          </w:tcPr>
          <w:p>
            <w:pPr>
              <w:jc w:val="right"/>
              <w:ind w:right="5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1,513,613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1,378,654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226,896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202,963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Adjusted Property EBITDA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494,616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451,068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three months ended March 31, 2014, our net income attributable to Wynn Resorts, Limited increased 11.8% to $226.9 million, resulting in diluted earnings per share of $2.22. We increased Adjusted Property EBITDA year-over-year by 9.7%, from $451.1 million for the three months ended March 31, 2013 to $494.6 million for the same period of 2014. Our results for the quarter were attributable to a 15.1% increase in casino revenues from our Macau Operations driven by a volume increase in our VIP casino and an increase in table games win at our general casino.</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 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2014 compared to the three months ended March 31,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(in thousands):</w:t>
      </w:r>
    </w:p>
    <w:p>
      <w:pPr>
        <w:spacing w:after="0" w:line="163"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7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4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1,132,698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992,065</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380,915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386,589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1,513,613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1,378,654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revenues increased 9.8% to $1,513.6 million for the three months ended March 31, 2014, up from $1,378.7 million for the same period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revenue growth was driven by an increase of $140.6 million, or 15.1%, in casino revenue from our Macau Operations.</w:t>
      </w:r>
    </w:p>
    <w:p>
      <w:pPr>
        <w:spacing w:after="0" w:line="21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presents net revenues from our casino revenues and non-casino revenues (in thousands). Non-casino revenues consist of operating revenues from rooms, food and beverage, entertainment, retail and other, less promotional allowances.</w:t>
      </w:r>
    </w:p>
    <w:p>
      <w:pPr>
        <w:spacing w:after="0" w:line="108"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7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4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1,226,133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1,106,503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287,480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272,151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1,513,613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1,378,654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Casino revenues were 81.0% of total net revenues for the three months ended March 31, 2014 compared to 80.3% of total net revenues for the same period of 2013, while non-casino revenues were 19.0% of total net revenues compared to 19.7% in the prior year.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Casino revenues increased 10.8% to $1,226.1 million for the three months ended March 31, 2014, up from $1,106.5 million in the same period of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primarily from our Macau Operations. Our Macau Operations experienced a year-over-year increase in casino revenues of 15.1% from $930.3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$1,070.9 million driven by a 26.7% increase in VIP turnover and a 23.7% increase in table games win at our general casino. We experienced this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despite a reduction in our VIP win as a percentage of turnover from 3.14% to 2.79%. Our Las Vegas Operations experienced a decline in casino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 to $155.3 million for the three months ended March 31, 2014, from $176.3 million in the same period of 2013, primarily due to a 6.0 percentage point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reduction in table games win percentage.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08"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tcPr>
          <w:p>
            <w:pPr>
              <w:jc w:val="right"/>
              <w:ind w:right="412"/>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1,070,854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930,252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140,602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VIP Casino</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35,997,716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28,414,118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7,583,598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General Casino</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Drop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692,459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684,809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300,709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Table games win % (1)</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15,695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1,398,890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1,116,103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282,787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69,437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155,279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176,251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647,436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668,920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133,734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178,790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(45,056)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Average number of slots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743,798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696,594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04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45,501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42,283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right="220" w:hanging="812"/>
        <w:spacing w:after="0" w:line="286"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39" w:lineRule="exact"/>
        <w:rPr>
          <w:sz w:val="20"/>
          <w:szCs w:val="20"/>
          <w:color w:val="auto"/>
        </w:rPr>
      </w:pPr>
    </w:p>
    <w:p>
      <w:pPr>
        <w:jc w:val="both"/>
        <w:ind w:right="280" w:firstLine="432"/>
        <w:spacing w:after="0" w:line="279" w:lineRule="auto"/>
        <w:rPr>
          <w:sz w:val="20"/>
          <w:szCs w:val="20"/>
          <w:color w:val="auto"/>
        </w:rPr>
      </w:pPr>
      <w:r>
        <w:rPr>
          <w:rFonts w:ascii="Arial" w:cs="Arial" w:eastAsia="Arial" w:hAnsi="Arial"/>
          <w:sz w:val="18"/>
          <w:szCs w:val="18"/>
          <w:color w:val="auto"/>
        </w:rPr>
        <w:t>Non-casino revenues increased 5.6%, or $15.3 million, to $287.5 million for the three months ended March 31, 2014, up from $272.2 million for the same period of 2013 primarily from a $16.0 million increase in room revenues and a $5.3 million increase in entertainment, retail and other revenues. Our non-casino revenue performance was offset by an $8.1 million increase in promotional allowances.</w:t>
      </w:r>
    </w:p>
    <w:p>
      <w:pPr>
        <w:spacing w:after="0" w:line="183" w:lineRule="exact"/>
        <w:rPr>
          <w:sz w:val="20"/>
          <w:szCs w:val="20"/>
          <w:color w:val="auto"/>
        </w:rPr>
      </w:pPr>
    </w:p>
    <w:p>
      <w:pPr>
        <w:ind w:right="40" w:firstLine="432"/>
        <w:spacing w:after="0" w:line="279" w:lineRule="auto"/>
        <w:rPr>
          <w:sz w:val="20"/>
          <w:szCs w:val="20"/>
          <w:color w:val="auto"/>
        </w:rPr>
      </w:pPr>
      <w:r>
        <w:rPr>
          <w:rFonts w:ascii="Arial" w:cs="Arial" w:eastAsia="Arial" w:hAnsi="Arial"/>
          <w:sz w:val="18"/>
          <w:szCs w:val="18"/>
          <w:color w:val="auto"/>
        </w:rPr>
        <w:t>Room revenues increased 13.3%, or $16.0 million, to $136.5 million for the three months ended March 31, 2014, up from $120.5 million in the same period of 2013. Our Las Vegas Operations accounted for $11.5 million of the increase, while Macau Operations accounted for $4.5 million, both experiencing an increase in ADR and occupancy.</w:t>
      </w:r>
    </w:p>
    <w:p>
      <w:pPr>
        <w:sectPr>
          <w:pgSz w:w="11900" w:h="16838" w:orient="portrait"/>
          <w:cols w:equalWidth="0" w:num="1">
            <w:col w:w="11420"/>
          </w:cols>
          <w:pgMar w:left="240" w:top="121"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 Change (a)</w:t>
            </w: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33,404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28,935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103,072</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91,545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Food and beverage revenues were relatively flat with $141.8 million for the three months ended March 31, 2014 compared to $139.7 million for the same period of 2013. We experienced an increase in revenues from our Macau and Las Vegas Operations restaurants offset by a reduction in revenues from our Wynn Las Vegas nightclubs.</w:t>
      </w:r>
    </w:p>
    <w:p>
      <w:pPr>
        <w:spacing w:after="0" w:line="181"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Entertainment, retail and other revenues increased 5.2%, or $5.3 million, to $106.9 million for the three months ended March 31, 2014, up from $101.5 million for the same period of 2013 driven by revenue increases from Wynn Las Vegas retail shops, spa and other event services.</w:t>
      </w:r>
    </w:p>
    <w:p>
      <w:pPr>
        <w:spacing w:after="0" w:line="14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Promotional allowances increased 9.1%, or $8.1 million to $97.7 million for the three months ended March 31, 2014, up from $89.6 million for the same period of 2013. As a percentage of total casino revenues, promotional allowances were flat year-over-year with 8.0% for both three month periods ended March 31, 2014 and 2013.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color w:val="auto"/>
        </w:rPr>
        <w:t>Operating costs and expenses increased 8.8%, or $91.8 million, to $1,136.8 million for the three months ended March 31, 2014, up from $1,045.0 million for the same period of 2013. The increase was primarily driven by a 12.4% increase in casino expenses and a 17.2% increase in general and administrative expenses, which were partially offset by decreases in depreciation and amortization expense and provision for doubtful accounts.</w:t>
      </w:r>
    </w:p>
    <w:p>
      <w:pPr>
        <w:spacing w:after="0" w:line="14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Casino expenses increased 12.4%, or $86.5 million to $783.7 million for the three months ended March 31, 2014, up from $697.2 million for the same period of 2013, primarily due to higher gaming taxes from the 39.0% gross win tax incurred at our Macau Operations. The increase in gaming taxes was commensurate with the 15.1% increase in casino revenues at our Macau Operations.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Room and food and beverage expenses increased slightly year-over-year by $2.0 million and $1.1 million, respectively. The increase in room revenues of $16.0 million outpaced our room expenses from the effect of ADR increases at our Macau and Las Vegas Operations.</w:t>
      </w:r>
    </w:p>
    <w:p>
      <w:pPr>
        <w:spacing w:after="0" w:line="170"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Entertainment, retail and other expenses increased 10.4%, or $4.2 million to $44.5 million for the three months ended March 31, 2014 from $40.3 million in the same period of 2013 mainly from costs associated with certain Wynn Las Vegas entertainment events during the quarter which did not take place in the prior year.</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General and administrative expenses increased 17.2%, or $16.4 million to $111.3 million for the three months ended March 31, 2014 from $94.9 million in the same period of 2013. The majority of the increase is attributable to a $6.1 million increase from corporate expenses and other and a $7.0 million increase from our Macau Operations. The corporate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and other increase consists mainly of an increase in stock-based compensation expense and development expenses, while our Macau Operations experienced increases compared to the prior year period in labor costs, certain property maintenance and repair expenses, and other miscellaneous expenses.</w:t>
      </w:r>
    </w:p>
    <w:p>
      <w:pPr>
        <w:spacing w:after="0" w:line="12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Provision for doubtful accounts decreased $9.7 million to a benefit of $2.7 million for the three months ended March 31, 2014, down from a provision of $7.0 million for the same period of 2013. The decrease to a benefit is a result of increased casino accounts receivable collections from our Macau Operations compared to the same period in the prior year which drove a reduction in our percentage of casino accounts receivable outstanding over 180 days.</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Pre-opening costs were $3.1 million for the three months ended March 31, 2014, compared to $0.5 million for the same period of 2013 associated with the design and planning for Wynn Palace. We expect our pre-opening costs to increase in the future as the construction and development of Wynn Palace continues toward the expected completion in the first half of 2016.</w:t>
      </w:r>
    </w:p>
    <w:p>
      <w:pPr>
        <w:spacing w:after="0" w:line="181"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Depreciation and amortization decreased 17.1%, or $15.9 million, to $76.7 million for the three months ended March 31, 2014, down from $92.5 million for the same period of 2013 due to certain Las Vegas Operations assets with a five year useful life becoming fully depreciated.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charges and other for the three months ended March 31, 2014, was $9.9 million compared to $5.3 million for the three months ended</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March 31, 2013. During the first quarter of 2014, we incurred property charges primarily associated with the renovation of approximately 27,000 square feet of casino space at Wynn Macau for new VIP gaming rooms. We expect to complete this renovation before Chinese New Year of 2015. Property charges in the three months ended March 31, 2013, were primarily due to miscellaneous renovations and abandonments at our resorts.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net of capitalized interest, was flat year-over-year with $75.3 million for the three months ended March 31, 2014, compared to $75.4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for the same period in 2013, attributable to a $4.6 million increase in interest expense offset by a $4.4 million increase in capitalized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during the first quarter of 2014 and in 2013 subsequent to the first quarter, increased our long-term debt while reducing our weighted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interest rate for the three months ended March 31, 2014, compared to same period in 2013. During 2013, we completed the principal repayment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7 7/8% first mortgage notes through a cash tender offer and redemption of untendered notes, completed issuances of $500 million 4 1/4%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$600 million 5 1/4% senior notes and Wynn Macau exercised its option to increase the senior term loan facility by $200 million.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2014, we issued an additional $750 million of 5 1/4% senior notes. Capitalized interest increased due to the construction costs of Wynn Palace.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will continue to increase with the ongoing borrowings and construction costs related to Wynn Palace.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225" w:lineRule="exact"/>
        <w:rPr>
          <w:sz w:val="20"/>
          <w:szCs w:val="20"/>
          <w:color w:val="auto"/>
        </w:rPr>
      </w:pPr>
    </w:p>
    <w:p>
      <w:pPr>
        <w:jc w:val="both"/>
        <w:ind w:right="320" w:firstLine="432"/>
        <w:spacing w:after="0" w:line="286" w:lineRule="auto"/>
        <w:rPr>
          <w:sz w:val="20"/>
          <w:szCs w:val="20"/>
          <w:color w:val="auto"/>
        </w:rPr>
      </w:pPr>
      <w:r>
        <w:rPr>
          <w:rFonts w:ascii="Arial" w:cs="Arial" w:eastAsia="Arial" w:hAnsi="Arial"/>
          <w:sz w:val="17"/>
          <w:szCs w:val="17"/>
          <w:color w:val="auto"/>
        </w:rPr>
        <w:t>Interest income was $4.8 million for the three months ended March 31, 2014, compared to $4.2 million for the three months ended March 31, 2013. During 2014 and 2013, our short-term investment strategy has been to preserve capital while retaining sufficient liquidity. The majority of our short-term investments were in time deposits, fixed deposits and money market accounts with a maturity of three months or less.</w:t>
      </w:r>
    </w:p>
    <w:p>
      <w:pPr>
        <w:spacing w:after="0" w:line="16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incurred a gain of $0.8 million for the three months ended March 31, 2014, from the increase in the fair value of our interest rate swaps compared to a gain of $3.1 million from the increase in fair value for the same period in 2013. For further information on our interest rate swaps, see Item 3 – “Quantitative and Qualitative Disclosures about Market Risk.”</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For the three months ended March 31, 2014 and 2013, we recorded a tax expense of $2.6 million and a tax benefit $5.1 million, respectively. Our income tax expense is primarily related to an increase in our domestic valuation allowance for U.S. foreign tax credits that are not expected to provide a U.S. tax benefit in future years. Our income tax benefit in 2013 was primarily related to a decrease in deferred 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three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months ended March 31, 2014 and 2013, we recognized income tax benefits related to excess tax deductions associated with stock compensation costs of $2.4 million and $1.2 million, respectively.</w:t>
      </w:r>
    </w:p>
    <w:p>
      <w:pPr>
        <w:spacing w:after="0" w:line="11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Wynn Macau, S.A. has received an exemption from Macau’s 12% Complementary Tax on casino gaming profits through December 31, 2015. Accordingly, we were exempt from the payment of $31.6 million and $26.5 million in such taxes during the three months ended March 31, 2014 and 2013, respectively. Our non-gaming profits remain subject to the Macau Complementary Tax and casino winnings remain subject to the Macau Special Gaming tax and other levies together totaling 39% in accordance with our concession agreement.</w:t>
      </w:r>
    </w:p>
    <w:p>
      <w:pPr>
        <w:spacing w:after="0" w:line="133" w:lineRule="exact"/>
        <w:rPr>
          <w:sz w:val="20"/>
          <w:szCs w:val="20"/>
          <w:color w:val="auto"/>
        </w:rPr>
      </w:pPr>
    </w:p>
    <w:p>
      <w:pPr>
        <w:jc w:val="both"/>
        <w:ind w:right="260" w:firstLine="432"/>
        <w:spacing w:after="0" w:line="302" w:lineRule="auto"/>
        <w:rPr>
          <w:sz w:val="20"/>
          <w:szCs w:val="20"/>
          <w:color w:val="auto"/>
        </w:rPr>
      </w:pPr>
      <w:r>
        <w:rPr>
          <w:rFonts w:ascii="Arial" w:cs="Arial" w:eastAsia="Arial" w:hAnsi="Arial"/>
          <w:sz w:val="16"/>
          <w:szCs w:val="16"/>
          <w:color w:val="auto"/>
        </w:rPr>
        <w:t>In December 2013, we received notification that for the 2014 tax year we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2014, we received notification that the IRS completed its examination of our 2012 U.S. income tax return and had no changes.</w:t>
      </w:r>
    </w:p>
    <w:p>
      <w:pPr>
        <w:spacing w:after="0" w:line="18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Macau, S.A. Since the examination is in its initial stages, we are unable to determine if it will conclude within the next 12 months.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$76.1 million for the three months ended March 31, 2014, compared to $69.2 million for the three months ended March 31, 2013. This represents the noncontrolling interests’ share of net income from Wynn Macau, Limited during each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Notes to Condensed Consolidated Financial Statements, Note 16 – “Segment Information.” That footnote also presents a reconciliation of Adjusted Property EBITDA to net income.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754"/>
        </w:trPr>
        <w:tc>
          <w:tcPr>
            <w:tcW w:w="1020" w:type="dxa"/>
            <w:vAlign w:val="bottom"/>
            <w:tcBorders>
              <w:top w:val="single" w:sz="8" w:color="0000EE"/>
            </w:tcBorders>
          </w:tcPr>
          <w:p>
            <w:pPr>
              <w:spacing w:after="0"/>
              <w:rPr>
                <w:sz w:val="24"/>
                <w:szCs w:val="24"/>
                <w:color w:val="auto"/>
              </w:rPr>
            </w:pPr>
          </w:p>
        </w:tc>
        <w:tc>
          <w:tcPr>
            <w:tcW w:w="7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24"/>
                <w:szCs w:val="24"/>
                <w:color w:val="auto"/>
              </w:rPr>
            </w:pPr>
          </w:p>
        </w:tc>
      </w:tr>
      <w:tr>
        <w:trPr>
          <w:trHeight w:val="192"/>
        </w:trPr>
        <w:tc>
          <w:tcPr>
            <w:tcW w:w="10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7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Macau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384,328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330,711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Las Vegas Operations</w:t>
            </w:r>
          </w:p>
        </w:tc>
        <w:tc>
          <w:tcPr>
            <w:tcW w:w="3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110,288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120,357</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494,616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451,068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Adjusted Property EBITDA at our Macau Operations increased from $330.7 million for the three months ended March 31, 2013 to $384.3 million for the same period of 2014, mainly attributable to a 15.1% increase in casino revenues from our Macau Operations driven by volume increase at our VIP casino and table games win increase at our general casino.</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Adjusted Property EBITDA at our Las Vegas Operations decreased from $120.4 million for the three months ended March 31, 2013 to $110.3 million mainly from the impact of a 6.0 percentage points decline in table games win percentage.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Macau and Las Vegas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provided by operations for the three months ended March 31, 2014, was $209.2 million compared to $420.9 million provided by operations for the three months ended March 31, 2013. The decline in cash provided by operations was primarily due to a decrease in our customer deposits, partially offset by increased operating income from results in the casino department.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Net cash provided by investing activities for the three months ended March 31, 2014 was $17.9 million compared to $14.8 million for the same period in 2013. During the three months ended March 31, 2014 we were provided $199.8 million of proceeds from restricted cash we applied to payment of certain Wynn Palace related construction and development costs. These proceeds were partially offset by capital expenditures, net of construction payables and retention, of $178.1 million primarily for Wynn Palace construction. Capital expenditures for the three months ended March 31, 2013 were $58.8 million and related to site preparation costs for Cotai land and various renovations at our resorts.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300" w:firstLine="432"/>
        <w:spacing w:after="0" w:line="259" w:lineRule="auto"/>
        <w:rPr>
          <w:sz w:val="20"/>
          <w:szCs w:val="20"/>
          <w:color w:val="auto"/>
        </w:rPr>
      </w:pPr>
      <w:r>
        <w:rPr>
          <w:rFonts w:ascii="Arial" w:cs="Arial" w:eastAsia="Arial" w:hAnsi="Arial"/>
          <w:sz w:val="18"/>
          <w:szCs w:val="18"/>
          <w:color w:val="auto"/>
        </w:rPr>
        <w:t>Net cash flows provided by financing activities were $612.8 million for the three months ended March 31, 2014, which was primarily attributable to proceeds of $756.2 million from the issuance of senior notes. These sources of funds were offset by the payment of dividends of $126.4 million and open market repurchases of $12.0 million in principal of first mortgage notes. Net cash flows used in financing activities of $102.3 million for the three months ended March 31, 2013 was for the payment of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As of March 31, 2014, we had approximately $3,273.6 million of cash and cash equivalents and $254.8 million of available-for-sale investments in foreign and domestic debt securities with maturities of up to two years. Cash and cash equivalents include cash in bank and fixed deposits, investments in money market funds, domestic and foreign bank time deposits and commercial paper, all with maturities of less than 90 days. Our cash is available for operations, debt service and retirement, development activities, general corporate purposes and enhancements to our resorts. Of these amounts, Wynn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Macau, Limited and its subsidiaries held $2,781.1 million and $4.8 million in cash and available-for-sale investments, respectively, of which we own 72.3%. If our portion of this cash was repatriated to the U.S. on March 31, 2014, approximately two-thirds of this amount would be subject to U.S. tax in the year of repatriation. Wynn Resorts, Limited, which is not a guarantor of the debt of its subsidiaries, held $278.1 million (including cash of its subsidiaries other than those of Wynn Las Vegas and Wynn Macau) and $250.0 million of cash and available-for-sale investments, respectively. Wynn Las Vegas, LLC held cash balances of $214.4 million.</w:t>
      </w:r>
    </w:p>
    <w:p>
      <w:pPr>
        <w:spacing w:after="0" w:line="18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credit facilities consist of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Borrowings under the Wynn Macau Credit Facilities, which consist of both Hong Kong dollars and United States dollar tranches, will be used to fund the design, development, construction and pre-opening expenses of Wynn Palace, and for general corporate purposes. As of March 31, 2014, there were no amounts outstanding under the Wynn Macau Senior Revolving Credit Facility. Accordingly, we have availability of $1.55 billion under the Wynn Macau Credit Facilities.</w:t>
      </w:r>
    </w:p>
    <w:p>
      <w:pPr>
        <w:spacing w:after="0" w:line="19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cash flow from operations, availability under our bank credit facility and our existing cash balances will be adequate to satisfy our anticipated uses of capital for the remainder of 2014. If any additional financing became necessary, we cannot provide assurance that future borrowings will be available.</w:t>
      </w:r>
    </w:p>
    <w:p>
      <w:pPr>
        <w:spacing w:after="0" w:line="181"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 We have made an application for a gaming license in Massachusetts. The process is competitive and we expect to know the outcome by the end of the third quarter of 2014. Proceeding with this project will require significant expenditure of Company funds. In addition, we are exploring various international jurisdictions for expansion opportunities.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2014, we had unsecured outstanding letters of credit totaling $16.7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three months ended March 31, 2014 to our contractual obligations or off balance sheet arrangements as disclosed in our Annual Report on Form 10-K for the year ended December 31, 2013,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restrict our ability to pay dividends. Specifically, Wynn Las Vegas, LLC and certain of its subsidiaries are restricted under the indentures governing its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Wynn Macau Credit Facilities contain similar restrictions, Wynn Macau currently satisfies all requirements, including its leverage ratio, which must be met in order to pay dividends and is presently able to pay dividends in accordance with the Wynn Macau Credit Facilities.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1 - "Financial Statements", Note 14 "Commitments and Contingencies".</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5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7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February 18, 2012, the Board of Directors of Wynn Resorts determined that Aruze USA, Inc., Universal Entertainment Corporation and Mr. Kazuo Okada are “unsuitable” under the provision of our articles of incorporation and redeemed and canceled all of Aruze USA, Inc.’s, 24,549,222 shares of Wynn Resorts’ common stock. Pursuant to our articles of incorporation, we issued the Redemption Note to Aruze USA, Inc. in redemption of the shares. For additional information on the redemption and the Redemption Note, see Note 14 “Commitments and Contingencies.”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2013. There has been no material change to these policies for the three months ended March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related disclosure at Notes to Condensed Consolidated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risks and uncertainties in Item 1A - Risk Factors and other factors we describe from time to time in our periodic filings with the SEC, such as:</w:t>
      </w:r>
    </w:p>
    <w:p>
      <w:pPr>
        <w:spacing w:after="0" w:line="34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enforcement actions and probity investigations;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violations by us of the Foreign Corrupt Practices Act or federal anti-money laundering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over the development and success of new gaming and resort properties;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environmental regulation on management and construction of projects;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relationships with Macau games promoters;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debts;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maintenance of our concession from the Macau government;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17"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extreme weather patterns or a natural disaster may have on the travel and leisure industry; and</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Condensed Consolidated Statements of Income, as the swaps do not qualify for hedge accounting.</w:t>
      </w:r>
    </w:p>
    <w:p>
      <w:pPr>
        <w:spacing w:after="0" w:line="18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the third swap agreement, we pay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18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March 31, 2014 and December 31, 2013, we recorded an asset of $11.1 million and $10.3 million, respectively, for our interest rate swaps in deposits and other assets.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March 31, 2014, approximately 97% of our long-term debt was based on fixed rates. Based on our borrowings as of March 31, 2014, an assumed 1% change in the variable rates would cause our annual interest cost to change by $2.3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Approximately 63% of our cash balances are denominated in foreign currencies, primarily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Hong Kong dollar. Based on our balances at March 31, 2014, an assumed 1% change in the dollar/Hong Kong dollar exchange rate would cause a foreign currency transaction gain/loss of approximately $14.2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Notes to Condensed Consolidated Financial Statements, Note 14 “Commitments and Contingencies” in this Quarterly Report on Form 10-Q.</w:t>
      </w:r>
    </w:p>
    <w:p>
      <w:pPr>
        <w:spacing w:after="0" w:line="2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2013. There were no material changes to those risk factors during the three months ended March 31, 2014.</w:t>
      </w:r>
    </w:p>
    <w:p>
      <w:pPr>
        <w:spacing w:after="0" w:line="2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January 30, 2014, we announced a cash dividend of $1.25 per share under our Board approved quarterly cash dividend program. The cash dividend was paid on February 27, 2014 to stockholders of record as of February 13, 2014.</w:t>
      </w:r>
    </w:p>
    <w:p>
      <w:pPr>
        <w:spacing w:after="0" w:line="1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its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While the Wynn Macau Credit Facilities contain similar restrictions, Wynn Macau currently satisfies all requirements, including its leverage ratio, which be met in order to pay dividends and is presently able to pay dividends in accordance with the Wynn Macau Credit Facilities. On March 28, 2014, the Wynn Macau, Limited Board of Directors recommended the payment of a HK$0.98 per share dividend subject to approval by the shareholders of Wynn Macau, Limited at their annual meeting on May 15, 2014.</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January 2014, we repurchased 6,558 shares in satisfaction of tax withholding obligations on vested restricted stock, at an average price of $217.42 per share, for a total expenditure of $1.4 million.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Second Amended and Restated Articles of Incorporation of the Registrant. (1)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Sixth Amended and Restated Bylaws of the Registrant, as amended. (2)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Second Amendment to Employment Agreement, dated as of January 2, 2014 by and between Worldwide Wynn, LLC and Linda Chen.</w:t>
      </w:r>
    </w:p>
    <w:p>
      <w:pPr>
        <w:spacing w:after="0" w:line="200" w:lineRule="exact"/>
        <w:rPr>
          <w:sz w:val="20"/>
          <w:szCs w:val="20"/>
          <w:color w:val="auto"/>
        </w:rPr>
      </w:pPr>
    </w:p>
    <w:p>
      <w:pPr>
        <w:spacing w:after="0" w:line="345" w:lineRule="exact"/>
        <w:rPr>
          <w:sz w:val="20"/>
          <w:szCs w:val="20"/>
          <w:color w:val="auto"/>
        </w:rPr>
      </w:pPr>
    </w:p>
    <w:p>
      <w:pPr>
        <w:ind w:right="3640"/>
        <w:spacing w:after="0" w:line="277" w:lineRule="auto"/>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p>
      <w:pPr>
        <w:spacing w:after="0" w:line="8" w:lineRule="exact"/>
        <w:rPr>
          <w:sz w:val="20"/>
          <w:szCs w:val="20"/>
          <w:color w:val="auto"/>
        </w:rPr>
      </w:pPr>
    </w:p>
    <w:p>
      <w:pPr>
        <w:sectPr>
          <w:pgSz w:w="11900" w:h="16838" w:orient="portrait"/>
          <w:cols w:equalWidth="0" w:num="2">
            <w:col w:w="900" w:space="180"/>
            <w:col w:w="10300"/>
          </w:cols>
          <w:pgMar w:left="240" w:top="122" w:right="279" w:bottom="1440" w:gutter="0" w:footer="0" w:header="0"/>
          <w:type w:val="continuous"/>
        </w:sectPr>
      </w:pPr>
    </w:p>
    <w:p>
      <w:pPr>
        <w:ind w:left="1080" w:right="3700" w:hanging="580"/>
        <w:spacing w:after="0" w:line="277" w:lineRule="auto"/>
        <w:tabs>
          <w:tab w:leader="none" w:pos="1060" w:val="left"/>
        </w:tabs>
        <w:rPr>
          <w:sz w:val="20"/>
          <w:szCs w:val="20"/>
          <w:color w:val="auto"/>
        </w:rPr>
      </w:pPr>
      <w:r>
        <w:rPr>
          <w:rFonts w:ascii="Arial" w:cs="Arial" w:eastAsia="Arial" w:hAnsi="Arial"/>
          <w:sz w:val="18"/>
          <w:szCs w:val="18"/>
          <w:color w:val="auto"/>
        </w:rPr>
        <w:t>*31.2</w:t>
        <w:tab/>
        <w:t>Certification of Chief Financial Officer of Periodic Report Pursuant to Rule 13a – 14(a) and Rule 15d – 14(a).</w:t>
      </w:r>
    </w:p>
    <w:p>
      <w:pPr>
        <w:spacing w:after="0" w:line="8"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080" w:hanging="539"/>
        <w:spacing w:after="0" w:line="293"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quarter ended March 31, 2014, filed with the SEC on May 9, 2014 formatted in Extensible Business Reporting Language (XBRL): (i) the Condensed Consolidated Balance Sheets at March 31, 2014 and December 31, 2013, (ii) the Condensed Consolidated Statements of Income for the three months ended March 31, 2014 and 2013, (iii) the Condensed Consolidated Statements of Comprehensive Income for the three months ended March 31, 2014 and 2013, (iv) the Condensed Consolidated Statements of Cash Flows for the three months ended March 31, 2014 and 2013, (v) the Condensed Consolidated Statement of Stockholders’ Equity at March 31, 2014 and (vi) Notes to Condensed Consolidated Financial Statements.</w:t>
      </w:r>
    </w:p>
    <w:p>
      <w:pPr>
        <w:spacing w:after="0" w:line="19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500" w:right="18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Previously filed with the Current Report on Form 8-K filed by the Registrant on September 12, 2013 and incorporated herein by reference.</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2" w:right="27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80"/>
          </w:cols>
          <w:pgMar w:left="240" w:top="122" w:right="8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as of January 2, 2014, (the “Execution Date’) by and between </w:t>
      </w:r>
      <w:r>
        <w:rPr>
          <w:rFonts w:ascii="Arial" w:cs="Arial" w:eastAsia="Arial" w:hAnsi="Arial"/>
          <w:sz w:val="18"/>
          <w:szCs w:val="18"/>
          <w:b w:val="1"/>
          <w:bCs w:val="1"/>
          <w:color w:val="auto"/>
        </w:rPr>
        <w:t>WORLDWIDE WYNN, LLC</w:t>
      </w:r>
      <w:r>
        <w:rPr>
          <w:rFonts w:ascii="Arial" w:cs="Arial" w:eastAsia="Arial" w:hAnsi="Arial"/>
          <w:sz w:val="18"/>
          <w:szCs w:val="18"/>
          <w:color w:val="auto"/>
        </w:rPr>
        <w:t xml:space="preserve"> (“</w:t>
      </w:r>
      <w:r>
        <w:rPr>
          <w:rFonts w:ascii="Arial" w:cs="Arial" w:eastAsia="Arial" w:hAnsi="Arial"/>
          <w:sz w:val="18"/>
          <w:szCs w:val="18"/>
          <w:b w:val="1"/>
          <w:bCs w:val="1"/>
          <w:color w:val="auto"/>
        </w:rPr>
        <w:t>Employer</w:t>
      </w:r>
      <w:r>
        <w:rPr>
          <w:rFonts w:ascii="Arial" w:cs="Arial" w:eastAsia="Arial" w:hAnsi="Arial"/>
          <w:sz w:val="18"/>
          <w:szCs w:val="18"/>
          <w:color w:val="auto"/>
        </w:rPr>
        <w:t xml:space="preserve">”) and </w:t>
      </w:r>
      <w:r>
        <w:rPr>
          <w:rFonts w:ascii="Arial" w:cs="Arial" w:eastAsia="Arial" w:hAnsi="Arial"/>
          <w:sz w:val="18"/>
          <w:szCs w:val="18"/>
          <w:b w:val="1"/>
          <w:bCs w:val="1"/>
          <w:color w:val="auto"/>
        </w:rPr>
        <w:t>LINDA CHEN</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Employer and Employee have entered into that certain Employment Agreement, dated May 12, 2010, as amended by that certain First Amendment to Employment Agreement dated November 2, 2012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Employer is willing and Employee desires to modify certain terms and conditions to the Agreement as more fully set forth herein;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38" w:lineRule="exact"/>
        <w:rPr>
          <w:sz w:val="20"/>
          <w:szCs w:val="20"/>
          <w:color w:val="auto"/>
        </w:rPr>
      </w:pPr>
    </w:p>
    <w:p>
      <w:pPr>
        <w:ind w:left="1440" w:hanging="784"/>
        <w:spacing w:after="0"/>
        <w:tabs>
          <w:tab w:leader="none" w:pos="14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Employer and Employee hereby agree to amend Section 7(g)(ii) of the Agreement in its entirety to read as follows:</w:t>
      </w:r>
    </w:p>
    <w:p>
      <w:pPr>
        <w:spacing w:after="0" w:line="25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“7(g)(ii) Employee and her immediately family shall have the right to occupy the Macau House during the Term. Wynn Macau shall provide improvements to the Macau House as approved by the Chief Executive Officer of Employer.”</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The amendment set forth in Section 1 shall be effective as of the Execution Date.</w:t>
      </w:r>
    </w:p>
    <w:p>
      <w:pPr>
        <w:spacing w:after="0" w:line="225" w:lineRule="exact"/>
        <w:rPr>
          <w:rFonts w:ascii="Arial" w:cs="Arial" w:eastAsia="Arial" w:hAnsi="Arial"/>
          <w:sz w:val="18"/>
          <w:szCs w:val="18"/>
          <w:color w:val="auto"/>
        </w:rPr>
      </w:pPr>
    </w:p>
    <w:p>
      <w:pPr>
        <w:ind w:right="20" w:firstLine="656"/>
        <w:spacing w:after="0" w:line="277" w:lineRule="auto"/>
        <w:tabs>
          <w:tab w:leader="none" w:pos="96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WORLDWIDE WYNN, LLC</w:t>
            </w:r>
          </w:p>
        </w:tc>
        <w:tc>
          <w:tcPr>
            <w:tcW w:w="1760" w:type="dxa"/>
            <w:vAlign w:val="bottom"/>
            <w:gridSpan w:val="2"/>
          </w:tcPr>
          <w:p>
            <w:pPr>
              <w:ind w:left="720"/>
              <w:spacing w:after="0"/>
              <w:rPr>
                <w:sz w:val="20"/>
                <w:szCs w:val="20"/>
                <w:color w:val="auto"/>
              </w:rPr>
            </w:pPr>
            <w:r>
              <w:rPr>
                <w:rFonts w:ascii="Arial" w:cs="Arial" w:eastAsia="Arial" w:hAnsi="Arial"/>
                <w:sz w:val="18"/>
                <w:szCs w:val="18"/>
                <w:b w:val="1"/>
                <w:bCs w:val="1"/>
                <w:color w:val="auto"/>
              </w:rPr>
              <w:t>EMPLOYEE</w:t>
            </w:r>
          </w:p>
        </w:tc>
      </w:tr>
      <w:tr>
        <w:trPr>
          <w:trHeight w:val="608"/>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c>
          <w:tcPr>
            <w:tcW w:w="36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Linda C. Chen</w:t>
            </w:r>
          </w:p>
        </w:tc>
        <w:tc>
          <w:tcPr>
            <w:tcW w:w="480" w:type="dxa"/>
            <w:vAlign w:val="bottom"/>
          </w:tcPr>
          <w:p>
            <w:pPr>
              <w:spacing w:after="0"/>
              <w:rPr>
                <w:sz w:val="24"/>
                <w:szCs w:val="24"/>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Matt Maddox</w:t>
            </w:r>
          </w:p>
        </w:tc>
        <w:tc>
          <w:tcPr>
            <w:tcW w:w="2120" w:type="dxa"/>
            <w:vAlign w:val="bottom"/>
            <w:gridSpan w:val="3"/>
          </w:tcPr>
          <w:p>
            <w:pPr>
              <w:ind w:left="160"/>
              <w:spacing w:after="0"/>
              <w:rPr>
                <w:sz w:val="20"/>
                <w:szCs w:val="20"/>
                <w:color w:val="auto"/>
              </w:rPr>
            </w:pPr>
            <w:r>
              <w:rPr>
                <w:rFonts w:ascii="Arial" w:cs="Arial" w:eastAsia="Arial" w:hAnsi="Arial"/>
                <w:sz w:val="18"/>
                <w:szCs w:val="18"/>
                <w:color w:val="auto"/>
              </w:rPr>
              <w:t>Linda C. Chen</w:t>
            </w:r>
          </w:p>
        </w:tc>
      </w:tr>
    </w:tbl>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66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171"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2014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May 9, 2014</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Matt Maddox</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Matt Maddox</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President and Chief Financial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May 9, 2014</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2019-12-07T03:43:49Z</dcterms:created>
  <dcterms:modified xsi:type="dcterms:W3CDTF">2019-12-07T03:43:49Z</dcterms:modified>
</cp:coreProperties>
</file>