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146050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2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56515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7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September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2168525</wp:posOffset>
            </wp:positionH>
            <wp:positionV relativeFrom="paragraph">
              <wp:posOffset>69215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19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7" w:lineRule="exact"/>
        <w:rPr>
          <w:sz w:val="24"/>
          <w:szCs w:val="24"/>
          <w:color w:val="auto"/>
        </w:rPr>
      </w:pPr>
    </w:p>
    <w:tbl>
      <w:tblPr>
        <w:tblLayout w:type="fixed"/>
        <w:tblInd w:w="7"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60" w:type="dxa"/>
            <w:vAlign w:val="bottom"/>
          </w:tcPr>
          <w:p>
            <w:pPr>
              <w:spacing w:after="0"/>
              <w:rPr>
                <w:sz w:val="16"/>
                <w:szCs w:val="16"/>
                <w:color w:val="auto"/>
              </w:rPr>
            </w:pPr>
          </w:p>
        </w:tc>
      </w:tr>
      <w:tr>
        <w:trPr>
          <w:trHeight w:val="127"/>
        </w:trPr>
        <w:tc>
          <w:tcPr>
            <w:tcW w:w="920" w:type="dxa"/>
            <w:vAlign w:val="bottom"/>
          </w:tcPr>
          <w:p>
            <w:pPr>
              <w:spacing w:after="0"/>
              <w:rPr>
                <w:sz w:val="11"/>
                <w:szCs w:val="11"/>
                <w:color w:val="auto"/>
              </w:rPr>
            </w:pPr>
          </w:p>
        </w:tc>
        <w:tc>
          <w:tcPr>
            <w:tcW w:w="3020" w:type="dxa"/>
            <w:vAlign w:val="bottom"/>
            <w:gridSpan w:val="3"/>
          </w:tcPr>
          <w:p>
            <w:pPr>
              <w:jc w:val="center"/>
              <w:ind w:right="1260"/>
              <w:spacing w:after="0" w:line="128"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3180" w:type="dxa"/>
            <w:vAlign w:val="bottom"/>
            <w:gridSpan w:val="2"/>
          </w:tcPr>
          <w:p>
            <w:pPr>
              <w:ind w:left="1220"/>
              <w:spacing w:after="0" w:line="128"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8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20" w:type="dxa"/>
            <w:vAlign w:val="bottom"/>
          </w:tcPr>
          <w:p>
            <w:pPr>
              <w:spacing w:after="0"/>
              <w:rPr>
                <w:sz w:val="14"/>
                <w:szCs w:val="14"/>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18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00"/>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920" w:type="dxa"/>
            <w:vAlign w:val="bottom"/>
          </w:tcPr>
          <w:p>
            <w:pPr>
              <w:spacing w:after="0"/>
              <w:rPr>
                <w:sz w:val="16"/>
                <w:szCs w:val="16"/>
                <w:color w:val="auto"/>
              </w:rPr>
            </w:pP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80" w:type="dxa"/>
            <w:vAlign w:val="bottom"/>
            <w:gridSpan w:val="3"/>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60" w:type="dxa"/>
            <w:vAlign w:val="bottom"/>
          </w:tcPr>
          <w:p>
            <w:pPr>
              <w:spacing w:after="0"/>
              <w:rPr>
                <w:sz w:val="16"/>
                <w:szCs w:val="16"/>
                <w:color w:val="auto"/>
              </w:rPr>
            </w:pPr>
          </w:p>
        </w:tc>
      </w:tr>
      <w:tr>
        <w:trPr>
          <w:trHeight w:val="162"/>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590"/>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gridSpan w:val="2"/>
          </w:tcPr>
          <w:p>
            <w:pPr>
              <w:jc w:val="center"/>
              <w:ind w:left="13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9"/>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320" w:type="dxa"/>
            <w:vAlign w:val="bottom"/>
            <w:gridSpan w:val="6"/>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33"/>
        </w:trPr>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489"/>
        </w:trPr>
        <w:tc>
          <w:tcPr>
            <w:tcW w:w="39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3020" w:type="dxa"/>
            <w:vAlign w:val="bottom"/>
            <w:gridSpan w:val="3"/>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40" w:type="dxa"/>
            <w:vAlign w:val="bottom"/>
            <w:gridSpan w:val="4"/>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1"/>
        </w:trPr>
        <w:tc>
          <w:tcPr>
            <w:tcW w:w="394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20" w:type="dxa"/>
            <w:vAlign w:val="bottom"/>
            <w:gridSpan w:val="3"/>
          </w:tcPr>
          <w:p>
            <w:pPr>
              <w:jc w:val="center"/>
              <w:ind w:right="116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77"/>
        </w:trPr>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6"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3"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38" w:lineRule="exact"/>
        <w:rPr>
          <w:sz w:val="24"/>
          <w:szCs w:val="24"/>
          <w:color w:val="auto"/>
        </w:rPr>
      </w:pPr>
    </w:p>
    <w:p>
      <w:pPr>
        <w:ind w:left="7"/>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582295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98" w:lineRule="exact"/>
        <w:rPr>
          <w:sz w:val="20"/>
          <w:szCs w:val="20"/>
          <w:color w:val="auto"/>
        </w:rPr>
      </w:pPr>
    </w:p>
    <w:p>
      <w:pPr>
        <w:jc w:val="both"/>
        <w:ind w:firstLine="347"/>
        <w:spacing w:after="0" w:line="263" w:lineRule="auto"/>
        <w:rPr>
          <w:sz w:val="20"/>
          <w:szCs w:val="20"/>
          <w:color w:val="auto"/>
        </w:rPr>
      </w:pPr>
      <w:r>
        <w:rPr>
          <w:rFonts w:ascii="Times New Roman" w:cs="Times New Roman" w:eastAsia="Times New Roman" w:hAnsi="Times New Roman"/>
          <w:sz w:val="15"/>
          <w:szCs w:val="15"/>
          <w:color w:val="auto"/>
        </w:rPr>
        <w:t>On September 3, 2024, Wynn Macau, Limited ("WML"), an indirect subsidiary of Wynn Resorts, Limited (the "Registrant") with its ordinary shares of common stock listed on The Stock Exchange of Hong Kong Limited (the "HKSE"), filed with the HKSE an announcement (the "Announcement") in relation to an adjustment to the conversion price of its 4.50% convertible bonds due 2029 (the “Convertible Bonds”) as provided under the terms and conditions of the Convertible Bonds. Such terms and conditions provide, among others, that an adjustment be made to the conversion price of the Convertible Bonds if and whenever WML pays or makes any capital distributions, including cash dividends, to its shareholders. Accordingly, effective on September 4, 2024, the conversion price of the Convertible Bonds will be adjusted from HK$10.24375 to HK$10.01212, as a result of the payment by WML of a final dividend of HK$0.075 per share in respect of the year ended December 31, 2023 and an interim dividend of HK$0.075 in respect of the six months ended June 30, 2024. Other than the conversion price adjustment, all other terms and conditions of the Convertible Bonds remain unchanged.</w:t>
      </w:r>
    </w:p>
    <w:p>
      <w:pPr>
        <w:spacing w:after="0" w:line="182" w:lineRule="exact"/>
        <w:rPr>
          <w:sz w:val="20"/>
          <w:szCs w:val="20"/>
          <w:color w:val="auto"/>
        </w:rPr>
      </w:pPr>
    </w:p>
    <w:p>
      <w:pPr>
        <w:jc w:val="both"/>
        <w:ind w:right="20" w:firstLine="347"/>
        <w:spacing w:after="0" w:line="295" w:lineRule="auto"/>
        <w:rPr>
          <w:sz w:val="20"/>
          <w:szCs w:val="20"/>
          <w:color w:val="auto"/>
        </w:rPr>
      </w:pPr>
      <w:r>
        <w:rPr>
          <w:rFonts w:ascii="Times New Roman" w:cs="Times New Roman" w:eastAsia="Times New Roman" w:hAnsi="Times New Roman"/>
          <w:sz w:val="15"/>
          <w:szCs w:val="15"/>
          <w:color w:val="auto"/>
        </w:rPr>
        <w:t>The Registrant owns approximately 72% of WML's ordinary shares of common stock. A copy of the Announcement is furnished herewith as Exhibit 99.1 and incorporated herein by reference.</w:t>
      </w:r>
    </w:p>
    <w:p>
      <w:pPr>
        <w:spacing w:after="0" w:line="155"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under Item 7.01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370"/>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6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151"/>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13"/>
                <w:szCs w:val="13"/>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20"/>
                <w:szCs w:val="20"/>
                <w:color w:val="auto"/>
              </w:rPr>
            </w:pPr>
          </w:p>
        </w:tc>
        <w:tc>
          <w:tcPr>
            <w:tcW w:w="4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Announcement of Wynn Macau, Limited, dated September 3, 2024</w:t>
            </w:r>
          </w:p>
        </w:tc>
        <w:tc>
          <w:tcPr>
            <w:tcW w:w="5760" w:type="dxa"/>
            <w:vAlign w:val="bottom"/>
          </w:tcPr>
          <w:p>
            <w:pPr>
              <w:spacing w:after="0"/>
              <w:rPr>
                <w:sz w:val="20"/>
                <w:szCs w:val="20"/>
                <w:color w:val="auto"/>
              </w:rPr>
            </w:pP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45"/>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80"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WYNN RESORTS, LIMITED</w:t>
            </w: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Dated: September 3, 2024</w:t>
            </w:r>
          </w:p>
        </w:tc>
        <w:tc>
          <w:tcPr>
            <w:tcW w:w="3040" w:type="dxa"/>
            <w:vAlign w:val="bottom"/>
          </w:tcPr>
          <w:p>
            <w:pPr>
              <w:ind w:left="2420"/>
              <w:spacing w:after="0"/>
              <w:rPr>
                <w:sz w:val="20"/>
                <w:szCs w:val="20"/>
                <w:color w:val="auto"/>
              </w:rPr>
            </w:pPr>
            <w:r>
              <w:rPr>
                <w:rFonts w:ascii="Times New Roman" w:cs="Times New Roman" w:eastAsia="Times New Roman" w:hAnsi="Times New Roman"/>
                <w:sz w:val="15"/>
                <w:szCs w:val="15"/>
                <w:color w:val="auto"/>
              </w:rPr>
              <w:t>By:</w:t>
            </w:r>
          </w:p>
        </w:tc>
        <w:tc>
          <w:tcPr>
            <w:tcW w:w="3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/s/ Julie Cameron-Doe</w:t>
            </w:r>
          </w:p>
        </w:tc>
      </w:tr>
      <w:tr>
        <w:trPr>
          <w:trHeight w:val="186"/>
        </w:trPr>
        <w:tc>
          <w:tcPr>
            <w:tcW w:w="40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Julie Cameron-Doe</w:t>
            </w:r>
          </w:p>
        </w:tc>
      </w:tr>
      <w:tr>
        <w:trPr>
          <w:trHeight w:val="199"/>
        </w:trPr>
        <w:tc>
          <w:tcPr>
            <w:tcW w:w="40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1340"/>
          </w:cols>
          <w:pgMar w:left="320" w:top="781"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2024-09-03T15:20:52Z</dcterms:created>
  <dcterms:modified xsi:type="dcterms:W3CDTF">2024-09-03T15:20:52Z</dcterms:modified>
</cp:coreProperties>
</file>