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5036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36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KRUM JACQUI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700"/>
        <w:spacing w:after="0" w:line="3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WYNN RESORTS, LIMITED 3131 LAS VEGAS BLVD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WYNN RESORTS LTD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WYNN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General Counsel</w:t>
      </w:r>
    </w:p>
    <w:p>
      <w:pPr>
        <w:spacing w:after="0" w:line="4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</w:tcPr>
          <w:p>
            <w:pPr>
              <w:jc w:val="center"/>
              <w:ind w:right="58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9"/>
          </w:tcPr>
          <w:p>
            <w:pPr>
              <w:ind w:left="2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09/15/2025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2,174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122.85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42,068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80" w:type="dxa"/>
            <w:vAlign w:val="bottom"/>
            <w:gridSpan w:val="10"/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01/01/2028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5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3,378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-2181860</wp:posOffset>
            </wp:positionV>
            <wp:extent cx="29210" cy="21869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8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to satisfy tax withholding obligation upon vesting of restricted stock previously granted on November 6, 2024.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Nicholas Pannucci,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09/16/2025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595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Jacqui Krum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0020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45912" TargetMode="External"/><Relationship Id="rId14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2025-09-16T19:07:44Z</dcterms:created>
  <dcterms:modified xsi:type="dcterms:W3CDTF">2025-09-16T19:07:44Z</dcterms:modified>
</cp:coreProperties>
</file>