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line="230"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____________________</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 February 10, 2011</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WYNN RESORTS, LIMITED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60" w:type="dxa"/>
        <w:tblCellMar>
          <w:top w:w="0" w:type="dxa"/>
          <w:left w:w="0" w:type="dxa"/>
          <w:bottom w:w="0" w:type="dxa"/>
          <w:right w:w="0" w:type="dxa"/>
        </w:tblCellMar>
      </w:tblPr>
      <w:tr>
        <w:trPr>
          <w:trHeight w:val="253"/>
        </w:trPr>
        <w:tc>
          <w:tcPr>
            <w:tcW w:w="3540" w:type="dxa"/>
            <w:vAlign w:val="bottom"/>
          </w:tcPr>
          <w:p>
            <w:pPr>
              <w:jc w:val="center"/>
              <w:spacing w:after="0"/>
              <w:rPr>
                <w:sz w:val="20"/>
                <w:szCs w:val="20"/>
                <w:color w:val="auto"/>
              </w:rPr>
            </w:pPr>
            <w:r>
              <w:rPr>
                <w:rFonts w:ascii="Arial" w:cs="Arial" w:eastAsia="Arial" w:hAnsi="Arial"/>
                <w:sz w:val="22"/>
                <w:szCs w:val="22"/>
                <w:b w:val="1"/>
                <w:bCs w:val="1"/>
                <w:color w:val="auto"/>
                <w:w w:val="89"/>
              </w:rPr>
              <w:t>Nevada</w:t>
            </w:r>
          </w:p>
        </w:tc>
        <w:tc>
          <w:tcPr>
            <w:tcW w:w="4300" w:type="dxa"/>
            <w:vAlign w:val="bottom"/>
          </w:tcPr>
          <w:p>
            <w:pPr>
              <w:jc w:val="right"/>
              <w:ind w:right="1638"/>
              <w:spacing w:after="0"/>
              <w:rPr>
                <w:sz w:val="20"/>
                <w:szCs w:val="20"/>
                <w:color w:val="auto"/>
              </w:rPr>
            </w:pPr>
            <w:r>
              <w:rPr>
                <w:rFonts w:ascii="Arial" w:cs="Arial" w:eastAsia="Arial" w:hAnsi="Arial"/>
                <w:sz w:val="22"/>
                <w:szCs w:val="22"/>
                <w:b w:val="1"/>
                <w:bCs w:val="1"/>
                <w:color w:val="auto"/>
              </w:rPr>
              <w:t>000-50028</w:t>
            </w:r>
          </w:p>
        </w:tc>
        <w:tc>
          <w:tcPr>
            <w:tcW w:w="3280" w:type="dxa"/>
            <w:vAlign w:val="bottom"/>
          </w:tcPr>
          <w:p>
            <w:pPr>
              <w:jc w:val="right"/>
              <w:ind w:right="935"/>
              <w:spacing w:after="0"/>
              <w:rPr>
                <w:sz w:val="20"/>
                <w:szCs w:val="20"/>
                <w:color w:val="auto"/>
              </w:rPr>
            </w:pPr>
            <w:r>
              <w:rPr>
                <w:rFonts w:ascii="Arial" w:cs="Arial" w:eastAsia="Arial" w:hAnsi="Arial"/>
                <w:sz w:val="22"/>
                <w:szCs w:val="22"/>
                <w:b w:val="1"/>
                <w:bCs w:val="1"/>
                <w:color w:val="auto"/>
              </w:rPr>
              <w:t>46-0484987</w:t>
            </w:r>
          </w:p>
        </w:tc>
      </w:tr>
      <w:tr>
        <w:trPr>
          <w:trHeight w:val="243"/>
        </w:trPr>
        <w:tc>
          <w:tcPr>
            <w:tcW w:w="3540" w:type="dxa"/>
            <w:vAlign w:val="bottom"/>
          </w:tcPr>
          <w:p>
            <w:pPr>
              <w:jc w:val="center"/>
              <w:spacing w:after="0" w:line="243" w:lineRule="exact"/>
              <w:rPr>
                <w:sz w:val="20"/>
                <w:szCs w:val="20"/>
                <w:color w:val="auto"/>
              </w:rPr>
            </w:pPr>
            <w:r>
              <w:rPr>
                <w:rFonts w:ascii="Arial" w:cs="Arial" w:eastAsia="Arial" w:hAnsi="Arial"/>
                <w:sz w:val="22"/>
                <w:szCs w:val="22"/>
                <w:color w:val="auto"/>
                <w:w w:val="90"/>
              </w:rPr>
              <w:t>(State or other jurisdiction of</w:t>
            </w:r>
          </w:p>
        </w:tc>
        <w:tc>
          <w:tcPr>
            <w:tcW w:w="4300" w:type="dxa"/>
            <w:vAlign w:val="bottom"/>
          </w:tcPr>
          <w:p>
            <w:pPr>
              <w:jc w:val="center"/>
              <w:spacing w:after="0" w:line="243" w:lineRule="exact"/>
              <w:rPr>
                <w:sz w:val="20"/>
                <w:szCs w:val="20"/>
                <w:color w:val="auto"/>
              </w:rPr>
            </w:pPr>
            <w:r>
              <w:rPr>
                <w:rFonts w:ascii="Arial" w:cs="Arial" w:eastAsia="Arial" w:hAnsi="Arial"/>
                <w:sz w:val="22"/>
                <w:szCs w:val="22"/>
                <w:color w:val="auto"/>
                <w:w w:val="91"/>
              </w:rPr>
              <w:t>(Commission File Number)</w:t>
            </w:r>
          </w:p>
        </w:tc>
        <w:tc>
          <w:tcPr>
            <w:tcW w:w="3280" w:type="dxa"/>
            <w:vAlign w:val="bottom"/>
          </w:tcPr>
          <w:p>
            <w:pPr>
              <w:jc w:val="center"/>
              <w:ind w:left="35"/>
              <w:spacing w:after="0" w:line="243" w:lineRule="exact"/>
              <w:rPr>
                <w:sz w:val="20"/>
                <w:szCs w:val="20"/>
                <w:color w:val="auto"/>
              </w:rPr>
            </w:pPr>
            <w:r>
              <w:rPr>
                <w:rFonts w:ascii="Arial" w:cs="Arial" w:eastAsia="Arial" w:hAnsi="Arial"/>
                <w:sz w:val="22"/>
                <w:szCs w:val="22"/>
                <w:color w:val="auto"/>
                <w:w w:val="92"/>
              </w:rPr>
              <w:t>(I.R.S. Employer Identification No.)</w:t>
            </w:r>
          </w:p>
        </w:tc>
      </w:tr>
      <w:tr>
        <w:trPr>
          <w:trHeight w:val="275"/>
        </w:trPr>
        <w:tc>
          <w:tcPr>
            <w:tcW w:w="3540" w:type="dxa"/>
            <w:vAlign w:val="bottom"/>
          </w:tcPr>
          <w:p>
            <w:pPr>
              <w:jc w:val="center"/>
              <w:spacing w:after="0"/>
              <w:rPr>
                <w:sz w:val="20"/>
                <w:szCs w:val="20"/>
                <w:color w:val="auto"/>
              </w:rPr>
            </w:pPr>
            <w:r>
              <w:rPr>
                <w:rFonts w:ascii="Arial" w:cs="Arial" w:eastAsia="Arial" w:hAnsi="Arial"/>
                <w:sz w:val="22"/>
                <w:szCs w:val="22"/>
                <w:color w:val="auto"/>
                <w:w w:val="92"/>
              </w:rPr>
              <w:t>incorporation)</w:t>
            </w:r>
          </w:p>
        </w:tc>
        <w:tc>
          <w:tcPr>
            <w:tcW w:w="4300" w:type="dxa"/>
            <w:vAlign w:val="bottom"/>
          </w:tcPr>
          <w:p>
            <w:pPr>
              <w:spacing w:after="0"/>
              <w:rPr>
                <w:sz w:val="23"/>
                <w:szCs w:val="23"/>
                <w:color w:val="auto"/>
              </w:rPr>
            </w:pPr>
          </w:p>
        </w:tc>
        <w:tc>
          <w:tcPr>
            <w:tcW w:w="3280" w:type="dxa"/>
            <w:vAlign w:val="bottom"/>
          </w:tcPr>
          <w:p>
            <w:pPr>
              <w:spacing w:after="0"/>
              <w:rPr>
                <w:sz w:val="23"/>
                <w:szCs w:val="23"/>
                <w:color w:val="auto"/>
              </w:rPr>
            </w:pPr>
          </w:p>
        </w:tc>
      </w:tr>
      <w:tr>
        <w:trPr>
          <w:trHeight w:val="689"/>
        </w:trPr>
        <w:tc>
          <w:tcPr>
            <w:tcW w:w="3540" w:type="dxa"/>
            <w:vAlign w:val="bottom"/>
          </w:tcPr>
          <w:p>
            <w:pPr>
              <w:spacing w:after="0"/>
              <w:rPr>
                <w:sz w:val="24"/>
                <w:szCs w:val="24"/>
                <w:color w:val="auto"/>
              </w:rPr>
            </w:pPr>
          </w:p>
        </w:tc>
        <w:tc>
          <w:tcPr>
            <w:tcW w:w="4300" w:type="dxa"/>
            <w:vAlign w:val="bottom"/>
          </w:tcPr>
          <w:p>
            <w:pPr>
              <w:jc w:val="center"/>
              <w:spacing w:after="0"/>
              <w:rPr>
                <w:sz w:val="20"/>
                <w:szCs w:val="20"/>
                <w:color w:val="auto"/>
              </w:rPr>
            </w:pPr>
            <w:r>
              <w:rPr>
                <w:rFonts w:ascii="Arial" w:cs="Arial" w:eastAsia="Arial" w:hAnsi="Arial"/>
                <w:sz w:val="20"/>
                <w:szCs w:val="20"/>
                <w:b w:val="1"/>
                <w:bCs w:val="1"/>
                <w:color w:val="auto"/>
                <w:w w:val="99"/>
              </w:rPr>
              <w:t>WYNN LAS VEGAS, LLC</w:t>
            </w:r>
          </w:p>
        </w:tc>
        <w:tc>
          <w:tcPr>
            <w:tcW w:w="3280" w:type="dxa"/>
            <w:vAlign w:val="bottom"/>
          </w:tcPr>
          <w:p>
            <w:pPr>
              <w:spacing w:after="0"/>
              <w:rPr>
                <w:sz w:val="24"/>
                <w:szCs w:val="24"/>
                <w:color w:val="auto"/>
              </w:rPr>
            </w:pPr>
          </w:p>
        </w:tc>
      </w:tr>
      <w:tr>
        <w:trPr>
          <w:trHeight w:val="250"/>
        </w:trPr>
        <w:tc>
          <w:tcPr>
            <w:tcW w:w="3540" w:type="dxa"/>
            <w:vAlign w:val="bottom"/>
          </w:tcPr>
          <w:p>
            <w:pPr>
              <w:spacing w:after="0"/>
              <w:rPr>
                <w:sz w:val="21"/>
                <w:szCs w:val="21"/>
                <w:color w:val="auto"/>
              </w:rPr>
            </w:pPr>
          </w:p>
        </w:tc>
        <w:tc>
          <w:tcPr>
            <w:tcW w:w="4300" w:type="dxa"/>
            <w:vAlign w:val="bottom"/>
          </w:tcPr>
          <w:p>
            <w:pPr>
              <w:jc w:val="center"/>
              <w:spacing w:after="0"/>
              <w:rPr>
                <w:sz w:val="20"/>
                <w:szCs w:val="20"/>
                <w:color w:val="auto"/>
              </w:rPr>
            </w:pPr>
            <w:r>
              <w:rPr>
                <w:rFonts w:ascii="Arial" w:cs="Arial" w:eastAsia="Arial" w:hAnsi="Arial"/>
                <w:sz w:val="20"/>
                <w:szCs w:val="20"/>
                <w:color w:val="auto"/>
                <w:w w:val="89"/>
              </w:rPr>
              <w:t>(Exact name of registrant as specified in its charter)</w:t>
            </w:r>
          </w:p>
        </w:tc>
        <w:tc>
          <w:tcPr>
            <w:tcW w:w="3280" w:type="dxa"/>
            <w:vAlign w:val="bottom"/>
          </w:tcPr>
          <w:p>
            <w:pPr>
              <w:spacing w:after="0"/>
              <w:rPr>
                <w:sz w:val="21"/>
                <w:szCs w:val="21"/>
                <w:color w:val="auto"/>
              </w:rPr>
            </w:pPr>
          </w:p>
        </w:tc>
      </w:tr>
      <w:tr>
        <w:trPr>
          <w:trHeight w:val="452"/>
        </w:trPr>
        <w:tc>
          <w:tcPr>
            <w:tcW w:w="3540" w:type="dxa"/>
            <w:vAlign w:val="bottom"/>
          </w:tcPr>
          <w:p>
            <w:pPr>
              <w:jc w:val="center"/>
              <w:spacing w:after="0"/>
              <w:rPr>
                <w:sz w:val="20"/>
                <w:szCs w:val="20"/>
                <w:color w:val="auto"/>
              </w:rPr>
            </w:pPr>
            <w:r>
              <w:rPr>
                <w:rFonts w:ascii="Arial" w:cs="Arial" w:eastAsia="Arial" w:hAnsi="Arial"/>
                <w:sz w:val="20"/>
                <w:szCs w:val="20"/>
                <w:b w:val="1"/>
                <w:bCs w:val="1"/>
                <w:color w:val="auto"/>
                <w:w w:val="89"/>
              </w:rPr>
              <w:t>Nevada</w:t>
            </w:r>
          </w:p>
        </w:tc>
        <w:tc>
          <w:tcPr>
            <w:tcW w:w="4300" w:type="dxa"/>
            <w:vAlign w:val="bottom"/>
          </w:tcPr>
          <w:p>
            <w:pPr>
              <w:jc w:val="right"/>
              <w:ind w:right="1618"/>
              <w:spacing w:after="0"/>
              <w:rPr>
                <w:sz w:val="20"/>
                <w:szCs w:val="20"/>
                <w:color w:val="auto"/>
              </w:rPr>
            </w:pPr>
            <w:r>
              <w:rPr>
                <w:rFonts w:ascii="Arial" w:cs="Arial" w:eastAsia="Arial" w:hAnsi="Arial"/>
                <w:sz w:val="20"/>
                <w:szCs w:val="20"/>
                <w:b w:val="1"/>
                <w:bCs w:val="1"/>
                <w:color w:val="auto"/>
              </w:rPr>
              <w:t>333-100768</w:t>
            </w:r>
          </w:p>
        </w:tc>
        <w:tc>
          <w:tcPr>
            <w:tcW w:w="3280" w:type="dxa"/>
            <w:vAlign w:val="bottom"/>
          </w:tcPr>
          <w:p>
            <w:pPr>
              <w:jc w:val="right"/>
              <w:ind w:right="995"/>
              <w:spacing w:after="0"/>
              <w:rPr>
                <w:sz w:val="20"/>
                <w:szCs w:val="20"/>
                <w:color w:val="auto"/>
              </w:rPr>
            </w:pPr>
            <w:r>
              <w:rPr>
                <w:rFonts w:ascii="Arial" w:cs="Arial" w:eastAsia="Arial" w:hAnsi="Arial"/>
                <w:sz w:val="20"/>
                <w:szCs w:val="20"/>
                <w:b w:val="1"/>
                <w:bCs w:val="1"/>
                <w:color w:val="auto"/>
              </w:rPr>
              <w:t>88-0494875</w:t>
            </w:r>
          </w:p>
        </w:tc>
      </w:tr>
      <w:tr>
        <w:trPr>
          <w:trHeight w:val="250"/>
        </w:trPr>
        <w:tc>
          <w:tcPr>
            <w:tcW w:w="3540" w:type="dxa"/>
            <w:vAlign w:val="bottom"/>
          </w:tcPr>
          <w:p>
            <w:pPr>
              <w:jc w:val="center"/>
              <w:spacing w:after="0"/>
              <w:rPr>
                <w:sz w:val="20"/>
                <w:szCs w:val="20"/>
                <w:color w:val="auto"/>
              </w:rPr>
            </w:pPr>
            <w:r>
              <w:rPr>
                <w:rFonts w:ascii="Arial" w:cs="Arial" w:eastAsia="Arial" w:hAnsi="Arial"/>
                <w:sz w:val="20"/>
                <w:szCs w:val="20"/>
                <w:color w:val="auto"/>
                <w:w w:val="92"/>
              </w:rPr>
              <w:t>(State or other jurisdiction of incorporation)</w:t>
            </w:r>
          </w:p>
        </w:tc>
        <w:tc>
          <w:tcPr>
            <w:tcW w:w="4300" w:type="dxa"/>
            <w:vAlign w:val="bottom"/>
          </w:tcPr>
          <w:p>
            <w:pPr>
              <w:jc w:val="center"/>
              <w:spacing w:after="0"/>
              <w:rPr>
                <w:sz w:val="20"/>
                <w:szCs w:val="20"/>
                <w:color w:val="auto"/>
              </w:rPr>
            </w:pPr>
            <w:r>
              <w:rPr>
                <w:rFonts w:ascii="Arial" w:cs="Arial" w:eastAsia="Arial" w:hAnsi="Arial"/>
                <w:sz w:val="20"/>
                <w:szCs w:val="20"/>
                <w:color w:val="auto"/>
                <w:w w:val="92"/>
              </w:rPr>
              <w:t>(Commission File Number)</w:t>
            </w:r>
          </w:p>
        </w:tc>
        <w:tc>
          <w:tcPr>
            <w:tcW w:w="3280" w:type="dxa"/>
            <w:vAlign w:val="bottom"/>
          </w:tcPr>
          <w:p>
            <w:pPr>
              <w:jc w:val="center"/>
              <w:ind w:left="35"/>
              <w:spacing w:after="0"/>
              <w:rPr>
                <w:sz w:val="20"/>
                <w:szCs w:val="20"/>
                <w:color w:val="auto"/>
              </w:rPr>
            </w:pPr>
            <w:r>
              <w:rPr>
                <w:rFonts w:ascii="Arial" w:cs="Arial" w:eastAsia="Arial" w:hAnsi="Arial"/>
                <w:sz w:val="20"/>
                <w:szCs w:val="20"/>
                <w:color w:val="auto"/>
                <w:w w:val="92"/>
              </w:rPr>
              <w:t>(I.R.S. Employer Identification No.)</w:t>
            </w:r>
          </w:p>
        </w:tc>
      </w:tr>
      <w:tr>
        <w:trPr>
          <w:trHeight w:val="455"/>
        </w:trPr>
        <w:tc>
          <w:tcPr>
            <w:tcW w:w="7840" w:type="dxa"/>
            <w:vAlign w:val="bottom"/>
            <w:gridSpan w:val="2"/>
          </w:tcPr>
          <w:p>
            <w:pPr>
              <w:jc w:val="center"/>
              <w:ind w:right="998"/>
              <w:spacing w:after="0"/>
              <w:rPr>
                <w:sz w:val="20"/>
                <w:szCs w:val="20"/>
                <w:color w:val="auto"/>
              </w:rPr>
            </w:pPr>
            <w:r>
              <w:rPr>
                <w:rFonts w:ascii="Arial" w:cs="Arial" w:eastAsia="Arial" w:hAnsi="Arial"/>
                <w:sz w:val="22"/>
                <w:szCs w:val="22"/>
                <w:b w:val="1"/>
                <w:bCs w:val="1"/>
                <w:color w:val="auto"/>
                <w:w w:val="87"/>
              </w:rPr>
              <w:t>3131 Las Vegas Boulevard South</w:t>
            </w:r>
          </w:p>
        </w:tc>
        <w:tc>
          <w:tcPr>
            <w:tcW w:w="3280" w:type="dxa"/>
            <w:vAlign w:val="bottom"/>
          </w:tcPr>
          <w:p>
            <w:pPr>
              <w:spacing w:after="0"/>
              <w:rPr>
                <w:sz w:val="24"/>
                <w:szCs w:val="24"/>
                <w:color w:val="auto"/>
              </w:rPr>
            </w:pPr>
          </w:p>
        </w:tc>
      </w:tr>
      <w:tr>
        <w:trPr>
          <w:trHeight w:val="249"/>
        </w:trPr>
        <w:tc>
          <w:tcPr>
            <w:tcW w:w="7840" w:type="dxa"/>
            <w:vAlign w:val="bottom"/>
            <w:gridSpan w:val="2"/>
          </w:tcPr>
          <w:p>
            <w:pPr>
              <w:jc w:val="center"/>
              <w:ind w:right="1018"/>
              <w:spacing w:after="0" w:line="249" w:lineRule="exact"/>
              <w:rPr>
                <w:sz w:val="20"/>
                <w:szCs w:val="20"/>
                <w:color w:val="auto"/>
              </w:rPr>
            </w:pPr>
            <w:r>
              <w:rPr>
                <w:rFonts w:ascii="Arial" w:cs="Arial" w:eastAsia="Arial" w:hAnsi="Arial"/>
                <w:sz w:val="22"/>
                <w:szCs w:val="22"/>
                <w:b w:val="1"/>
                <w:bCs w:val="1"/>
                <w:color w:val="auto"/>
                <w:w w:val="86"/>
              </w:rPr>
              <w:t>Las Vegas, Nevada</w:t>
            </w:r>
          </w:p>
        </w:tc>
        <w:tc>
          <w:tcPr>
            <w:tcW w:w="3280" w:type="dxa"/>
            <w:vAlign w:val="bottom"/>
          </w:tcPr>
          <w:p>
            <w:pPr>
              <w:jc w:val="right"/>
              <w:ind w:right="1555"/>
              <w:spacing w:after="0" w:line="249" w:lineRule="exact"/>
              <w:rPr>
                <w:sz w:val="20"/>
                <w:szCs w:val="20"/>
                <w:color w:val="auto"/>
              </w:rPr>
            </w:pPr>
            <w:r>
              <w:rPr>
                <w:rFonts w:ascii="Arial" w:cs="Arial" w:eastAsia="Arial" w:hAnsi="Arial"/>
                <w:sz w:val="22"/>
                <w:szCs w:val="22"/>
                <w:b w:val="1"/>
                <w:bCs w:val="1"/>
                <w:color w:val="auto"/>
              </w:rPr>
              <w:t>89109</w:t>
            </w:r>
          </w:p>
        </w:tc>
      </w:tr>
      <w:tr>
        <w:trPr>
          <w:trHeight w:val="275"/>
        </w:trPr>
        <w:tc>
          <w:tcPr>
            <w:tcW w:w="7840" w:type="dxa"/>
            <w:vAlign w:val="bottom"/>
            <w:gridSpan w:val="2"/>
          </w:tcPr>
          <w:p>
            <w:pPr>
              <w:jc w:val="center"/>
              <w:ind w:right="998"/>
              <w:spacing w:after="0"/>
              <w:rPr>
                <w:sz w:val="20"/>
                <w:szCs w:val="20"/>
                <w:color w:val="auto"/>
              </w:rPr>
            </w:pPr>
            <w:r>
              <w:rPr>
                <w:rFonts w:ascii="Arial" w:cs="Arial" w:eastAsia="Arial" w:hAnsi="Arial"/>
                <w:sz w:val="22"/>
                <w:szCs w:val="22"/>
                <w:color w:val="auto"/>
                <w:w w:val="90"/>
              </w:rPr>
              <w:t>(Address of principal executive offices of each registrant)</w:t>
            </w:r>
          </w:p>
        </w:tc>
        <w:tc>
          <w:tcPr>
            <w:tcW w:w="3280" w:type="dxa"/>
            <w:vAlign w:val="bottom"/>
          </w:tcPr>
          <w:p>
            <w:pPr>
              <w:jc w:val="center"/>
              <w:ind w:right="455"/>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(702) 770-7555</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15"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Check the appropriate box below if the Form 8-K is intended to simultaneously satisfy the filing obligation of the registrant under any of the following provisions:</w:t>
      </w:r>
    </w:p>
    <w:p>
      <w:pPr>
        <w:spacing w:after="0" w:line="200" w:lineRule="exact"/>
        <w:rPr>
          <w:sz w:val="24"/>
          <w:szCs w:val="24"/>
          <w:color w:val="auto"/>
        </w:rPr>
      </w:pPr>
    </w:p>
    <w:p>
      <w:pPr>
        <w:ind w:left="700" w:hanging="692"/>
        <w:spacing w:after="0"/>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 pursuant to Rule 425 under the Securities Act (17 CFR 230.425)</w:t>
      </w:r>
    </w:p>
    <w:p>
      <w:pPr>
        <w:spacing w:after="0" w:line="206" w:lineRule="exact"/>
        <w:rPr>
          <w:rFonts w:ascii="Arial" w:cs="Arial" w:eastAsia="Arial" w:hAnsi="Arial"/>
          <w:sz w:val="22"/>
          <w:szCs w:val="22"/>
          <w:color w:val="auto"/>
        </w:rPr>
      </w:pPr>
    </w:p>
    <w:p>
      <w:pPr>
        <w:ind w:left="700" w:hanging="692"/>
        <w:spacing w:after="0"/>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06" w:lineRule="exact"/>
        <w:rPr>
          <w:rFonts w:ascii="Arial" w:cs="Arial" w:eastAsia="Arial" w:hAnsi="Arial"/>
          <w:sz w:val="22"/>
          <w:szCs w:val="22"/>
          <w:color w:val="auto"/>
        </w:rPr>
      </w:pPr>
    </w:p>
    <w:p>
      <w:pPr>
        <w:ind w:left="700" w:hanging="692"/>
        <w:spacing w:after="0"/>
        <w:tabs>
          <w:tab w:leader="none" w:pos="70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17" w:lineRule="exact"/>
        <w:rPr>
          <w:rFonts w:ascii="Arial" w:cs="Arial" w:eastAsia="Arial" w:hAnsi="Arial"/>
          <w:sz w:val="21"/>
          <w:szCs w:val="21"/>
          <w:color w:val="auto"/>
        </w:rPr>
      </w:pPr>
    </w:p>
    <w:p>
      <w:pPr>
        <w:ind w:left="700" w:hanging="692"/>
        <w:spacing w:after="0"/>
        <w:tabs>
          <w:tab w:leader="none" w:pos="70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578485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39" w:lineRule="exact"/>
        <w:rPr>
          <w:sz w:val="20"/>
          <w:szCs w:val="20"/>
          <w:color w:val="auto"/>
        </w:rPr>
      </w:pPr>
    </w:p>
    <w:p>
      <w:pPr>
        <w:ind w:firstLine="648"/>
        <w:spacing w:after="0" w:line="249" w:lineRule="auto"/>
        <w:rPr>
          <w:sz w:val="20"/>
          <w:szCs w:val="20"/>
          <w:color w:val="auto"/>
        </w:rPr>
      </w:pPr>
      <w:r>
        <w:rPr>
          <w:rFonts w:ascii="Arial" w:cs="Arial" w:eastAsia="Arial" w:hAnsi="Arial"/>
          <w:sz w:val="21"/>
          <w:szCs w:val="21"/>
          <w:color w:val="auto"/>
        </w:rPr>
        <w:t>On February 10, 2011, Wynn Resorts, Limited issued a press release announcing its results of operations for the fourth quarter and year ended December 31, 2010. The press release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0"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information set forth under Item 2.02 of this report is incorporated herein by reference.</w:t>
      </w:r>
    </w:p>
    <w:p>
      <w:pPr>
        <w:spacing w:after="0" w:line="227"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1500" w:hanging="844"/>
        <w:spacing w:after="0"/>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color w:val="auto"/>
        </w:rPr>
        <w:t>Exhibits:</w:t>
      </w:r>
    </w:p>
    <w:p>
      <w:pPr>
        <w:spacing w:after="0" w:line="23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Exhibit</w:t>
      </w:r>
    </w:p>
    <w:p>
      <w:pPr>
        <w:spacing w:after="0" w:line="8" w:lineRule="exact"/>
        <w:rPr>
          <w:sz w:val="20"/>
          <w:szCs w:val="20"/>
          <w:color w:val="auto"/>
        </w:rPr>
      </w:pPr>
    </w:p>
    <w:p>
      <w:pPr>
        <w:ind w:left="220"/>
        <w:spacing w:after="0"/>
        <w:tabs>
          <w:tab w:leader="none" w:pos="1680" w:val="left"/>
        </w:tabs>
        <w:rPr>
          <w:sz w:val="20"/>
          <w:szCs w:val="20"/>
          <w:color w:val="auto"/>
        </w:rPr>
      </w:pPr>
      <w:r>
        <w:rPr>
          <w:rFonts w:ascii="Arial" w:cs="Arial" w:eastAsia="Arial" w:hAnsi="Arial"/>
          <w:sz w:val="22"/>
          <w:szCs w:val="22"/>
          <w:u w:val="single" w:color="auto"/>
          <w:color w:val="auto"/>
        </w:rPr>
        <w:t>Number</w:t>
      </w:r>
      <w:r>
        <w:rPr>
          <w:sz w:val="20"/>
          <w:szCs w:val="20"/>
          <w:color w:val="auto"/>
        </w:rPr>
        <w:tab/>
      </w:r>
      <w:r>
        <w:rPr>
          <w:rFonts w:ascii="Arial" w:cs="Arial" w:eastAsia="Arial" w:hAnsi="Arial"/>
          <w:sz w:val="22"/>
          <w:szCs w:val="22"/>
          <w:u w:val="single" w:color="auto"/>
          <w:color w:val="auto"/>
        </w:rPr>
        <w:t>Description</w:t>
      </w:r>
    </w:p>
    <w:p>
      <w:pPr>
        <w:spacing w:after="0" w:line="188"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Press release, dated February 10, 2011, of 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747"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9"/>
          <w:szCs w:val="19"/>
          <w:color w:val="auto"/>
        </w:rPr>
        <w:t>February 10, 2011</w:t>
      </w:r>
    </w:p>
    <w:p>
      <w:pPr>
        <w:spacing w:after="0" w:line="233"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WYNN RESORTS, LIMITED</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6700" w:type="dxa"/>
            <w:vAlign w:val="bottom"/>
          </w:tcPr>
          <w:p>
            <w:pPr>
              <w:ind w:left="6000"/>
              <w:spacing w:after="0"/>
              <w:rPr>
                <w:sz w:val="20"/>
                <w:szCs w:val="20"/>
                <w:color w:val="auto"/>
              </w:rPr>
            </w:pPr>
            <w:r>
              <w:rPr>
                <w:rFonts w:ascii="Arial" w:cs="Arial" w:eastAsia="Arial" w:hAnsi="Arial"/>
                <w:sz w:val="22"/>
                <w:szCs w:val="22"/>
                <w:color w:val="auto"/>
              </w:rPr>
              <w:t>By:</w:t>
            </w:r>
          </w:p>
        </w:tc>
        <w:tc>
          <w:tcPr>
            <w:tcW w:w="47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Matt Maddox</w:t>
            </w:r>
          </w:p>
        </w:tc>
      </w:tr>
      <w:tr>
        <w:trPr>
          <w:trHeight w:val="215"/>
        </w:trPr>
        <w:tc>
          <w:tcPr>
            <w:tcW w:w="6700" w:type="dxa"/>
            <w:vAlign w:val="bottom"/>
          </w:tcPr>
          <w:p>
            <w:pPr>
              <w:spacing w:after="0"/>
              <w:rPr>
                <w:sz w:val="18"/>
                <w:szCs w:val="18"/>
                <w:color w:val="auto"/>
              </w:rPr>
            </w:pPr>
          </w:p>
        </w:tc>
        <w:tc>
          <w:tcPr>
            <w:tcW w:w="78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3940" w:type="dxa"/>
            <w:vAlign w:val="bottom"/>
          </w:tcPr>
          <w:p>
            <w:pPr>
              <w:ind w:left="220"/>
              <w:spacing w:after="0" w:line="216" w:lineRule="exact"/>
              <w:rPr>
                <w:sz w:val="20"/>
                <w:szCs w:val="20"/>
                <w:color w:val="auto"/>
              </w:rPr>
            </w:pPr>
            <w:r>
              <w:rPr>
                <w:rFonts w:ascii="Arial" w:cs="Arial" w:eastAsia="Arial" w:hAnsi="Arial"/>
                <w:sz w:val="22"/>
                <w:szCs w:val="22"/>
                <w:color w:val="auto"/>
              </w:rPr>
              <w:t>Matt Maddox</w:t>
            </w:r>
          </w:p>
        </w:tc>
      </w:tr>
      <w:tr>
        <w:trPr>
          <w:trHeight w:val="243"/>
        </w:trPr>
        <w:tc>
          <w:tcPr>
            <w:tcW w:w="6700" w:type="dxa"/>
            <w:vAlign w:val="bottom"/>
          </w:tcPr>
          <w:p>
            <w:pPr>
              <w:spacing w:after="0"/>
              <w:rPr>
                <w:sz w:val="21"/>
                <w:szCs w:val="21"/>
                <w:color w:val="auto"/>
              </w:rPr>
            </w:pPr>
          </w:p>
        </w:tc>
        <w:tc>
          <w:tcPr>
            <w:tcW w:w="78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940" w:type="dxa"/>
            <w:vAlign w:val="bottom"/>
          </w:tcPr>
          <w:p>
            <w:pPr>
              <w:ind w:left="220"/>
              <w:spacing w:after="0" w:line="243" w:lineRule="exact"/>
              <w:rPr>
                <w:sz w:val="20"/>
                <w:szCs w:val="20"/>
                <w:color w:val="auto"/>
              </w:rPr>
            </w:pPr>
            <w:r>
              <w:rPr>
                <w:rFonts w:ascii="Arial" w:cs="Arial" w:eastAsia="Arial" w:hAnsi="Arial"/>
                <w:sz w:val="22"/>
                <w:szCs w:val="22"/>
                <w:color w:val="auto"/>
              </w:rPr>
              <w:t>Chief Financial Officer and</w:t>
            </w:r>
          </w:p>
        </w:tc>
      </w:tr>
      <w:tr>
        <w:trPr>
          <w:trHeight w:val="275"/>
        </w:trPr>
        <w:tc>
          <w:tcPr>
            <w:tcW w:w="67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940" w:type="dxa"/>
            <w:vAlign w:val="bottom"/>
          </w:tcPr>
          <w:p>
            <w:pPr>
              <w:ind w:left="220"/>
              <w:spacing w:after="0"/>
              <w:rPr>
                <w:sz w:val="20"/>
                <w:szCs w:val="20"/>
                <w:color w:val="auto"/>
              </w:rPr>
            </w:pPr>
            <w:r>
              <w:rPr>
                <w:rFonts w:ascii="Arial" w:cs="Arial" w:eastAsia="Arial" w:hAnsi="Arial"/>
                <w:sz w:val="22"/>
                <w:szCs w:val="22"/>
                <w:color w:val="auto"/>
              </w:rPr>
              <w:t>Treasurer</w:t>
            </w:r>
          </w:p>
        </w:tc>
      </w:tr>
      <w:tr>
        <w:trPr>
          <w:trHeight w:val="892"/>
        </w:trPr>
        <w:tc>
          <w:tcPr>
            <w:tcW w:w="67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39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20"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9"/>
          <w:szCs w:val="19"/>
          <w:color w:val="auto"/>
        </w:rPr>
        <w:t>February 10, 2011</w:t>
      </w:r>
    </w:p>
    <w:p>
      <w:pPr>
        <w:spacing w:after="0" w:line="233"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WYNN LAS VEGAS, LLC</w:t>
      </w:r>
    </w:p>
    <w:p>
      <w:pPr>
        <w:spacing w:after="0" w:line="206"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By: Wynn Resorts Holdings, LLC, its sole member</w:t>
      </w:r>
    </w:p>
    <w:p>
      <w:pPr>
        <w:spacing w:after="0" w:line="206"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By: Wynn Resorts, Limited, its sole member</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6700" w:type="dxa"/>
            <w:vAlign w:val="bottom"/>
          </w:tcPr>
          <w:p>
            <w:pPr>
              <w:ind w:left="6000"/>
              <w:spacing w:after="0"/>
              <w:rPr>
                <w:sz w:val="20"/>
                <w:szCs w:val="20"/>
                <w:color w:val="auto"/>
              </w:rPr>
            </w:pPr>
            <w:r>
              <w:rPr>
                <w:rFonts w:ascii="Arial" w:cs="Arial" w:eastAsia="Arial" w:hAnsi="Arial"/>
                <w:sz w:val="22"/>
                <w:szCs w:val="22"/>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Matt Maddox</w:t>
            </w:r>
          </w:p>
        </w:tc>
        <w:tc>
          <w:tcPr>
            <w:tcW w:w="20" w:type="dxa"/>
            <w:vAlign w:val="bottom"/>
          </w:tcPr>
          <w:p>
            <w:pPr>
              <w:spacing w:after="0"/>
              <w:rPr>
                <w:sz w:val="23"/>
                <w:szCs w:val="23"/>
                <w:color w:val="auto"/>
              </w:rPr>
            </w:pPr>
          </w:p>
        </w:tc>
      </w:tr>
      <w:tr>
        <w:trPr>
          <w:trHeight w:val="215"/>
        </w:trPr>
        <w:tc>
          <w:tcPr>
            <w:tcW w:w="6700" w:type="dxa"/>
            <w:vAlign w:val="bottom"/>
          </w:tcPr>
          <w:p>
            <w:pPr>
              <w:spacing w:after="0"/>
              <w:rPr>
                <w:sz w:val="18"/>
                <w:szCs w:val="18"/>
                <w:color w:val="auto"/>
              </w:rPr>
            </w:pPr>
          </w:p>
        </w:tc>
        <w:tc>
          <w:tcPr>
            <w:tcW w:w="4720" w:type="dxa"/>
            <w:vAlign w:val="bottom"/>
          </w:tcPr>
          <w:p>
            <w:pPr>
              <w:spacing w:after="0" w:line="216" w:lineRule="exact"/>
              <w:rPr>
                <w:sz w:val="20"/>
                <w:szCs w:val="20"/>
                <w:color w:val="auto"/>
              </w:rPr>
            </w:pPr>
            <w:r>
              <w:rPr>
                <w:rFonts w:ascii="Arial" w:cs="Arial" w:eastAsia="Arial" w:hAnsi="Arial"/>
                <w:sz w:val="22"/>
                <w:szCs w:val="22"/>
                <w:color w:val="auto"/>
              </w:rPr>
              <w:t>Matt Maddox</w:t>
            </w:r>
          </w:p>
        </w:tc>
        <w:tc>
          <w:tcPr>
            <w:tcW w:w="20" w:type="dxa"/>
            <w:vAlign w:val="bottom"/>
          </w:tcPr>
          <w:p>
            <w:pPr>
              <w:spacing w:after="0"/>
              <w:rPr>
                <w:sz w:val="18"/>
                <w:szCs w:val="18"/>
                <w:color w:val="auto"/>
              </w:rPr>
            </w:pPr>
          </w:p>
        </w:tc>
      </w:tr>
      <w:tr>
        <w:trPr>
          <w:trHeight w:val="275"/>
        </w:trPr>
        <w:tc>
          <w:tcPr>
            <w:tcW w:w="6700" w:type="dxa"/>
            <w:vAlign w:val="bottom"/>
          </w:tcPr>
          <w:p>
            <w:pPr>
              <w:spacing w:after="0"/>
              <w:rPr>
                <w:sz w:val="23"/>
                <w:szCs w:val="23"/>
                <w:color w:val="auto"/>
              </w:rPr>
            </w:pPr>
          </w:p>
        </w:tc>
        <w:tc>
          <w:tcPr>
            <w:tcW w:w="4720" w:type="dxa"/>
            <w:vAlign w:val="bottom"/>
          </w:tcPr>
          <w:p>
            <w:pPr>
              <w:spacing w:after="0"/>
              <w:rPr>
                <w:sz w:val="20"/>
                <w:szCs w:val="20"/>
                <w:color w:val="auto"/>
              </w:rPr>
            </w:pPr>
            <w:r>
              <w:rPr>
                <w:rFonts w:ascii="Arial" w:cs="Arial" w:eastAsia="Arial" w:hAnsi="Arial"/>
                <w:sz w:val="22"/>
                <w:szCs w:val="22"/>
                <w:color w:val="auto"/>
              </w:rPr>
              <w:t>Chief Financial Officer and Treasurer</w:t>
            </w:r>
          </w:p>
        </w:tc>
        <w:tc>
          <w:tcPr>
            <w:tcW w:w="20" w:type="dxa"/>
            <w:vAlign w:val="bottom"/>
          </w:tcPr>
          <w:p>
            <w:pPr>
              <w:spacing w:after="0"/>
              <w:rPr>
                <w:sz w:val="23"/>
                <w:szCs w:val="23"/>
                <w:color w:val="auto"/>
              </w:rPr>
            </w:pPr>
          </w:p>
        </w:tc>
      </w:tr>
      <w:tr>
        <w:trPr>
          <w:trHeight w:val="811"/>
        </w:trPr>
        <w:tc>
          <w:tcPr>
            <w:tcW w:w="6700" w:type="dxa"/>
            <w:vAlign w:val="bottom"/>
            <w:tcBorders>
              <w:bottom w:val="single" w:sz="8" w:color="808080"/>
            </w:tcBorders>
          </w:tcPr>
          <w:p>
            <w:pPr>
              <w:spacing w:after="0"/>
              <w:rPr>
                <w:sz w:val="24"/>
                <w:szCs w:val="24"/>
                <w:color w:val="auto"/>
              </w:rPr>
            </w:pPr>
          </w:p>
        </w:tc>
        <w:tc>
          <w:tcPr>
            <w:tcW w:w="47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747"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666666"/>
        </w:rPr>
        <w:t>Wynn Resorts, Limited Reports Fourth Quarter and Year End 2010 Results</w:t>
      </w:r>
    </w:p>
    <w:p>
      <w:pPr>
        <w:spacing w:after="0" w:line="26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LAS VEGAS, February 10, 2011 (BUSINESS WIRE) -- Wynn Resorts, Limited (Nasdaq: WYNN) today reported financial results for the fourth quarter and year ended December 31, 2010.</w:t>
      </w:r>
    </w:p>
    <w:p>
      <w:pPr>
        <w:spacing w:after="0" w:line="224"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Net revenues for the year ended 2010 increased 37.4% to $4,184.7 million, compared to $3,045.6 million in 2009. The revenue increase was driven by a 59.1% increase in revenues at Wynn Macau and a 5.4% revenue increase from our Las Vegas operations. Adjusted property EBITDA (1) in 2010 increased 55.9% to $ 1,163.0 million, compared to $746.2 million for the year ended 2009. The EBITDA increase was driven by a 77.8% increase in EBITDA at Wynn Macau and a 10.7% EBITDA increase from our Las Vegas operations.</w:t>
      </w:r>
    </w:p>
    <w:p>
      <w:pPr>
        <w:spacing w:after="0" w:line="22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Net revenues for the fourth quarter of 2010 were $1,237.2 million, compared to $809.3 million in the fourth quarter of 2009. The revenue increase was driven by a 79.4% increase in revenues at Wynn Macau and an 8.0% revenue increase from our Las Vegas operations. Adjusted property EBITDA was $365.2 million for the fourth quarter of 2010, compared to $196.8 million in the fourth quarter of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a US GAAP (Generally Accepted Accounting Principles) basis, net income attributable to Wynn Resorts for the year ended 2010 was</w:t>
      </w:r>
    </w:p>
    <w:p>
      <w:pPr>
        <w:jc w:val="both"/>
        <w:ind w:right="100"/>
        <w:spacing w:after="0"/>
        <w:rPr>
          <w:sz w:val="20"/>
          <w:szCs w:val="20"/>
          <w:color w:val="auto"/>
        </w:rPr>
      </w:pPr>
      <w:r>
        <w:rPr>
          <w:rFonts w:ascii="Arial" w:cs="Arial" w:eastAsia="Arial" w:hAnsi="Arial"/>
          <w:sz w:val="18"/>
          <w:szCs w:val="18"/>
          <w:color w:val="auto"/>
        </w:rPr>
        <w:t>$160.1 million, or $ 1.29 per diluted share, compared to net income attributable to Wynn Resorts of $20.7 million, or $0.17 per diluted share in 2009. Adjusted net income attributable to Wynn Resorts in 2010 was $261.0 million, or $2.11 per diluted share (adjusted EPS)(2) compared to an adjusted net income attributable to Wynn Resorts of $31.7 million, or $0.26 per diluted share in 2009.</w:t>
      </w:r>
    </w:p>
    <w:p>
      <w:pPr>
        <w:spacing w:after="0" w:line="23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On a US GAAP basis, net income attributable to Wynn Resorts for the fourth quarter of 2010 was $114.2 million, or $0.91 per diluted share, compared to a net loss attributable to Wynn Resorts of $5.2 million, or ($0.04) per diluted share in the fourth quarter of 2009. Adjusted net income attributable to Wynn Resorts in the fourth quarter of 2010 was $113.7 million, or $ 0.91 per diluted share (adjusted EPS)(2) compared to an adjusted net income attributable to Wynn Resorts of $10.3 million, or $0.08 per diluted share in the fourth quarter of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 Fourth Quarter Results</w:t>
      </w:r>
    </w:p>
    <w:p>
      <w:pPr>
        <w:spacing w:after="0" w:line="261"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In the fourth quarter of 2010 net revenues were $912.1 million compared to $508.4 million in the fourth quarter of 2009. EBITDA in the fourth quarter of 2010 was $296.8 million, up 108.9% from $142.1 million in the fourth quarter of 2009.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Table games results in Macau are segregated into two distinct reporting categories, the VIP segment and the mass market segment.</w:t>
      </w:r>
    </w:p>
    <w:p>
      <w:pPr>
        <w:spacing w:after="0" w:line="239"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Table games turnover in the VIP segment was $27.7 billion for the 2010 quarter, a 63.7% increase from $16.9 billion in the fourth quarter of 2009. VIP table games win as a percentage of turnover (calculated before discounts and commissions) for the quarter was 3.15%, above the expected range of 2.7% to 3.0% and the 2.7% experienced in the fourth quarter of 2009.</w:t>
      </w:r>
    </w:p>
    <w:p>
      <w:pPr>
        <w:spacing w:after="0" w:line="230"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Table games drop in the mass market category was $663.3 million during the period, a 29.5% increase from $512.2 million in the fourth quarter of 2009. Mass market table games win percentage (calculated before discounts) of 26.0% was above our expected range of 19% to 21% and above the 22.9% generated in the 2009 quarter.</w:t>
      </w:r>
    </w:p>
    <w:p>
      <w:pPr>
        <w:spacing w:after="0" w:line="230"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Slot machine handle increased 37.3% to $1.2 billion as compared to the prior year quarter. Win per unit per day was 72.3% higher at $608, compared to $353 in the fourth quarter of 2009.</w:t>
      </w:r>
    </w:p>
    <w:p>
      <w:pPr>
        <w:spacing w:after="0" w:line="224"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Encore at Wynn Macau, with its intimate atmosphere and higher-limit tables, has been very well received by Wynn customers and has greatly contributed to the growth in revenues at Wynn Macau.</w:t>
      </w:r>
    </w:p>
    <w:p>
      <w:pPr>
        <w:spacing w:after="0" w:line="224"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Wynn Macau achieved an Average Daily Rate (ADR) of $303 for the fourth quarter of 2010, compared to $271 in the 2009 quarter. The 2010 results include the addition of 414 rooms and villas with the opening of Encore on April 21, 2010. The property’s occupancy was 92.3%, compared to 90.6% during the prior year period and revenue per available room (REVPAR) was $280 in the 2010 quarter, 13.8% above 2009 levels of $246.</w:t>
      </w:r>
    </w:p>
    <w:p>
      <w:pPr>
        <w:spacing w:after="0" w:line="22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Gross non-gaming revenues at Wynn Macau increased 58.6% during the quarter to $92.6 million, driven primarily by hotel and retail revenues which were up 92.7% and 41.8%, respectively. Room revenues increased as a result of the addition of</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the Encore rooms and retail revenues benefited from strong same-store sales growth and the addition of three new boutiques at Encore.</w:t>
      </w:r>
    </w:p>
    <w:p>
      <w:pPr>
        <w:spacing w:after="0" w:line="23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Including Encore, we currently have 479 tables (243 VIP tables, 225 mass market tables and 11 poker tables) and 1,015 slot machines at Wynn Macau.</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 Fourth Quarter Results</w:t>
      </w:r>
    </w:p>
    <w:p>
      <w:pPr>
        <w:spacing w:after="0" w:line="261"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For the fourth quarter ended December 31, 2010, net revenues for our Las Vegas operations were $ 325.1 million, which was 8.0% higher than in the fourth quarter of 2009. Property EBITDA of $68.3 million (with a 21.0% EBITDA margin on net revenue) was up 25.0% versus the $54.7 million generated in the comparable period in 2009, primarily due to higher gaming revenues.</w:t>
      </w:r>
    </w:p>
    <w:p>
      <w:pPr>
        <w:spacing w:after="0" w:line="23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Net casino revenues in the fourth quarter of 2010 were $139.2 million, up 16.0% from the fourth quarter of 2009. Table games drop was $564.8 million, compared to drop of $548.5 million in the 2009 quarter and table games win percentage of 22.5% was within the property’s expected range of 21% to 24% and above the 18.7% reported in the 2009 quarter. Slot machine handle of $698.1 million was 5.9% below the comparable period of 2009, however net slot win was up 2.1%.</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Gross non-casino revenues for the quarter were $230.9 million, a 2.6% increase from the fourth quarter of 2009, driven primarily by higher revenues from our nightclub operations, specifically, the recently opened Surrender.</w:t>
      </w:r>
    </w:p>
    <w:p>
      <w:pPr>
        <w:spacing w:after="0" w:line="22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Room revenues were down 1.7% to $76.4 million during the quarter, versus $ 77.7 million in the fourth quarter of 2009. Even though Average Daily Rate (ADR) was up 7.1% to $235 and occupancy of 81.8% was slightly higher than the 81.0% for the fourth quarter of 2009, revenues declined as we had 9.0% fewer room nights available for sale during the quarter due to our remodel of the rooms at Wynn Las Vegas. This room remodel is expected to be completed in the second quarter of 2011.</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Food and beverage revenues increased 6.4% to $98.0 million in the quarter as we opened the new Surrender nightclub in May 2010. Retail revenues were $22.0 million in the quarter, 5.1% below last year’s levels. Entertainment revenues increased 30.3% to $20.2 million from the fourth quarter of 2009 primarily due to the Garth Brooks performances (started in December 2009).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Factors Affecting Earnings</w:t>
      </w:r>
    </w:p>
    <w:p>
      <w:pPr>
        <w:spacing w:after="0" w:line="26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Interest expense was $59.7 million for the fourth quarter of 2010 compared to $50.5 million for the fourth quarter of 2009. Depreciation and amortization expense was $100.3 million during the quarter compared to $104.4 million for the three months ended December 31, 2009.</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Capital Expenditures</w:t>
      </w:r>
    </w:p>
    <w:p>
      <w:pPr>
        <w:spacing w:after="0" w:line="261"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Our total cash balances at December 31, 2010 were $1.3 billion. Total debt outstanding at the end of the quarter was $3.3 billion, including approximately $2.6 billion of Wynn Las Vegas debt and $651 million of Wynn Macau debt.</w:t>
      </w:r>
    </w:p>
    <w:p>
      <w:pPr>
        <w:spacing w:after="0" w:line="224"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Capital expenditures during the fourth quarter of 2010, net of changes in construction payables and retention, totaled approximately $55 million primarily related to the Wynn Las Vegas room remodel.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6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will hold a conference call to discuss its results on Thursday, February 10, 2011 at 1:30 p.m. PT (4:30 p.m. ET). Interested parties are invited to join the call by accessing a live audio webcast at http://www.wynnresorts.com (Investor Relations).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release contains forward-looking statements regarding operating trends and future results of operations. Such forward-looking information involves important risks and uncertainties that could significantly affect anticipated results in the future and, accordingly, such results may differ from those expressed in any forward-looking statements made by us.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6" w:name="page7"/>
    <w:bookmarkEnd w:id="6"/>
    <w:p>
      <w:pPr>
        <w:jc w:val="both"/>
        <w:spacing w:after="0" w:line="237" w:lineRule="auto"/>
        <w:rPr>
          <w:sz w:val="20"/>
          <w:szCs w:val="20"/>
          <w:color w:val="auto"/>
        </w:rPr>
      </w:pPr>
      <w:r>
        <w:rPr>
          <w:rFonts w:ascii="Arial" w:cs="Arial" w:eastAsia="Arial" w:hAnsi="Arial"/>
          <w:sz w:val="18"/>
          <w:szCs w:val="18"/>
          <w:color w:val="auto"/>
        </w:rPr>
        <w:t>The risks and uncertainties include, but are not limited to, competition in the casino/hotel and resorts industries, the Company’s dependence on existing management, levels of travel, leisure and casino spending, general economic conditions, and changes in gaming laws or regulations. Additional information concerning potential factors that could affect the Company's financial results is included in the Company's Annual Report on Form 10-K for the year ended December 31, 2009 and the Company's other periodic reports filed with the Securities and Exchange Commission. The Company is under no obligation to (and expressly disclaims any such obligation to) update its forward-looking statements as a result of new information, future events or otherwise.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61" w:lineRule="exact"/>
        <w:rPr>
          <w:sz w:val="20"/>
          <w:szCs w:val="20"/>
          <w:color w:val="auto"/>
        </w:rPr>
      </w:pPr>
    </w:p>
    <w:p>
      <w:pPr>
        <w:jc w:val="both"/>
        <w:ind w:firstLine="8"/>
        <w:spacing w:after="0"/>
        <w:tabs>
          <w:tab w:leader="none" w:pos="286"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property EBITDA” is earnings before interest, taxes, depreciation, amortization, pre-opening costs, property charges and other, corporate expenses, stock-based compensation,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company&amp; #8217;s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 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371"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The Company has included schedules in the tables that accompany this release that reconcile (i) net income (loss) attributable to Wynn Resorts to adjusted net income attributable to Wynn Resorts, and (ii) operating income (loss) to adjusted property EBITDA and adjusted property EBITDA to net income (loss) attributable to Wynn Resorts.</w:t>
      </w:r>
    </w:p>
    <w:p>
      <w:pPr>
        <w:spacing w:after="0" w:line="200" w:lineRule="exact"/>
        <w:rPr>
          <w:sz w:val="20"/>
          <w:szCs w:val="20"/>
          <w:color w:val="auto"/>
        </w:rPr>
      </w:pPr>
    </w:p>
    <w:p>
      <w:pPr>
        <w:spacing w:after="0" w:line="273" w:lineRule="exact"/>
        <w:rPr>
          <w:sz w:val="20"/>
          <w:szCs w:val="20"/>
          <w:color w:val="auto"/>
        </w:rPr>
      </w:pPr>
    </w:p>
    <w:p>
      <w:pPr>
        <w:jc w:val="both"/>
        <w:ind w:firstLine="8"/>
        <w:spacing w:after="0" w:line="237" w:lineRule="auto"/>
        <w:tabs>
          <w:tab w:leader="none" w:pos="27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net income (loss) attributable to Wynn Resorts is net income before pre-opening costs, property charges and other non-cash non-operating income and expenses. Adjusted net income attributable to Wynn Resorts and adjusted net income per share attributable to Wynn Resorts (“EPS”) are presented as supplemental disclosures because management believes that these financial measures are widely used to measure the performance, and as a principal basis for valuation, of gaming companies. These measures are used by management and/or evaluated by some investors, in addition to income and EPS computed in accordance with GAAP, as an additional basis for assessing period-to-period results of our business. Adjusted net income attributable to Wynn Resorts and adjusted net income attributable to Wynn Resorts per share may be different from the calculation methods used by other companies and, therefore, comparability may be limited.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CONDENSED CONSOLIDATED STATEMENTS OF INCOME</w:t>
      </w:r>
    </w:p>
    <w:p>
      <w:pPr>
        <w:jc w:val="center"/>
        <w:ind w:right="-59"/>
        <w:spacing w:after="0" w:line="234" w:lineRule="auto"/>
        <w:rPr>
          <w:sz w:val="20"/>
          <w:szCs w:val="20"/>
          <w:color w:val="auto"/>
        </w:rPr>
      </w:pPr>
      <w:r>
        <w:rPr>
          <w:rFonts w:ascii="Arial" w:cs="Arial" w:eastAsia="Arial" w:hAnsi="Arial"/>
          <w:sz w:val="18"/>
          <w:szCs w:val="18"/>
          <w:color w:val="auto"/>
        </w:rPr>
        <w:t>(amounts in thousands, except per share data)</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5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40" w:type="dxa"/>
            <w:vAlign w:val="bottom"/>
            <w:gridSpan w:val="4"/>
          </w:tcPr>
          <w:p>
            <w:pPr>
              <w:jc w:val="right"/>
              <w:ind w:right="40"/>
              <w:spacing w:after="0"/>
              <w:rPr>
                <w:sz w:val="20"/>
                <w:szCs w:val="20"/>
                <w:color w:val="auto"/>
              </w:rPr>
            </w:pPr>
            <w:r>
              <w:rPr>
                <w:rFonts w:ascii="Arial" w:cs="Arial" w:eastAsia="Arial" w:hAnsi="Arial"/>
                <w:sz w:val="11"/>
                <w:szCs w:val="11"/>
                <w:b w:val="1"/>
                <w:bCs w:val="1"/>
                <w:color w:val="auto"/>
              </w:rPr>
              <w:t>Three Months Ended</w:t>
            </w: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gridSpan w:val="4"/>
          </w:tcPr>
          <w:p>
            <w:pPr>
              <w:jc w:val="right"/>
              <w:ind w:right="180"/>
              <w:spacing w:after="0"/>
              <w:rPr>
                <w:sz w:val="20"/>
                <w:szCs w:val="20"/>
                <w:color w:val="auto"/>
              </w:rPr>
            </w:pPr>
            <w:r>
              <w:rPr>
                <w:rFonts w:ascii="Arial" w:cs="Arial" w:eastAsia="Arial" w:hAnsi="Arial"/>
                <w:sz w:val="11"/>
                <w:szCs w:val="11"/>
                <w:b w:val="1"/>
                <w:bCs w:val="1"/>
                <w:color w:val="auto"/>
              </w:rPr>
              <w:t>Year Ended</w:t>
            </w: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5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1"/>
                <w:szCs w:val="11"/>
                <w:b w:val="1"/>
                <w:bCs w:val="1"/>
                <w:color w:val="auto"/>
              </w:rPr>
              <w:t>December 31,</w:t>
            </w:r>
          </w:p>
        </w:tc>
        <w:tc>
          <w:tcPr>
            <w:tcW w:w="7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1"/>
                <w:szCs w:val="11"/>
                <w:b w:val="1"/>
                <w:bCs w:val="1"/>
                <w:color w:val="auto"/>
              </w:rPr>
              <w:t>December 31,</w:t>
            </w:r>
          </w:p>
        </w:tc>
        <w:tc>
          <w:tcPr>
            <w:tcW w:w="8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5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09"/>
              <w:spacing w:after="0"/>
              <w:rPr>
                <w:sz w:val="20"/>
                <w:szCs w:val="20"/>
                <w:color w:val="auto"/>
              </w:rPr>
            </w:pPr>
            <w:r>
              <w:rPr>
                <w:rFonts w:ascii="Arial" w:cs="Arial" w:eastAsia="Arial" w:hAnsi="Arial"/>
                <w:sz w:val="11"/>
                <w:szCs w:val="11"/>
                <w:b w:val="1"/>
                <w:bCs w:val="1"/>
                <w:color w:val="auto"/>
              </w:rPr>
              <w:t>2010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89"/>
              <w:spacing w:after="0"/>
              <w:rPr>
                <w:sz w:val="20"/>
                <w:szCs w:val="20"/>
                <w:color w:val="auto"/>
              </w:rPr>
            </w:pPr>
            <w:r>
              <w:rPr>
                <w:rFonts w:ascii="Arial" w:cs="Arial" w:eastAsia="Arial" w:hAnsi="Arial"/>
                <w:sz w:val="11"/>
                <w:szCs w:val="11"/>
                <w:b w:val="1"/>
                <w:bCs w:val="1"/>
                <w:color w:val="auto"/>
              </w:rPr>
              <w:t>2009</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89"/>
              <w:spacing w:after="0"/>
              <w:rPr>
                <w:sz w:val="20"/>
                <w:szCs w:val="20"/>
                <w:color w:val="auto"/>
              </w:rPr>
            </w:pPr>
            <w:r>
              <w:rPr>
                <w:rFonts w:ascii="Arial" w:cs="Arial" w:eastAsia="Arial" w:hAnsi="Arial"/>
                <w:sz w:val="11"/>
                <w:szCs w:val="11"/>
                <w:b w:val="1"/>
                <w:bCs w:val="1"/>
                <w:color w:val="auto"/>
              </w:rPr>
              <w:t>2010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89"/>
              <w:spacing w:after="0"/>
              <w:rPr>
                <w:sz w:val="20"/>
                <w:szCs w:val="20"/>
                <w:color w:val="auto"/>
              </w:rPr>
            </w:pPr>
            <w:r>
              <w:rPr>
                <w:rFonts w:ascii="Arial" w:cs="Arial" w:eastAsia="Arial" w:hAnsi="Arial"/>
                <w:sz w:val="11"/>
                <w:szCs w:val="11"/>
                <w:b w:val="1"/>
                <w:bCs w:val="1"/>
                <w:color w:val="auto"/>
              </w:rPr>
              <w:t>2009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60" w:type="dxa"/>
            <w:vAlign w:val="bottom"/>
          </w:tcPr>
          <w:p>
            <w:pPr>
              <w:spacing w:after="0"/>
              <w:rPr>
                <w:sz w:val="20"/>
                <w:szCs w:val="20"/>
                <w:color w:val="auto"/>
              </w:rPr>
            </w:pPr>
            <w:r>
              <w:rPr>
                <w:rFonts w:ascii="Arial" w:cs="Arial" w:eastAsia="Arial" w:hAnsi="Arial"/>
                <w:sz w:val="13"/>
                <w:szCs w:val="13"/>
                <w:color w:val="auto"/>
              </w:rPr>
              <w:t>Operating revenues:</w:t>
            </w:r>
          </w:p>
        </w:tc>
        <w:tc>
          <w:tcPr>
            <w:tcW w:w="17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998,920</w:t>
            </w:r>
          </w:p>
        </w:tc>
        <w:tc>
          <w:tcPr>
            <w:tcW w:w="140" w:type="dxa"/>
            <w:vAlign w:val="bottom"/>
          </w:tcPr>
          <w:p>
            <w:pPr>
              <w:spacing w:after="0"/>
              <w:rPr>
                <w:sz w:val="18"/>
                <w:szCs w:val="18"/>
                <w:color w:val="auto"/>
              </w:rPr>
            </w:pPr>
          </w:p>
        </w:tc>
        <w:tc>
          <w:tcPr>
            <w:tcW w:w="500" w:type="dxa"/>
            <w:vAlign w:val="bottom"/>
            <w:gridSpan w:val="2"/>
            <w:vMerge w:val="restart"/>
          </w:tcPr>
          <w:p>
            <w:pPr>
              <w:jc w:val="right"/>
              <w:ind w:right="34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591,758</w:t>
            </w:r>
          </w:p>
        </w:tc>
        <w:tc>
          <w:tcPr>
            <w:tcW w:w="280" w:type="dxa"/>
            <w:vAlign w:val="bottom"/>
            <w:vMerge w:val="restart"/>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3,245,104</w:t>
            </w:r>
          </w:p>
        </w:tc>
        <w:tc>
          <w:tcPr>
            <w:tcW w:w="42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2,206,829</w:t>
            </w:r>
          </w:p>
        </w:tc>
        <w:tc>
          <w:tcPr>
            <w:tcW w:w="0" w:type="dxa"/>
            <w:vAlign w:val="bottom"/>
          </w:tcPr>
          <w:p>
            <w:pPr>
              <w:spacing w:after="0"/>
              <w:rPr>
                <w:sz w:val="1"/>
                <w:szCs w:val="1"/>
                <w:color w:val="auto"/>
              </w:rPr>
            </w:pPr>
          </w:p>
        </w:tc>
      </w:tr>
      <w:tr>
        <w:trPr>
          <w:trHeight w:val="131"/>
        </w:trPr>
        <w:tc>
          <w:tcPr>
            <w:tcW w:w="4560" w:type="dxa"/>
            <w:vAlign w:val="bottom"/>
          </w:tcPr>
          <w:p>
            <w:pPr>
              <w:ind w:left="180"/>
              <w:spacing w:after="0" w:line="131" w:lineRule="exact"/>
              <w:rPr>
                <w:sz w:val="20"/>
                <w:szCs w:val="20"/>
                <w:color w:val="auto"/>
              </w:rPr>
            </w:pPr>
            <w:r>
              <w:rPr>
                <w:rFonts w:ascii="Arial" w:cs="Arial" w:eastAsia="Arial" w:hAnsi="Arial"/>
                <w:sz w:val="13"/>
                <w:szCs w:val="13"/>
                <w:color w:val="auto"/>
              </w:rPr>
              <w:t>Casino</w:t>
            </w:r>
          </w:p>
        </w:tc>
        <w:tc>
          <w:tcPr>
            <w:tcW w:w="178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60" w:type="dxa"/>
            <w:vAlign w:val="bottom"/>
          </w:tcPr>
          <w:p>
            <w:pPr>
              <w:ind w:left="180"/>
              <w:spacing w:after="0"/>
              <w:rPr>
                <w:sz w:val="20"/>
                <w:szCs w:val="20"/>
                <w:color w:val="auto"/>
              </w:rPr>
            </w:pPr>
            <w:r>
              <w:rPr>
                <w:rFonts w:ascii="Arial" w:cs="Arial" w:eastAsia="Arial" w:hAnsi="Arial"/>
                <w:sz w:val="13"/>
                <w:szCs w:val="13"/>
                <w:color w:val="auto"/>
              </w:rPr>
              <w:t>Rooms</w:t>
            </w: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105,306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92,748</w:t>
            </w:r>
          </w:p>
        </w:tc>
        <w:tc>
          <w:tcPr>
            <w:tcW w:w="28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400,291</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377,520</w:t>
            </w:r>
          </w:p>
        </w:tc>
        <w:tc>
          <w:tcPr>
            <w:tcW w:w="0" w:type="dxa"/>
            <w:vAlign w:val="bottom"/>
          </w:tcPr>
          <w:p>
            <w:pPr>
              <w:spacing w:after="0"/>
              <w:rPr>
                <w:sz w:val="1"/>
                <w:szCs w:val="1"/>
                <w:color w:val="auto"/>
              </w:rPr>
            </w:pPr>
          </w:p>
        </w:tc>
      </w:tr>
      <w:tr>
        <w:trPr>
          <w:trHeight w:val="149"/>
        </w:trPr>
        <w:tc>
          <w:tcPr>
            <w:tcW w:w="4560" w:type="dxa"/>
            <w:vAlign w:val="bottom"/>
          </w:tcPr>
          <w:p>
            <w:pPr>
              <w:ind w:left="180"/>
              <w:spacing w:after="0"/>
              <w:rPr>
                <w:sz w:val="20"/>
                <w:szCs w:val="20"/>
                <w:color w:val="auto"/>
              </w:rPr>
            </w:pPr>
            <w:r>
              <w:rPr>
                <w:rFonts w:ascii="Arial" w:cs="Arial" w:eastAsia="Arial" w:hAnsi="Arial"/>
                <w:sz w:val="13"/>
                <w:szCs w:val="13"/>
                <w:color w:val="auto"/>
              </w:rPr>
              <w:t>Food and beverage</w:t>
            </w: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119,512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106,068</w:t>
            </w:r>
          </w:p>
        </w:tc>
        <w:tc>
          <w:tcPr>
            <w:tcW w:w="28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488,108</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436,361</w:t>
            </w:r>
          </w:p>
        </w:tc>
        <w:tc>
          <w:tcPr>
            <w:tcW w:w="0" w:type="dxa"/>
            <w:vAlign w:val="bottom"/>
          </w:tcPr>
          <w:p>
            <w:pPr>
              <w:spacing w:after="0"/>
              <w:rPr>
                <w:sz w:val="1"/>
                <w:szCs w:val="1"/>
                <w:color w:val="auto"/>
              </w:rPr>
            </w:pPr>
          </w:p>
        </w:tc>
      </w:tr>
      <w:tr>
        <w:trPr>
          <w:trHeight w:val="167"/>
        </w:trPr>
        <w:tc>
          <w:tcPr>
            <w:tcW w:w="4560" w:type="dxa"/>
            <w:vAlign w:val="bottom"/>
          </w:tcPr>
          <w:p>
            <w:pPr>
              <w:ind w:left="180"/>
              <w:spacing w:after="0"/>
              <w:rPr>
                <w:sz w:val="20"/>
                <w:szCs w:val="20"/>
                <w:color w:val="auto"/>
              </w:rPr>
            </w:pPr>
            <w:r>
              <w:rPr>
                <w:rFonts w:ascii="Arial" w:cs="Arial" w:eastAsia="Arial" w:hAnsi="Arial"/>
                <w:sz w:val="13"/>
                <w:szCs w:val="13"/>
                <w:color w:val="auto"/>
              </w:rPr>
              <w:t>Entertainment, retail and other</w:t>
            </w: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98,524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84,328</w:t>
            </w:r>
          </w:p>
        </w:tc>
        <w:tc>
          <w:tcPr>
            <w:tcW w:w="2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354,332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288,432</w:t>
            </w:r>
          </w:p>
        </w:tc>
        <w:tc>
          <w:tcPr>
            <w:tcW w:w="0" w:type="dxa"/>
            <w:vAlign w:val="bottom"/>
          </w:tcPr>
          <w:p>
            <w:pPr>
              <w:spacing w:after="0"/>
              <w:rPr>
                <w:sz w:val="1"/>
                <w:szCs w:val="1"/>
                <w:color w:val="auto"/>
              </w:rPr>
            </w:pPr>
          </w:p>
        </w:tc>
      </w:tr>
      <w:tr>
        <w:trPr>
          <w:trHeight w:val="123"/>
        </w:trPr>
        <w:tc>
          <w:tcPr>
            <w:tcW w:w="4560" w:type="dxa"/>
            <w:vAlign w:val="bottom"/>
          </w:tcPr>
          <w:p>
            <w:pPr>
              <w:ind w:left="380"/>
              <w:spacing w:after="0" w:line="124" w:lineRule="exact"/>
              <w:rPr>
                <w:sz w:val="20"/>
                <w:szCs w:val="20"/>
                <w:color w:val="auto"/>
              </w:rPr>
            </w:pPr>
            <w:r>
              <w:rPr>
                <w:rFonts w:ascii="Arial" w:cs="Arial" w:eastAsia="Arial" w:hAnsi="Arial"/>
                <w:sz w:val="13"/>
                <w:szCs w:val="13"/>
                <w:color w:val="auto"/>
              </w:rPr>
              <w:t>Gross revenues</w:t>
            </w:r>
          </w:p>
        </w:tc>
        <w:tc>
          <w:tcPr>
            <w:tcW w:w="15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1,322,262</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874,902</w:t>
            </w:r>
          </w:p>
        </w:tc>
        <w:tc>
          <w:tcPr>
            <w:tcW w:w="2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4,487,835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3,309,142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560" w:type="dxa"/>
            <w:vAlign w:val="bottom"/>
          </w:tcPr>
          <w:p>
            <w:pPr>
              <w:ind w:left="180"/>
              <w:spacing w:after="0"/>
              <w:rPr>
                <w:sz w:val="20"/>
                <w:szCs w:val="20"/>
                <w:color w:val="auto"/>
              </w:rPr>
            </w:pPr>
            <w:r>
              <w:rPr>
                <w:rFonts w:ascii="Arial" w:cs="Arial" w:eastAsia="Arial" w:hAnsi="Arial"/>
                <w:sz w:val="13"/>
                <w:szCs w:val="13"/>
                <w:color w:val="auto"/>
              </w:rPr>
              <w:t>Less: promotional allowances</w:t>
            </w: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(85,074)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(65,573)</w:t>
            </w:r>
          </w:p>
        </w:tc>
        <w:tc>
          <w:tcPr>
            <w:tcW w:w="28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(303,137)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(263,531)</w:t>
            </w:r>
          </w:p>
        </w:tc>
        <w:tc>
          <w:tcPr>
            <w:tcW w:w="0" w:type="dxa"/>
            <w:vAlign w:val="bottom"/>
          </w:tcPr>
          <w:p>
            <w:pPr>
              <w:spacing w:after="0"/>
              <w:rPr>
                <w:sz w:val="1"/>
                <w:szCs w:val="1"/>
                <w:color w:val="auto"/>
              </w:rPr>
            </w:pPr>
          </w:p>
        </w:tc>
      </w:tr>
      <w:tr>
        <w:trPr>
          <w:trHeight w:val="142"/>
        </w:trPr>
        <w:tc>
          <w:tcPr>
            <w:tcW w:w="4560" w:type="dxa"/>
            <w:vAlign w:val="bottom"/>
          </w:tcPr>
          <w:p>
            <w:pPr>
              <w:ind w:left="380"/>
              <w:spacing w:after="0" w:line="143" w:lineRule="exact"/>
              <w:rPr>
                <w:sz w:val="20"/>
                <w:szCs w:val="20"/>
                <w:color w:val="auto"/>
              </w:rPr>
            </w:pPr>
            <w:r>
              <w:rPr>
                <w:rFonts w:ascii="Arial" w:cs="Arial" w:eastAsia="Arial" w:hAnsi="Arial"/>
                <w:sz w:val="13"/>
                <w:szCs w:val="13"/>
                <w:color w:val="auto"/>
              </w:rPr>
              <w:t>Net revenues</w:t>
            </w:r>
          </w:p>
        </w:tc>
        <w:tc>
          <w:tcPr>
            <w:tcW w:w="15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1,237,188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809,329</w:t>
            </w:r>
          </w:p>
        </w:tc>
        <w:tc>
          <w:tcPr>
            <w:tcW w:w="20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4,184,698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3,045,611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60" w:type="dxa"/>
            <w:vAlign w:val="bottom"/>
          </w:tcPr>
          <w:p>
            <w:pPr>
              <w:spacing w:after="0"/>
              <w:rPr>
                <w:sz w:val="20"/>
                <w:szCs w:val="20"/>
                <w:color w:val="auto"/>
              </w:rPr>
            </w:pPr>
            <w:r>
              <w:rPr>
                <w:rFonts w:ascii="Arial" w:cs="Arial" w:eastAsia="Arial" w:hAnsi="Arial"/>
                <w:sz w:val="13"/>
                <w:szCs w:val="13"/>
                <w:color w:val="auto"/>
              </w:rPr>
              <w:t>Operating costs and expenses:</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632,551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399,938</w:t>
            </w:r>
          </w:p>
        </w:tc>
        <w:tc>
          <w:tcPr>
            <w:tcW w:w="280" w:type="dxa"/>
            <w:vAlign w:val="bottom"/>
          </w:tcPr>
          <w:p>
            <w:pPr>
              <w:spacing w:after="0"/>
              <w:rPr>
                <w:sz w:val="18"/>
                <w:szCs w:val="18"/>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2,100,050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1,460,130</w:t>
            </w:r>
          </w:p>
        </w:tc>
        <w:tc>
          <w:tcPr>
            <w:tcW w:w="0" w:type="dxa"/>
            <w:vAlign w:val="bottom"/>
          </w:tcPr>
          <w:p>
            <w:pPr>
              <w:spacing w:after="0"/>
              <w:rPr>
                <w:sz w:val="1"/>
                <w:szCs w:val="1"/>
                <w:color w:val="auto"/>
              </w:rPr>
            </w:pPr>
          </w:p>
        </w:tc>
      </w:tr>
      <w:tr>
        <w:trPr>
          <w:trHeight w:val="131"/>
        </w:trPr>
        <w:tc>
          <w:tcPr>
            <w:tcW w:w="4560" w:type="dxa"/>
            <w:vAlign w:val="bottom"/>
          </w:tcPr>
          <w:p>
            <w:pPr>
              <w:ind w:left="180"/>
              <w:spacing w:after="0" w:line="131" w:lineRule="exact"/>
              <w:rPr>
                <w:sz w:val="20"/>
                <w:szCs w:val="20"/>
                <w:color w:val="auto"/>
              </w:rPr>
            </w:pPr>
            <w:r>
              <w:rPr>
                <w:rFonts w:ascii="Arial" w:cs="Arial" w:eastAsia="Arial" w:hAnsi="Arial"/>
                <w:sz w:val="13"/>
                <w:szCs w:val="13"/>
                <w:color w:val="auto"/>
              </w:rPr>
              <w:t>Casino</w:t>
            </w:r>
          </w:p>
        </w:tc>
        <w:tc>
          <w:tcPr>
            <w:tcW w:w="1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60" w:type="dxa"/>
            <w:vAlign w:val="bottom"/>
          </w:tcPr>
          <w:p>
            <w:pPr>
              <w:ind w:left="180"/>
              <w:spacing w:after="0"/>
              <w:rPr>
                <w:sz w:val="20"/>
                <w:szCs w:val="20"/>
                <w:color w:val="auto"/>
              </w:rPr>
            </w:pPr>
            <w:r>
              <w:rPr>
                <w:rFonts w:ascii="Arial" w:cs="Arial" w:eastAsia="Arial" w:hAnsi="Arial"/>
                <w:sz w:val="13"/>
                <w:szCs w:val="13"/>
                <w:color w:val="auto"/>
              </w:rPr>
              <w:t>Rooms</w:t>
            </w: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28,897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28,891</w:t>
            </w:r>
          </w:p>
        </w:tc>
        <w:tc>
          <w:tcPr>
            <w:tcW w:w="28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122,260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111,596</w:t>
            </w:r>
          </w:p>
        </w:tc>
        <w:tc>
          <w:tcPr>
            <w:tcW w:w="0" w:type="dxa"/>
            <w:vAlign w:val="bottom"/>
          </w:tcPr>
          <w:p>
            <w:pPr>
              <w:spacing w:after="0"/>
              <w:rPr>
                <w:sz w:val="1"/>
                <w:szCs w:val="1"/>
                <w:color w:val="auto"/>
              </w:rPr>
            </w:pPr>
          </w:p>
        </w:tc>
      </w:tr>
      <w:tr>
        <w:trPr>
          <w:trHeight w:val="149"/>
        </w:trPr>
        <w:tc>
          <w:tcPr>
            <w:tcW w:w="4560" w:type="dxa"/>
            <w:vAlign w:val="bottom"/>
          </w:tcPr>
          <w:p>
            <w:pPr>
              <w:ind w:left="180"/>
              <w:spacing w:after="0"/>
              <w:rPr>
                <w:sz w:val="20"/>
                <w:szCs w:val="20"/>
                <w:color w:val="auto"/>
              </w:rPr>
            </w:pPr>
            <w:r>
              <w:rPr>
                <w:rFonts w:ascii="Arial" w:cs="Arial" w:eastAsia="Arial" w:hAnsi="Arial"/>
                <w:sz w:val="13"/>
                <w:szCs w:val="13"/>
                <w:color w:val="auto"/>
              </w:rPr>
              <w:t>Food and beverage</w:t>
            </w: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65,993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62,985</w:t>
            </w:r>
          </w:p>
        </w:tc>
        <w:tc>
          <w:tcPr>
            <w:tcW w:w="28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272,747</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252,687</w:t>
            </w:r>
          </w:p>
        </w:tc>
        <w:tc>
          <w:tcPr>
            <w:tcW w:w="0" w:type="dxa"/>
            <w:vAlign w:val="bottom"/>
          </w:tcPr>
          <w:p>
            <w:pPr>
              <w:spacing w:after="0"/>
              <w:rPr>
                <w:sz w:val="1"/>
                <w:szCs w:val="1"/>
                <w:color w:val="auto"/>
              </w:rPr>
            </w:pPr>
          </w:p>
        </w:tc>
      </w:tr>
      <w:tr>
        <w:trPr>
          <w:trHeight w:val="149"/>
        </w:trPr>
        <w:tc>
          <w:tcPr>
            <w:tcW w:w="4560" w:type="dxa"/>
            <w:vAlign w:val="bottom"/>
          </w:tcPr>
          <w:p>
            <w:pPr>
              <w:ind w:left="180"/>
              <w:spacing w:after="0"/>
              <w:rPr>
                <w:sz w:val="20"/>
                <w:szCs w:val="20"/>
                <w:color w:val="auto"/>
              </w:rPr>
            </w:pPr>
            <w:r>
              <w:rPr>
                <w:rFonts w:ascii="Arial" w:cs="Arial" w:eastAsia="Arial" w:hAnsi="Arial"/>
                <w:sz w:val="13"/>
                <w:szCs w:val="13"/>
                <w:color w:val="auto"/>
              </w:rPr>
              <w:t>Entertainment, retail and other</w:t>
            </w: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56,739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46,954</w:t>
            </w:r>
          </w:p>
        </w:tc>
        <w:tc>
          <w:tcPr>
            <w:tcW w:w="28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204,558</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166,636</w:t>
            </w:r>
          </w:p>
        </w:tc>
        <w:tc>
          <w:tcPr>
            <w:tcW w:w="0" w:type="dxa"/>
            <w:vAlign w:val="bottom"/>
          </w:tcPr>
          <w:p>
            <w:pPr>
              <w:spacing w:after="0"/>
              <w:rPr>
                <w:sz w:val="1"/>
                <w:szCs w:val="1"/>
                <w:color w:val="auto"/>
              </w:rPr>
            </w:pPr>
          </w:p>
        </w:tc>
      </w:tr>
      <w:tr>
        <w:trPr>
          <w:trHeight w:val="149"/>
        </w:trPr>
        <w:tc>
          <w:tcPr>
            <w:tcW w:w="4560" w:type="dxa"/>
            <w:vAlign w:val="bottom"/>
          </w:tcPr>
          <w:p>
            <w:pPr>
              <w:ind w:left="180"/>
              <w:spacing w:after="0"/>
              <w:rPr>
                <w:sz w:val="20"/>
                <w:szCs w:val="20"/>
                <w:color w:val="auto"/>
              </w:rPr>
            </w:pPr>
            <w:r>
              <w:rPr>
                <w:rFonts w:ascii="Arial" w:cs="Arial" w:eastAsia="Arial" w:hAnsi="Arial"/>
                <w:sz w:val="13"/>
                <w:szCs w:val="13"/>
                <w:color w:val="auto"/>
              </w:rPr>
              <w:t>General and administrative</w:t>
            </w: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105,555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101,242</w:t>
            </w:r>
          </w:p>
        </w:tc>
        <w:tc>
          <w:tcPr>
            <w:tcW w:w="28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391,254</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365,070</w:t>
            </w:r>
          </w:p>
        </w:tc>
        <w:tc>
          <w:tcPr>
            <w:tcW w:w="0" w:type="dxa"/>
            <w:vAlign w:val="bottom"/>
          </w:tcPr>
          <w:p>
            <w:pPr>
              <w:spacing w:after="0"/>
              <w:rPr>
                <w:sz w:val="1"/>
                <w:szCs w:val="1"/>
                <w:color w:val="auto"/>
              </w:rPr>
            </w:pPr>
          </w:p>
        </w:tc>
      </w:tr>
      <w:tr>
        <w:trPr>
          <w:trHeight w:val="149"/>
        </w:trPr>
        <w:tc>
          <w:tcPr>
            <w:tcW w:w="4560" w:type="dxa"/>
            <w:vAlign w:val="bottom"/>
          </w:tcPr>
          <w:p>
            <w:pPr>
              <w:ind w:left="180"/>
              <w:spacing w:after="0"/>
              <w:rPr>
                <w:sz w:val="20"/>
                <w:szCs w:val="20"/>
                <w:color w:val="auto"/>
              </w:rPr>
            </w:pPr>
            <w:r>
              <w:rPr>
                <w:rFonts w:ascii="Arial" w:cs="Arial" w:eastAsia="Arial" w:hAnsi="Arial"/>
                <w:sz w:val="13"/>
                <w:szCs w:val="13"/>
                <w:color w:val="auto"/>
              </w:rPr>
              <w:t>Provision for doubtful accounts</w:t>
            </w: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13,575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727</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28,304</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13,707</w:t>
            </w:r>
          </w:p>
        </w:tc>
        <w:tc>
          <w:tcPr>
            <w:tcW w:w="0" w:type="dxa"/>
            <w:vAlign w:val="bottom"/>
          </w:tcPr>
          <w:p>
            <w:pPr>
              <w:spacing w:after="0"/>
              <w:rPr>
                <w:sz w:val="1"/>
                <w:szCs w:val="1"/>
                <w:color w:val="auto"/>
              </w:rPr>
            </w:pPr>
          </w:p>
        </w:tc>
      </w:tr>
      <w:tr>
        <w:trPr>
          <w:trHeight w:val="149"/>
        </w:trPr>
        <w:tc>
          <w:tcPr>
            <w:tcW w:w="4560" w:type="dxa"/>
            <w:vAlign w:val="bottom"/>
          </w:tcPr>
          <w:p>
            <w:pPr>
              <w:ind w:left="180"/>
              <w:spacing w:after="0"/>
              <w:rPr>
                <w:sz w:val="20"/>
                <w:szCs w:val="20"/>
                <w:color w:val="auto"/>
              </w:rPr>
            </w:pPr>
            <w:r>
              <w:rPr>
                <w:rFonts w:ascii="Arial" w:cs="Arial" w:eastAsia="Arial" w:hAnsi="Arial"/>
                <w:sz w:val="13"/>
                <w:szCs w:val="13"/>
                <w:color w:val="auto"/>
              </w:rPr>
              <w:t>Pre-opening costs</w:t>
            </w: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1,448</w:t>
            </w:r>
          </w:p>
        </w:tc>
        <w:tc>
          <w:tcPr>
            <w:tcW w:w="28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9,496</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1,817</w:t>
            </w:r>
          </w:p>
        </w:tc>
        <w:tc>
          <w:tcPr>
            <w:tcW w:w="0" w:type="dxa"/>
            <w:vAlign w:val="bottom"/>
          </w:tcPr>
          <w:p>
            <w:pPr>
              <w:spacing w:after="0"/>
              <w:rPr>
                <w:sz w:val="1"/>
                <w:szCs w:val="1"/>
                <w:color w:val="auto"/>
              </w:rPr>
            </w:pPr>
          </w:p>
        </w:tc>
      </w:tr>
      <w:tr>
        <w:trPr>
          <w:trHeight w:val="149"/>
        </w:trPr>
        <w:tc>
          <w:tcPr>
            <w:tcW w:w="4560" w:type="dxa"/>
            <w:vAlign w:val="bottom"/>
          </w:tcPr>
          <w:p>
            <w:pPr>
              <w:ind w:left="180"/>
              <w:spacing w:after="0"/>
              <w:rPr>
                <w:sz w:val="20"/>
                <w:szCs w:val="20"/>
                <w:color w:val="auto"/>
              </w:rPr>
            </w:pPr>
            <w:r>
              <w:rPr>
                <w:rFonts w:ascii="Arial" w:cs="Arial" w:eastAsia="Arial" w:hAnsi="Arial"/>
                <w:sz w:val="13"/>
                <w:szCs w:val="13"/>
                <w:color w:val="auto"/>
              </w:rPr>
              <w:t>Depreciation and amortization</w:t>
            </w: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100,299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104,441</w:t>
            </w:r>
          </w:p>
        </w:tc>
        <w:tc>
          <w:tcPr>
            <w:tcW w:w="28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405,558</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410,547</w:t>
            </w:r>
          </w:p>
        </w:tc>
        <w:tc>
          <w:tcPr>
            <w:tcW w:w="0" w:type="dxa"/>
            <w:vAlign w:val="bottom"/>
          </w:tcPr>
          <w:p>
            <w:pPr>
              <w:spacing w:after="0"/>
              <w:rPr>
                <w:sz w:val="1"/>
                <w:szCs w:val="1"/>
                <w:color w:val="auto"/>
              </w:rPr>
            </w:pPr>
          </w:p>
        </w:tc>
      </w:tr>
      <w:tr>
        <w:trPr>
          <w:trHeight w:val="167"/>
        </w:trPr>
        <w:tc>
          <w:tcPr>
            <w:tcW w:w="4560" w:type="dxa"/>
            <w:vAlign w:val="bottom"/>
          </w:tcPr>
          <w:p>
            <w:pPr>
              <w:ind w:left="180"/>
              <w:spacing w:after="0"/>
              <w:rPr>
                <w:sz w:val="20"/>
                <w:szCs w:val="20"/>
                <w:color w:val="auto"/>
              </w:rPr>
            </w:pPr>
            <w:r>
              <w:rPr>
                <w:rFonts w:ascii="Arial" w:cs="Arial" w:eastAsia="Arial" w:hAnsi="Arial"/>
                <w:sz w:val="13"/>
                <w:szCs w:val="13"/>
                <w:color w:val="auto"/>
              </w:rPr>
              <w:t>Property charges and other</w:t>
            </w: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2,845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17,186</w:t>
            </w:r>
          </w:p>
        </w:tc>
        <w:tc>
          <w:tcPr>
            <w:tcW w:w="2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25,219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28,458</w:t>
            </w:r>
          </w:p>
        </w:tc>
        <w:tc>
          <w:tcPr>
            <w:tcW w:w="0" w:type="dxa"/>
            <w:vAlign w:val="bottom"/>
          </w:tcPr>
          <w:p>
            <w:pPr>
              <w:spacing w:after="0"/>
              <w:rPr>
                <w:sz w:val="1"/>
                <w:szCs w:val="1"/>
                <w:color w:val="auto"/>
              </w:rPr>
            </w:pPr>
          </w:p>
        </w:tc>
      </w:tr>
      <w:tr>
        <w:trPr>
          <w:trHeight w:val="176"/>
        </w:trPr>
        <w:tc>
          <w:tcPr>
            <w:tcW w:w="4560" w:type="dxa"/>
            <w:vAlign w:val="bottom"/>
          </w:tcPr>
          <w:p>
            <w:pPr>
              <w:ind w:left="380"/>
              <w:spacing w:after="0"/>
              <w:rPr>
                <w:sz w:val="20"/>
                <w:szCs w:val="20"/>
                <w:color w:val="auto"/>
              </w:rPr>
            </w:pPr>
            <w:r>
              <w:rPr>
                <w:rFonts w:ascii="Arial" w:cs="Arial" w:eastAsia="Arial" w:hAnsi="Arial"/>
                <w:sz w:val="13"/>
                <w:szCs w:val="13"/>
                <w:color w:val="auto"/>
              </w:rPr>
              <w:t>Total operating costs and expenses</w:t>
            </w:r>
          </w:p>
        </w:tc>
        <w:tc>
          <w:tcPr>
            <w:tcW w:w="15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1,006,879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763,812</w:t>
            </w:r>
          </w:p>
        </w:tc>
        <w:tc>
          <w:tcPr>
            <w:tcW w:w="2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3,559,446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2,810,648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4560" w:type="dxa"/>
            <w:vAlign w:val="bottom"/>
          </w:tcPr>
          <w:p>
            <w:pPr>
              <w:spacing w:after="0"/>
              <w:rPr>
                <w:sz w:val="20"/>
                <w:szCs w:val="20"/>
                <w:color w:val="auto"/>
              </w:rPr>
            </w:pPr>
            <w:r>
              <w:rPr>
                <w:rFonts w:ascii="Arial" w:cs="Arial" w:eastAsia="Arial" w:hAnsi="Arial"/>
                <w:sz w:val="13"/>
                <w:szCs w:val="13"/>
                <w:color w:val="auto"/>
              </w:rPr>
              <w:t>Operating income</w:t>
            </w: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230,309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45,517</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625,252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234,963</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3"/>
                <w:szCs w:val="13"/>
                <w:color w:val="auto"/>
              </w:rPr>
              <w:t>Other income (expense):</w:t>
            </w:r>
          </w:p>
        </w:tc>
        <w:tc>
          <w:tcPr>
            <w:tcW w:w="1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456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686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495</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2,498</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1,740</w:t>
            </w:r>
          </w:p>
        </w:tc>
        <w:tc>
          <w:tcPr>
            <w:tcW w:w="0" w:type="dxa"/>
            <w:vAlign w:val="bottom"/>
          </w:tcPr>
          <w:p>
            <w:pPr>
              <w:spacing w:after="0"/>
              <w:rPr>
                <w:sz w:val="1"/>
                <w:szCs w:val="1"/>
                <w:color w:val="auto"/>
              </w:rPr>
            </w:pPr>
          </w:p>
        </w:tc>
      </w:tr>
      <w:tr>
        <w:trPr>
          <w:trHeight w:val="131"/>
        </w:trPr>
        <w:tc>
          <w:tcPr>
            <w:tcW w:w="4560" w:type="dxa"/>
            <w:vAlign w:val="bottom"/>
          </w:tcPr>
          <w:p>
            <w:pPr>
              <w:ind w:left="180"/>
              <w:spacing w:after="0" w:line="131" w:lineRule="exact"/>
              <w:rPr>
                <w:sz w:val="20"/>
                <w:szCs w:val="20"/>
                <w:color w:val="auto"/>
              </w:rPr>
            </w:pPr>
            <w:r>
              <w:rPr>
                <w:rFonts w:ascii="Arial" w:cs="Arial" w:eastAsia="Arial" w:hAnsi="Arial"/>
                <w:sz w:val="13"/>
                <w:szCs w:val="13"/>
                <w:color w:val="auto"/>
              </w:rPr>
              <w:t>Interest income</w:t>
            </w:r>
          </w:p>
        </w:tc>
        <w:tc>
          <w:tcPr>
            <w:tcW w:w="1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60" w:type="dxa"/>
            <w:vAlign w:val="bottom"/>
          </w:tcPr>
          <w:p>
            <w:pPr>
              <w:ind w:left="180"/>
              <w:spacing w:after="0"/>
              <w:rPr>
                <w:sz w:val="20"/>
                <w:szCs w:val="20"/>
                <w:color w:val="auto"/>
              </w:rPr>
            </w:pPr>
            <w:r>
              <w:rPr>
                <w:rFonts w:ascii="Arial" w:cs="Arial" w:eastAsia="Arial" w:hAnsi="Arial"/>
                <w:sz w:val="13"/>
                <w:szCs w:val="13"/>
                <w:color w:val="auto"/>
              </w:rPr>
              <w:t>Interest expense, net of capitalized interest</w:t>
            </w: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(59,663)</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(50,524)</w:t>
            </w:r>
          </w:p>
        </w:tc>
        <w:tc>
          <w:tcPr>
            <w:tcW w:w="28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(222,863)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(211,385)</w:t>
            </w:r>
          </w:p>
        </w:tc>
        <w:tc>
          <w:tcPr>
            <w:tcW w:w="0" w:type="dxa"/>
            <w:vAlign w:val="bottom"/>
          </w:tcPr>
          <w:p>
            <w:pPr>
              <w:spacing w:after="0"/>
              <w:rPr>
                <w:sz w:val="1"/>
                <w:szCs w:val="1"/>
                <w:color w:val="auto"/>
              </w:rPr>
            </w:pPr>
          </w:p>
        </w:tc>
      </w:tr>
      <w:tr>
        <w:trPr>
          <w:trHeight w:val="149"/>
        </w:trPr>
        <w:tc>
          <w:tcPr>
            <w:tcW w:w="4560" w:type="dxa"/>
            <w:vAlign w:val="bottom"/>
          </w:tcPr>
          <w:p>
            <w:pPr>
              <w:ind w:left="180"/>
              <w:spacing w:after="0"/>
              <w:rPr>
                <w:sz w:val="20"/>
                <w:szCs w:val="20"/>
                <w:color w:val="auto"/>
              </w:rPr>
            </w:pPr>
            <w:r>
              <w:rPr>
                <w:rFonts w:ascii="Arial" w:cs="Arial" w:eastAsia="Arial" w:hAnsi="Arial"/>
                <w:sz w:val="13"/>
                <w:szCs w:val="13"/>
                <w:color w:val="auto"/>
              </w:rPr>
              <w:t>Increase (decrease) in swap fair value</w:t>
            </w: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4,749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(1,270)</w:t>
            </w:r>
          </w:p>
        </w:tc>
        <w:tc>
          <w:tcPr>
            <w:tcW w:w="28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(880)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(2,258)</w:t>
            </w:r>
          </w:p>
        </w:tc>
        <w:tc>
          <w:tcPr>
            <w:tcW w:w="0" w:type="dxa"/>
            <w:vAlign w:val="bottom"/>
          </w:tcPr>
          <w:p>
            <w:pPr>
              <w:spacing w:after="0"/>
              <w:rPr>
                <w:sz w:val="1"/>
                <w:szCs w:val="1"/>
                <w:color w:val="auto"/>
              </w:rPr>
            </w:pPr>
          </w:p>
        </w:tc>
      </w:tr>
      <w:tr>
        <w:trPr>
          <w:trHeight w:val="149"/>
        </w:trPr>
        <w:tc>
          <w:tcPr>
            <w:tcW w:w="4560" w:type="dxa"/>
            <w:vAlign w:val="bottom"/>
          </w:tcPr>
          <w:p>
            <w:pPr>
              <w:ind w:left="180"/>
              <w:spacing w:after="0"/>
              <w:rPr>
                <w:sz w:val="20"/>
                <w:szCs w:val="20"/>
                <w:color w:val="auto"/>
              </w:rPr>
            </w:pPr>
            <w:r>
              <w:rPr>
                <w:rFonts w:ascii="Arial" w:cs="Arial" w:eastAsia="Arial" w:hAnsi="Arial"/>
                <w:sz w:val="13"/>
                <w:szCs w:val="13"/>
                <w:color w:val="auto"/>
              </w:rPr>
              <w:t>Gain (loss) on extinguishment of debt/exchange offer</w:t>
            </w: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(623)</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(3,779)</w:t>
            </w:r>
          </w:p>
        </w:tc>
        <w:tc>
          <w:tcPr>
            <w:tcW w:w="28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(67,990)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18,734</w:t>
            </w:r>
          </w:p>
        </w:tc>
        <w:tc>
          <w:tcPr>
            <w:tcW w:w="0" w:type="dxa"/>
            <w:vAlign w:val="bottom"/>
          </w:tcPr>
          <w:p>
            <w:pPr>
              <w:spacing w:after="0"/>
              <w:rPr>
                <w:sz w:val="1"/>
                <w:szCs w:val="1"/>
                <w:color w:val="auto"/>
              </w:rPr>
            </w:pPr>
          </w:p>
        </w:tc>
      </w:tr>
      <w:tr>
        <w:trPr>
          <w:trHeight w:val="149"/>
        </w:trPr>
        <w:tc>
          <w:tcPr>
            <w:tcW w:w="4560" w:type="dxa"/>
            <w:vAlign w:val="bottom"/>
          </w:tcPr>
          <w:p>
            <w:pPr>
              <w:ind w:left="180"/>
              <w:spacing w:after="0"/>
              <w:rPr>
                <w:sz w:val="20"/>
                <w:szCs w:val="20"/>
                <w:color w:val="auto"/>
              </w:rPr>
            </w:pPr>
            <w:r>
              <w:rPr>
                <w:rFonts w:ascii="Arial" w:cs="Arial" w:eastAsia="Arial" w:hAnsi="Arial"/>
                <w:sz w:val="13"/>
                <w:szCs w:val="13"/>
                <w:color w:val="auto"/>
              </w:rPr>
              <w:t>Equity in income from unconsolidated affiliates</w:t>
            </w: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183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197</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801</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67"/>
        </w:trPr>
        <w:tc>
          <w:tcPr>
            <w:tcW w:w="4560" w:type="dxa"/>
            <w:vAlign w:val="bottom"/>
          </w:tcPr>
          <w:p>
            <w:pPr>
              <w:ind w:left="180"/>
              <w:spacing w:after="0"/>
              <w:rPr>
                <w:sz w:val="20"/>
                <w:szCs w:val="20"/>
                <w:color w:val="auto"/>
              </w:rPr>
            </w:pPr>
            <w:r>
              <w:rPr>
                <w:rFonts w:ascii="Arial" w:cs="Arial" w:eastAsia="Arial" w:hAnsi="Arial"/>
                <w:sz w:val="13"/>
                <w:szCs w:val="13"/>
                <w:color w:val="auto"/>
              </w:rPr>
              <w:t>Other</w:t>
            </w: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671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(17)</w:t>
            </w:r>
          </w:p>
        </w:tc>
        <w:tc>
          <w:tcPr>
            <w:tcW w:w="2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225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42"/>
        </w:trPr>
        <w:tc>
          <w:tcPr>
            <w:tcW w:w="4560" w:type="dxa"/>
            <w:vAlign w:val="bottom"/>
          </w:tcPr>
          <w:p>
            <w:pPr>
              <w:ind w:left="380"/>
              <w:spacing w:after="0" w:line="143" w:lineRule="exact"/>
              <w:rPr>
                <w:sz w:val="20"/>
                <w:szCs w:val="20"/>
                <w:color w:val="auto"/>
              </w:rPr>
            </w:pPr>
            <w:r>
              <w:rPr>
                <w:rFonts w:ascii="Arial" w:cs="Arial" w:eastAsia="Arial" w:hAnsi="Arial"/>
                <w:sz w:val="13"/>
                <w:szCs w:val="13"/>
                <w:color w:val="auto"/>
              </w:rPr>
              <w:t>Other income (expense), net</w:t>
            </w:r>
          </w:p>
        </w:tc>
        <w:tc>
          <w:tcPr>
            <w:tcW w:w="15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(53,997)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(54,898)</w:t>
            </w:r>
          </w:p>
        </w:tc>
        <w:tc>
          <w:tcPr>
            <w:tcW w:w="20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(288,209)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(192,857)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6"/>
        </w:trPr>
        <w:tc>
          <w:tcPr>
            <w:tcW w:w="4560" w:type="dxa"/>
            <w:vAlign w:val="bottom"/>
          </w:tcPr>
          <w:p>
            <w:pPr>
              <w:spacing w:after="0"/>
              <w:rPr>
                <w:sz w:val="20"/>
                <w:szCs w:val="20"/>
                <w:color w:val="auto"/>
              </w:rPr>
            </w:pPr>
            <w:r>
              <w:rPr>
                <w:rFonts w:ascii="Arial" w:cs="Arial" w:eastAsia="Arial" w:hAnsi="Arial"/>
                <w:sz w:val="13"/>
                <w:szCs w:val="13"/>
                <w:color w:val="auto"/>
              </w:rPr>
              <w:t>Income (loss) before income taxes</w:t>
            </w: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176,312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(9,381)</w:t>
            </w:r>
          </w:p>
        </w:tc>
        <w:tc>
          <w:tcPr>
            <w:tcW w:w="28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337,043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42,106</w:t>
            </w:r>
          </w:p>
        </w:tc>
        <w:tc>
          <w:tcPr>
            <w:tcW w:w="0" w:type="dxa"/>
            <w:vAlign w:val="bottom"/>
          </w:tcPr>
          <w:p>
            <w:pPr>
              <w:spacing w:after="0"/>
              <w:rPr>
                <w:sz w:val="1"/>
                <w:szCs w:val="1"/>
                <w:color w:val="auto"/>
              </w:rPr>
            </w:pPr>
          </w:p>
        </w:tc>
      </w:tr>
      <w:tr>
        <w:trPr>
          <w:trHeight w:val="350"/>
        </w:trPr>
        <w:tc>
          <w:tcPr>
            <w:tcW w:w="4560" w:type="dxa"/>
            <w:vAlign w:val="bottom"/>
          </w:tcPr>
          <w:p>
            <w:pPr>
              <w:ind w:left="180"/>
              <w:spacing w:after="0"/>
              <w:rPr>
                <w:sz w:val="20"/>
                <w:szCs w:val="20"/>
                <w:color w:val="auto"/>
              </w:rPr>
            </w:pPr>
            <w:r>
              <w:rPr>
                <w:rFonts w:ascii="Arial" w:cs="Arial" w:eastAsia="Arial" w:hAnsi="Arial"/>
                <w:sz w:val="13"/>
                <w:szCs w:val="13"/>
                <w:color w:val="auto"/>
              </w:rPr>
              <w:t>(Provision) benefit for income taxes</w:t>
            </w: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(4,438)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22,613</w:t>
            </w:r>
          </w:p>
        </w:tc>
        <w:tc>
          <w:tcPr>
            <w:tcW w:w="28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(20,447)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(2,999)</w:t>
            </w:r>
          </w:p>
        </w:tc>
        <w:tc>
          <w:tcPr>
            <w:tcW w:w="0" w:type="dxa"/>
            <w:vAlign w:val="bottom"/>
          </w:tcPr>
          <w:p>
            <w:pPr>
              <w:spacing w:after="0"/>
              <w:rPr>
                <w:sz w:val="1"/>
                <w:szCs w:val="1"/>
                <w:color w:val="auto"/>
              </w:rPr>
            </w:pPr>
          </w:p>
        </w:tc>
      </w:tr>
      <w:tr>
        <w:trPr>
          <w:trHeight w:val="123"/>
        </w:trPr>
        <w:tc>
          <w:tcPr>
            <w:tcW w:w="4560" w:type="dxa"/>
            <w:vAlign w:val="bottom"/>
          </w:tcPr>
          <w:p>
            <w:pPr>
              <w:spacing w:after="0" w:line="124" w:lineRule="exact"/>
              <w:rPr>
                <w:sz w:val="20"/>
                <w:szCs w:val="20"/>
                <w:color w:val="auto"/>
              </w:rPr>
            </w:pPr>
            <w:r>
              <w:rPr>
                <w:rFonts w:ascii="Arial" w:cs="Arial" w:eastAsia="Arial" w:hAnsi="Arial"/>
                <w:sz w:val="13"/>
                <w:szCs w:val="13"/>
                <w:color w:val="auto"/>
              </w:rPr>
              <w:t>Net income</w:t>
            </w:r>
          </w:p>
        </w:tc>
        <w:tc>
          <w:tcPr>
            <w:tcW w:w="15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171,874</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13,232</w:t>
            </w:r>
          </w:p>
        </w:tc>
        <w:tc>
          <w:tcPr>
            <w:tcW w:w="2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316,596</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39,107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560" w:type="dxa"/>
            <w:vAlign w:val="bottom"/>
          </w:tcPr>
          <w:p>
            <w:pPr>
              <w:ind w:left="180"/>
              <w:spacing w:after="0"/>
              <w:rPr>
                <w:sz w:val="20"/>
                <w:szCs w:val="20"/>
                <w:color w:val="auto"/>
              </w:rPr>
            </w:pPr>
            <w:r>
              <w:rPr>
                <w:rFonts w:ascii="Arial" w:cs="Arial" w:eastAsia="Arial" w:hAnsi="Arial"/>
                <w:sz w:val="13"/>
                <w:szCs w:val="13"/>
                <w:color w:val="auto"/>
              </w:rPr>
              <w:t>Less: Net income attributable to noncontrolling interests</w:t>
            </w: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(57,632)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(18,453)</w:t>
            </w:r>
          </w:p>
        </w:tc>
        <w:tc>
          <w:tcPr>
            <w:tcW w:w="28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(156,469)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(18,453)</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560" w:type="dxa"/>
            <w:vAlign w:val="bottom"/>
          </w:tcPr>
          <w:p>
            <w:pPr>
              <w:spacing w:after="0"/>
              <w:rPr>
                <w:sz w:val="20"/>
                <w:szCs w:val="20"/>
                <w:color w:val="auto"/>
              </w:rPr>
            </w:pPr>
            <w:r>
              <w:rPr>
                <w:rFonts w:ascii="Arial" w:cs="Arial" w:eastAsia="Arial" w:hAnsi="Arial"/>
                <w:sz w:val="13"/>
                <w:szCs w:val="13"/>
                <w:color w:val="auto"/>
              </w:rPr>
              <w:t>Net income (loss) attributable to Wynn Resorts, Limited</w:t>
            </w:r>
          </w:p>
        </w:tc>
        <w:tc>
          <w:tcPr>
            <w:tcW w:w="1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114,242</w:t>
            </w:r>
          </w:p>
        </w:tc>
        <w:tc>
          <w:tcPr>
            <w:tcW w:w="140" w:type="dxa"/>
            <w:vAlign w:val="bottom"/>
          </w:tcPr>
          <w:p>
            <w:pPr>
              <w:spacing w:after="0"/>
              <w:rPr>
                <w:sz w:val="24"/>
                <w:szCs w:val="24"/>
                <w:color w:val="auto"/>
              </w:rPr>
            </w:pPr>
          </w:p>
        </w:tc>
        <w:tc>
          <w:tcPr>
            <w:tcW w:w="5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(5,221)</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160,127</w:t>
            </w:r>
          </w:p>
        </w:tc>
        <w:tc>
          <w:tcPr>
            <w:tcW w:w="4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20,654</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3"/>
                <w:szCs w:val="13"/>
                <w:color w:val="auto"/>
              </w:rPr>
              <w:t>Basic and diluted income (loss) per common share:</w:t>
            </w:r>
          </w:p>
        </w:tc>
        <w:tc>
          <w:tcPr>
            <w:tcW w:w="1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456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560" w:type="dxa"/>
            <w:vAlign w:val="bottom"/>
          </w:tcPr>
          <w:p>
            <w:pPr>
              <w:ind w:left="180"/>
              <w:spacing w:after="0"/>
              <w:rPr>
                <w:sz w:val="20"/>
                <w:szCs w:val="20"/>
                <w:color w:val="auto"/>
              </w:rPr>
            </w:pPr>
            <w:r>
              <w:rPr>
                <w:rFonts w:ascii="Arial" w:cs="Arial" w:eastAsia="Arial" w:hAnsi="Arial"/>
                <w:sz w:val="13"/>
                <w:szCs w:val="13"/>
                <w:color w:val="auto"/>
              </w:rPr>
              <w:t>Net income (loss) attributable to Wynn Resorts, Limited:</w:t>
            </w:r>
          </w:p>
        </w:tc>
        <w:tc>
          <w:tcPr>
            <w:tcW w:w="17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0.93</w:t>
            </w:r>
          </w:p>
        </w:tc>
        <w:tc>
          <w:tcPr>
            <w:tcW w:w="140" w:type="dxa"/>
            <w:vAlign w:val="bottom"/>
          </w:tcPr>
          <w:p>
            <w:pPr>
              <w:spacing w:after="0"/>
              <w:rPr>
                <w:sz w:val="17"/>
                <w:szCs w:val="17"/>
                <w:color w:val="auto"/>
              </w:rPr>
            </w:pPr>
          </w:p>
        </w:tc>
        <w:tc>
          <w:tcPr>
            <w:tcW w:w="500" w:type="dxa"/>
            <w:vAlign w:val="bottom"/>
            <w:gridSpan w:val="2"/>
            <w:vMerge w:val="restart"/>
          </w:tcPr>
          <w:p>
            <w:pPr>
              <w:jc w:val="right"/>
              <w:ind w:right="34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(0.04)</w:t>
            </w:r>
          </w:p>
        </w:tc>
        <w:tc>
          <w:tcPr>
            <w:tcW w:w="280" w:type="dxa"/>
            <w:vAlign w:val="bottom"/>
            <w:vMerge w:val="restart"/>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1.30</w:t>
            </w:r>
          </w:p>
        </w:tc>
        <w:tc>
          <w:tcPr>
            <w:tcW w:w="42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0.17</w:t>
            </w:r>
          </w:p>
        </w:tc>
        <w:tc>
          <w:tcPr>
            <w:tcW w:w="0" w:type="dxa"/>
            <w:vAlign w:val="bottom"/>
          </w:tcPr>
          <w:p>
            <w:pPr>
              <w:spacing w:after="0"/>
              <w:rPr>
                <w:sz w:val="1"/>
                <w:szCs w:val="1"/>
                <w:color w:val="auto"/>
              </w:rPr>
            </w:pPr>
          </w:p>
        </w:tc>
      </w:tr>
      <w:tr>
        <w:trPr>
          <w:trHeight w:val="131"/>
        </w:trPr>
        <w:tc>
          <w:tcPr>
            <w:tcW w:w="4560" w:type="dxa"/>
            <w:vAlign w:val="bottom"/>
          </w:tcPr>
          <w:p>
            <w:pPr>
              <w:ind w:left="380"/>
              <w:spacing w:after="0" w:line="131" w:lineRule="exact"/>
              <w:rPr>
                <w:sz w:val="20"/>
                <w:szCs w:val="20"/>
                <w:color w:val="auto"/>
              </w:rPr>
            </w:pPr>
            <w:r>
              <w:rPr>
                <w:rFonts w:ascii="Arial" w:cs="Arial" w:eastAsia="Arial" w:hAnsi="Arial"/>
                <w:sz w:val="13"/>
                <w:szCs w:val="13"/>
                <w:color w:val="auto"/>
              </w:rPr>
              <w:t>Basic</w:t>
            </w:r>
          </w:p>
        </w:tc>
        <w:tc>
          <w:tcPr>
            <w:tcW w:w="178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560" w:type="dxa"/>
            <w:vAlign w:val="bottom"/>
          </w:tcPr>
          <w:p>
            <w:pPr>
              <w:ind w:left="380"/>
              <w:spacing w:after="0"/>
              <w:rPr>
                <w:sz w:val="20"/>
                <w:szCs w:val="20"/>
                <w:color w:val="auto"/>
              </w:rPr>
            </w:pPr>
            <w:r>
              <w:rPr>
                <w:rFonts w:ascii="Arial" w:cs="Arial" w:eastAsia="Arial" w:hAnsi="Arial"/>
                <w:sz w:val="13"/>
                <w:szCs w:val="13"/>
                <w:color w:val="auto"/>
              </w:rPr>
              <w:t>Diluted</w:t>
            </w:r>
          </w:p>
        </w:tc>
        <w:tc>
          <w:tcPr>
            <w:tcW w:w="1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0.91</w:t>
            </w:r>
          </w:p>
        </w:tc>
        <w:tc>
          <w:tcPr>
            <w:tcW w:w="140" w:type="dxa"/>
            <w:vAlign w:val="bottom"/>
          </w:tcPr>
          <w:p>
            <w:pPr>
              <w:spacing w:after="0"/>
              <w:rPr>
                <w:sz w:val="15"/>
                <w:szCs w:val="15"/>
                <w:color w:val="auto"/>
              </w:rPr>
            </w:pPr>
          </w:p>
        </w:tc>
        <w:tc>
          <w:tcPr>
            <w:tcW w:w="5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(0.04)</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1.29</w:t>
            </w:r>
          </w:p>
        </w:tc>
        <w:tc>
          <w:tcPr>
            <w:tcW w:w="4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0.17</w:t>
            </w:r>
          </w:p>
        </w:tc>
        <w:tc>
          <w:tcPr>
            <w:tcW w:w="0" w:type="dxa"/>
            <w:vAlign w:val="bottom"/>
          </w:tcPr>
          <w:p>
            <w:pPr>
              <w:spacing w:after="0"/>
              <w:rPr>
                <w:sz w:val="1"/>
                <w:szCs w:val="1"/>
                <w:color w:val="auto"/>
              </w:rPr>
            </w:pPr>
          </w:p>
        </w:tc>
      </w:tr>
      <w:tr>
        <w:trPr>
          <w:trHeight w:val="200"/>
        </w:trPr>
        <w:tc>
          <w:tcPr>
            <w:tcW w:w="4560" w:type="dxa"/>
            <w:vAlign w:val="bottom"/>
          </w:tcPr>
          <w:p>
            <w:pPr>
              <w:ind w:left="180"/>
              <w:spacing w:after="0"/>
              <w:rPr>
                <w:sz w:val="20"/>
                <w:szCs w:val="20"/>
                <w:color w:val="auto"/>
              </w:rPr>
            </w:pPr>
            <w:r>
              <w:rPr>
                <w:rFonts w:ascii="Arial" w:cs="Arial" w:eastAsia="Arial" w:hAnsi="Arial"/>
                <w:sz w:val="13"/>
                <w:szCs w:val="13"/>
                <w:color w:val="auto"/>
              </w:rPr>
              <w:t>Weighted average common shares outstanding:</w:t>
            </w: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123,436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122,301</w:t>
            </w:r>
          </w:p>
        </w:tc>
        <w:tc>
          <w:tcPr>
            <w:tcW w:w="280" w:type="dxa"/>
            <w:vAlign w:val="bottom"/>
          </w:tcPr>
          <w:p>
            <w:pPr>
              <w:spacing w:after="0"/>
              <w:rPr>
                <w:sz w:val="17"/>
                <w:szCs w:val="17"/>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122,787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119,840</w:t>
            </w:r>
          </w:p>
        </w:tc>
        <w:tc>
          <w:tcPr>
            <w:tcW w:w="0" w:type="dxa"/>
            <w:vAlign w:val="bottom"/>
          </w:tcPr>
          <w:p>
            <w:pPr>
              <w:spacing w:after="0"/>
              <w:rPr>
                <w:sz w:val="1"/>
                <w:szCs w:val="1"/>
                <w:color w:val="auto"/>
              </w:rPr>
            </w:pPr>
          </w:p>
        </w:tc>
      </w:tr>
      <w:tr>
        <w:trPr>
          <w:trHeight w:val="131"/>
        </w:trPr>
        <w:tc>
          <w:tcPr>
            <w:tcW w:w="4560" w:type="dxa"/>
            <w:vAlign w:val="bottom"/>
          </w:tcPr>
          <w:p>
            <w:pPr>
              <w:ind w:left="380"/>
              <w:spacing w:after="0" w:line="131" w:lineRule="exact"/>
              <w:rPr>
                <w:sz w:val="20"/>
                <w:szCs w:val="20"/>
                <w:color w:val="auto"/>
              </w:rPr>
            </w:pPr>
            <w:r>
              <w:rPr>
                <w:rFonts w:ascii="Arial" w:cs="Arial" w:eastAsia="Arial" w:hAnsi="Arial"/>
                <w:sz w:val="13"/>
                <w:szCs w:val="13"/>
                <w:color w:val="auto"/>
              </w:rPr>
              <w:t>Basic</w:t>
            </w:r>
          </w:p>
        </w:tc>
        <w:tc>
          <w:tcPr>
            <w:tcW w:w="1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60" w:type="dxa"/>
            <w:vAlign w:val="bottom"/>
          </w:tcPr>
          <w:p>
            <w:pPr>
              <w:ind w:left="380"/>
              <w:spacing w:after="0"/>
              <w:rPr>
                <w:sz w:val="20"/>
                <w:szCs w:val="20"/>
                <w:color w:val="auto"/>
              </w:rPr>
            </w:pPr>
            <w:r>
              <w:rPr>
                <w:rFonts w:ascii="Arial" w:cs="Arial" w:eastAsia="Arial" w:hAnsi="Arial"/>
                <w:sz w:val="13"/>
                <w:szCs w:val="13"/>
                <w:color w:val="auto"/>
              </w:rPr>
              <w:t>Diluted</w:t>
            </w: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124,899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122,301</w:t>
            </w:r>
          </w:p>
        </w:tc>
        <w:tc>
          <w:tcPr>
            <w:tcW w:w="28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123,939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120,185</w:t>
            </w:r>
          </w:p>
        </w:tc>
        <w:tc>
          <w:tcPr>
            <w:tcW w:w="0" w:type="dxa"/>
            <w:vAlign w:val="bottom"/>
          </w:tcPr>
          <w:p>
            <w:pPr>
              <w:spacing w:after="0"/>
              <w:rPr>
                <w:sz w:val="1"/>
                <w:szCs w:val="1"/>
                <w:color w:val="auto"/>
              </w:rPr>
            </w:pPr>
          </w:p>
        </w:tc>
      </w:tr>
      <w:tr>
        <w:trPr>
          <w:trHeight w:val="182"/>
        </w:trPr>
        <w:tc>
          <w:tcPr>
            <w:tcW w:w="4560" w:type="dxa"/>
            <w:vAlign w:val="bottom"/>
          </w:tcPr>
          <w:p>
            <w:pPr>
              <w:spacing w:after="0"/>
              <w:rPr>
                <w:sz w:val="20"/>
                <w:szCs w:val="20"/>
                <w:color w:val="auto"/>
              </w:rPr>
            </w:pPr>
            <w:r>
              <w:rPr>
                <w:rFonts w:ascii="Arial" w:cs="Arial" w:eastAsia="Arial" w:hAnsi="Arial"/>
                <w:sz w:val="13"/>
                <w:szCs w:val="13"/>
                <w:color w:val="auto"/>
              </w:rPr>
              <w:t>Dividends declared per common share</w:t>
            </w:r>
          </w:p>
        </w:tc>
        <w:tc>
          <w:tcPr>
            <w:tcW w:w="1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8.00</w:t>
            </w:r>
          </w:p>
        </w:tc>
        <w:tc>
          <w:tcPr>
            <w:tcW w:w="140" w:type="dxa"/>
            <w:vAlign w:val="bottom"/>
          </w:tcPr>
          <w:p>
            <w:pPr>
              <w:spacing w:after="0"/>
              <w:rPr>
                <w:sz w:val="15"/>
                <w:szCs w:val="15"/>
                <w:color w:val="auto"/>
              </w:rPr>
            </w:pPr>
          </w:p>
        </w:tc>
        <w:tc>
          <w:tcPr>
            <w:tcW w:w="5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4.00</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8.50</w:t>
            </w:r>
          </w:p>
        </w:tc>
        <w:tc>
          <w:tcPr>
            <w:tcW w:w="4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42" w:right="29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RECONCILIATION OF NET INCOME (LOSS) ATTRIBUTABLE TO WYNN RESORTS, LIMITED</w:t>
      </w:r>
    </w:p>
    <w:p>
      <w:pPr>
        <w:jc w:val="center"/>
        <w:ind w:right="-59"/>
        <w:spacing w:after="0" w:line="234" w:lineRule="auto"/>
        <w:rPr>
          <w:sz w:val="20"/>
          <w:szCs w:val="20"/>
          <w:color w:val="auto"/>
        </w:rPr>
      </w:pPr>
      <w:r>
        <w:rPr>
          <w:rFonts w:ascii="Arial" w:cs="Arial" w:eastAsia="Arial" w:hAnsi="Arial"/>
          <w:sz w:val="18"/>
          <w:szCs w:val="18"/>
          <w:color w:val="auto"/>
        </w:rPr>
        <w:t>TO ADJUSTED NET INCOME ATTRIBUTABLE TO WYNN RESORTS, LIMITED</w:t>
      </w:r>
    </w:p>
    <w:p>
      <w:pPr>
        <w:jc w:val="center"/>
        <w:ind w:right="-59"/>
        <w:spacing w:after="0" w:line="235" w:lineRule="auto"/>
        <w:rPr>
          <w:sz w:val="20"/>
          <w:szCs w:val="20"/>
          <w:color w:val="auto"/>
        </w:rPr>
      </w:pPr>
      <w:r>
        <w:rPr>
          <w:rFonts w:ascii="Arial" w:cs="Arial" w:eastAsia="Arial" w:hAnsi="Arial"/>
          <w:sz w:val="18"/>
          <w:szCs w:val="18"/>
          <w:color w:val="auto"/>
        </w:rPr>
        <w:t>(amounts in thousands)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40" w:type="dxa"/>
            <w:vAlign w:val="bottom"/>
            <w:gridSpan w:val="4"/>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gridSpan w:val="4"/>
          </w:tcPr>
          <w:p>
            <w:pPr>
              <w:jc w:val="right"/>
              <w:ind w:right="129"/>
              <w:spacing w:after="0"/>
              <w:rPr>
                <w:sz w:val="20"/>
                <w:szCs w:val="20"/>
                <w:color w:val="auto"/>
              </w:rPr>
            </w:pPr>
            <w:r>
              <w:rPr>
                <w:rFonts w:ascii="Arial" w:cs="Arial" w:eastAsia="Arial" w:hAnsi="Arial"/>
                <w:sz w:val="11"/>
                <w:szCs w:val="11"/>
                <w:b w:val="1"/>
                <w:bCs w:val="1"/>
                <w:color w:val="auto"/>
              </w:rPr>
              <w:t>Year Ended</w:t>
            </w: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5"/>
        </w:trPr>
        <w:tc>
          <w:tcPr>
            <w:tcW w:w="6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4"/>
          </w:tcPr>
          <w:p>
            <w:pPr>
              <w:jc w:val="right"/>
              <w:ind w:right="169"/>
              <w:spacing w:after="0"/>
              <w:rPr>
                <w:sz w:val="20"/>
                <w:szCs w:val="20"/>
                <w:color w:val="auto"/>
              </w:rPr>
            </w:pPr>
            <w:r>
              <w:rPr>
                <w:rFonts w:ascii="Arial" w:cs="Arial" w:eastAsia="Arial" w:hAnsi="Arial"/>
                <w:sz w:val="11"/>
                <w:szCs w:val="11"/>
                <w:b w:val="1"/>
                <w:bCs w:val="1"/>
                <w:color w:val="auto"/>
              </w:rPr>
              <w:t>December 31,</w:t>
            </w:r>
          </w:p>
        </w:tc>
        <w:tc>
          <w:tcPr>
            <w:tcW w:w="7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4"/>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8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96"/>
        </w:trPr>
        <w:tc>
          <w:tcPr>
            <w:tcW w:w="6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3"/>
              <w:spacing w:after="0"/>
              <w:rPr>
                <w:sz w:val="20"/>
                <w:szCs w:val="20"/>
                <w:color w:val="auto"/>
              </w:rPr>
            </w:pPr>
            <w:r>
              <w:rPr>
                <w:rFonts w:ascii="Arial" w:cs="Arial" w:eastAsia="Arial" w:hAnsi="Arial"/>
                <w:sz w:val="11"/>
                <w:szCs w:val="11"/>
                <w:b w:val="1"/>
                <w:bCs w:val="1"/>
                <w:color w:val="auto"/>
              </w:rPr>
              <w:t>2010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90"/>
              <w:spacing w:after="0"/>
              <w:rPr>
                <w:sz w:val="20"/>
                <w:szCs w:val="20"/>
                <w:color w:val="auto"/>
              </w:rPr>
            </w:pPr>
            <w:r>
              <w:rPr>
                <w:rFonts w:ascii="Arial" w:cs="Arial" w:eastAsia="Arial" w:hAnsi="Arial"/>
                <w:sz w:val="11"/>
                <w:szCs w:val="11"/>
                <w:b w:val="1"/>
                <w:bCs w:val="1"/>
                <w:color w:val="auto"/>
              </w:rPr>
              <w:t>2009</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3"/>
              <w:spacing w:after="0"/>
              <w:rPr>
                <w:sz w:val="20"/>
                <w:szCs w:val="20"/>
                <w:color w:val="auto"/>
              </w:rPr>
            </w:pPr>
            <w:r>
              <w:rPr>
                <w:rFonts w:ascii="Arial" w:cs="Arial" w:eastAsia="Arial" w:hAnsi="Arial"/>
                <w:sz w:val="11"/>
                <w:szCs w:val="11"/>
                <w:b w:val="1"/>
                <w:bCs w:val="1"/>
                <w:color w:val="auto"/>
              </w:rPr>
              <w:t>2010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0"/>
              <w:spacing w:after="0"/>
              <w:rPr>
                <w:sz w:val="20"/>
                <w:szCs w:val="20"/>
                <w:color w:val="auto"/>
              </w:rPr>
            </w:pPr>
            <w:r>
              <w:rPr>
                <w:rFonts w:ascii="Arial" w:cs="Arial" w:eastAsia="Arial" w:hAnsi="Arial"/>
                <w:sz w:val="11"/>
                <w:szCs w:val="11"/>
                <w:b w:val="1"/>
                <w:bCs w:val="1"/>
                <w:color w:val="auto"/>
              </w:rPr>
              <w:t>2009</w:t>
            </w:r>
          </w:p>
        </w:tc>
        <w:tc>
          <w:tcPr>
            <w:tcW w:w="40" w:type="dxa"/>
            <w:vAlign w:val="bottom"/>
          </w:tcPr>
          <w:p>
            <w:pPr>
              <w:spacing w:after="0"/>
              <w:rPr>
                <w:sz w:val="17"/>
                <w:szCs w:val="17"/>
                <w:color w:val="auto"/>
              </w:rPr>
            </w:pPr>
          </w:p>
        </w:tc>
      </w:tr>
      <w:tr>
        <w:trPr>
          <w:trHeight w:val="339"/>
        </w:trPr>
        <w:tc>
          <w:tcPr>
            <w:tcW w:w="6100" w:type="dxa"/>
            <w:vAlign w:val="bottom"/>
          </w:tcPr>
          <w:p>
            <w:pPr>
              <w:spacing w:after="0"/>
              <w:rPr>
                <w:sz w:val="20"/>
                <w:szCs w:val="20"/>
                <w:color w:val="auto"/>
              </w:rPr>
            </w:pPr>
            <w:r>
              <w:rPr>
                <w:rFonts w:ascii="Arial" w:cs="Arial" w:eastAsia="Arial" w:hAnsi="Arial"/>
                <w:sz w:val="13"/>
                <w:szCs w:val="13"/>
                <w:color w:val="auto"/>
              </w:rPr>
              <w:t>Net income (loss) attributable to Wynn Resorts, Limited</w:t>
            </w:r>
          </w:p>
        </w:tc>
        <w:tc>
          <w:tcPr>
            <w:tcW w:w="240" w:type="dxa"/>
            <w:vAlign w:val="bottom"/>
          </w:tcPr>
          <w:p>
            <w:pPr>
              <w:jc w:val="right"/>
              <w:ind w:right="174"/>
              <w:spacing w:after="0"/>
              <w:rPr>
                <w:sz w:val="20"/>
                <w:szCs w:val="20"/>
                <w:color w:val="auto"/>
              </w:rPr>
            </w:pPr>
            <w:r>
              <w:rPr>
                <w:rFonts w:ascii="Arial" w:cs="Arial" w:eastAsia="Arial" w:hAnsi="Arial"/>
                <w:sz w:val="5"/>
                <w:szCs w:val="5"/>
                <w:color w:val="auto"/>
                <w:w w:val="70"/>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114,242</w:t>
            </w:r>
          </w:p>
        </w:tc>
        <w:tc>
          <w:tcPr>
            <w:tcW w:w="140" w:type="dxa"/>
            <w:vAlign w:val="bottom"/>
          </w:tcPr>
          <w:p>
            <w:pPr>
              <w:spacing w:after="0"/>
              <w:rPr>
                <w:sz w:val="24"/>
                <w:szCs w:val="24"/>
                <w:color w:val="auto"/>
              </w:rPr>
            </w:pPr>
          </w:p>
        </w:tc>
        <w:tc>
          <w:tcPr>
            <w:tcW w:w="500" w:type="dxa"/>
            <w:vAlign w:val="bottom"/>
            <w:gridSpan w:val="2"/>
          </w:tcPr>
          <w:p>
            <w:pPr>
              <w:jc w:val="right"/>
              <w:ind w:right="289"/>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(5,221)</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160,127</w:t>
            </w:r>
          </w:p>
        </w:tc>
        <w:tc>
          <w:tcPr>
            <w:tcW w:w="420" w:type="dxa"/>
            <w:vAlign w:val="bottom"/>
            <w:gridSpan w:val="2"/>
          </w:tcPr>
          <w:p>
            <w:pPr>
              <w:jc w:val="right"/>
              <w:ind w:right="229"/>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20,654</w:t>
            </w:r>
          </w:p>
        </w:tc>
      </w:tr>
      <w:tr>
        <w:trPr>
          <w:trHeight w:val="149"/>
        </w:trPr>
        <w:tc>
          <w:tcPr>
            <w:tcW w:w="6100" w:type="dxa"/>
            <w:vAlign w:val="bottom"/>
          </w:tcPr>
          <w:p>
            <w:pPr>
              <w:ind w:left="180"/>
              <w:spacing w:after="0"/>
              <w:rPr>
                <w:sz w:val="20"/>
                <w:szCs w:val="20"/>
                <w:color w:val="auto"/>
              </w:rPr>
            </w:pPr>
            <w:r>
              <w:rPr>
                <w:rFonts w:ascii="Arial" w:cs="Arial" w:eastAsia="Arial" w:hAnsi="Arial"/>
                <w:sz w:val="13"/>
                <w:szCs w:val="13"/>
                <w:color w:val="auto"/>
              </w:rPr>
              <w:t>Pre-opening costs</w:t>
            </w: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1,448</w:t>
            </w:r>
          </w:p>
        </w:tc>
        <w:tc>
          <w:tcPr>
            <w:tcW w:w="28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9,496</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1,817</w:t>
            </w:r>
          </w:p>
        </w:tc>
      </w:tr>
      <w:tr>
        <w:trPr>
          <w:trHeight w:val="149"/>
        </w:trPr>
        <w:tc>
          <w:tcPr>
            <w:tcW w:w="6100" w:type="dxa"/>
            <w:vAlign w:val="bottom"/>
          </w:tcPr>
          <w:p>
            <w:pPr>
              <w:ind w:left="180"/>
              <w:spacing w:after="0"/>
              <w:rPr>
                <w:sz w:val="20"/>
                <w:szCs w:val="20"/>
                <w:color w:val="auto"/>
              </w:rPr>
            </w:pPr>
            <w:r>
              <w:rPr>
                <w:rFonts w:ascii="Arial" w:cs="Arial" w:eastAsia="Arial" w:hAnsi="Arial"/>
                <w:sz w:val="13"/>
                <w:szCs w:val="13"/>
                <w:color w:val="auto"/>
              </w:rPr>
              <w:t>(Gain) loss on extinguishment of debt/exchange offer</w:t>
            </w: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623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3,779</w:t>
            </w:r>
          </w:p>
        </w:tc>
        <w:tc>
          <w:tcPr>
            <w:tcW w:w="28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67,990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(18,734)</w:t>
            </w:r>
          </w:p>
        </w:tc>
      </w:tr>
      <w:tr>
        <w:trPr>
          <w:trHeight w:val="149"/>
        </w:trPr>
        <w:tc>
          <w:tcPr>
            <w:tcW w:w="6100" w:type="dxa"/>
            <w:vAlign w:val="bottom"/>
          </w:tcPr>
          <w:p>
            <w:pPr>
              <w:ind w:left="180"/>
              <w:spacing w:after="0"/>
              <w:rPr>
                <w:sz w:val="20"/>
                <w:szCs w:val="20"/>
                <w:color w:val="auto"/>
              </w:rPr>
            </w:pPr>
            <w:r>
              <w:rPr>
                <w:rFonts w:ascii="Arial" w:cs="Arial" w:eastAsia="Arial" w:hAnsi="Arial"/>
                <w:sz w:val="13"/>
                <w:szCs w:val="13"/>
                <w:color w:val="auto"/>
              </w:rPr>
              <w:t>(Increase) decrease in swap fair value</w:t>
            </w:r>
          </w:p>
        </w:tc>
        <w:tc>
          <w:tcPr>
            <w:tcW w:w="2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(4,749)</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1,270</w:t>
            </w:r>
          </w:p>
        </w:tc>
        <w:tc>
          <w:tcPr>
            <w:tcW w:w="28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880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2,258</w:t>
            </w:r>
          </w:p>
        </w:tc>
      </w:tr>
      <w:tr>
        <w:trPr>
          <w:trHeight w:val="149"/>
        </w:trPr>
        <w:tc>
          <w:tcPr>
            <w:tcW w:w="6100" w:type="dxa"/>
            <w:vAlign w:val="bottom"/>
          </w:tcPr>
          <w:p>
            <w:pPr>
              <w:ind w:left="180"/>
              <w:spacing w:after="0"/>
              <w:rPr>
                <w:sz w:val="20"/>
                <w:szCs w:val="20"/>
                <w:color w:val="auto"/>
              </w:rPr>
            </w:pPr>
            <w:r>
              <w:rPr>
                <w:rFonts w:ascii="Arial" w:cs="Arial" w:eastAsia="Arial" w:hAnsi="Arial"/>
                <w:sz w:val="13"/>
                <w:szCs w:val="13"/>
                <w:color w:val="auto"/>
              </w:rPr>
              <w:t>Property charges and other</w:t>
            </w: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2,845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17,186</w:t>
            </w:r>
          </w:p>
        </w:tc>
        <w:tc>
          <w:tcPr>
            <w:tcW w:w="28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25,219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28,458</w:t>
            </w:r>
          </w:p>
        </w:tc>
      </w:tr>
      <w:tr>
        <w:trPr>
          <w:trHeight w:val="149"/>
        </w:trPr>
        <w:tc>
          <w:tcPr>
            <w:tcW w:w="6100" w:type="dxa"/>
            <w:vAlign w:val="bottom"/>
          </w:tcPr>
          <w:p>
            <w:pPr>
              <w:ind w:left="180"/>
              <w:spacing w:after="0"/>
              <w:rPr>
                <w:sz w:val="20"/>
                <w:szCs w:val="20"/>
                <w:color w:val="auto"/>
              </w:rPr>
            </w:pPr>
            <w:r>
              <w:rPr>
                <w:rFonts w:ascii="Arial" w:cs="Arial" w:eastAsia="Arial" w:hAnsi="Arial"/>
                <w:sz w:val="13"/>
                <w:szCs w:val="13"/>
                <w:color w:val="auto"/>
              </w:rPr>
              <w:t>Adjustment for taxes on above</w:t>
            </w: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(7,486)</w:t>
            </w:r>
          </w:p>
        </w:tc>
        <w:tc>
          <w:tcPr>
            <w:tcW w:w="28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(2,113)</w:t>
            </w:r>
          </w:p>
        </w:tc>
      </w:tr>
      <w:tr>
        <w:trPr>
          <w:trHeight w:val="167"/>
        </w:trPr>
        <w:tc>
          <w:tcPr>
            <w:tcW w:w="6100" w:type="dxa"/>
            <w:vAlign w:val="bottom"/>
          </w:tcPr>
          <w:p>
            <w:pPr>
              <w:ind w:left="180"/>
              <w:spacing w:after="0"/>
              <w:rPr>
                <w:sz w:val="20"/>
                <w:szCs w:val="20"/>
                <w:color w:val="auto"/>
              </w:rPr>
            </w:pPr>
            <w:r>
              <w:rPr>
                <w:rFonts w:ascii="Arial" w:cs="Arial" w:eastAsia="Arial" w:hAnsi="Arial"/>
                <w:sz w:val="13"/>
                <w:szCs w:val="13"/>
                <w:color w:val="auto"/>
              </w:rPr>
              <w:t>Adjustment for noncontrolling interest</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(636)</w:t>
            </w:r>
          </w:p>
        </w:tc>
        <w:tc>
          <w:tcPr>
            <w:tcW w:w="28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(2,689)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(636)</w:t>
            </w:r>
          </w:p>
        </w:tc>
      </w:tr>
      <w:tr>
        <w:trPr>
          <w:trHeight w:val="142"/>
        </w:trPr>
        <w:tc>
          <w:tcPr>
            <w:tcW w:w="6100" w:type="dxa"/>
            <w:vAlign w:val="bottom"/>
          </w:tcPr>
          <w:p>
            <w:pPr>
              <w:spacing w:after="0" w:line="143" w:lineRule="exact"/>
              <w:rPr>
                <w:sz w:val="20"/>
                <w:szCs w:val="20"/>
                <w:color w:val="auto"/>
              </w:rPr>
            </w:pPr>
            <w:r>
              <w:rPr>
                <w:rFonts w:ascii="Arial" w:cs="Arial" w:eastAsia="Arial" w:hAnsi="Arial"/>
                <w:sz w:val="13"/>
                <w:szCs w:val="13"/>
                <w:color w:val="auto"/>
              </w:rPr>
              <w:t>Adjusted net income attributable to Wynn Resorts, Limited(2)</w:t>
            </w:r>
          </w:p>
        </w:tc>
        <w:tc>
          <w:tcPr>
            <w:tcW w:w="2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5"/>
                <w:szCs w:val="5"/>
                <w:color w:val="auto"/>
                <w:w w:val="70"/>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113,662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ind w:right="28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10,340</w:t>
            </w:r>
          </w:p>
        </w:tc>
        <w:tc>
          <w:tcPr>
            <w:tcW w:w="20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261,023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31,704</w:t>
            </w:r>
          </w:p>
        </w:tc>
        <w:tc>
          <w:tcPr>
            <w:tcW w:w="40" w:type="dxa"/>
            <w:vAlign w:val="bottom"/>
          </w:tcPr>
          <w:p>
            <w:pPr>
              <w:spacing w:after="0"/>
              <w:rPr>
                <w:sz w:val="12"/>
                <w:szCs w:val="12"/>
                <w:color w:val="auto"/>
              </w:rPr>
            </w:pPr>
          </w:p>
        </w:tc>
      </w:tr>
      <w:tr>
        <w:trPr>
          <w:trHeight w:val="20"/>
        </w:trPr>
        <w:tc>
          <w:tcPr>
            <w:tcW w:w="6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6100" w:type="dxa"/>
            <w:vAlign w:val="bottom"/>
          </w:tcPr>
          <w:p>
            <w:pPr>
              <w:spacing w:after="0"/>
              <w:rPr>
                <w:sz w:val="20"/>
                <w:szCs w:val="20"/>
                <w:color w:val="auto"/>
              </w:rPr>
            </w:pPr>
            <w:r>
              <w:rPr>
                <w:rFonts w:ascii="Arial" w:cs="Arial" w:eastAsia="Arial" w:hAnsi="Arial"/>
                <w:sz w:val="13"/>
                <w:szCs w:val="13"/>
                <w:color w:val="auto"/>
              </w:rPr>
              <w:t>Adjusted net income attributable to Wynn Resorts, Limited per diluted share</w:t>
            </w:r>
          </w:p>
        </w:tc>
        <w:tc>
          <w:tcPr>
            <w:tcW w:w="240" w:type="dxa"/>
            <w:vAlign w:val="bottom"/>
          </w:tcPr>
          <w:p>
            <w:pPr>
              <w:jc w:val="right"/>
              <w:ind w:right="174"/>
              <w:spacing w:after="0"/>
              <w:rPr>
                <w:sz w:val="20"/>
                <w:szCs w:val="20"/>
                <w:color w:val="auto"/>
              </w:rPr>
            </w:pPr>
            <w:r>
              <w:rPr>
                <w:rFonts w:ascii="Arial" w:cs="Arial" w:eastAsia="Arial" w:hAnsi="Arial"/>
                <w:sz w:val="5"/>
                <w:szCs w:val="5"/>
                <w:color w:val="auto"/>
                <w:w w:val="70"/>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0.91</w:t>
            </w:r>
          </w:p>
        </w:tc>
        <w:tc>
          <w:tcPr>
            <w:tcW w:w="140" w:type="dxa"/>
            <w:vAlign w:val="bottom"/>
          </w:tcPr>
          <w:p>
            <w:pPr>
              <w:spacing w:after="0"/>
              <w:rPr>
                <w:sz w:val="24"/>
                <w:szCs w:val="24"/>
                <w:color w:val="auto"/>
              </w:rPr>
            </w:pPr>
          </w:p>
        </w:tc>
        <w:tc>
          <w:tcPr>
            <w:tcW w:w="500" w:type="dxa"/>
            <w:vAlign w:val="bottom"/>
            <w:gridSpan w:val="2"/>
          </w:tcPr>
          <w:p>
            <w:pPr>
              <w:jc w:val="right"/>
              <w:ind w:right="289"/>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0.08</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2.11</w:t>
            </w:r>
          </w:p>
        </w:tc>
        <w:tc>
          <w:tcPr>
            <w:tcW w:w="420" w:type="dxa"/>
            <w:vAlign w:val="bottom"/>
            <w:gridSpan w:val="2"/>
          </w:tcPr>
          <w:p>
            <w:pPr>
              <w:jc w:val="right"/>
              <w:ind w:right="229"/>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0.26</w:t>
            </w:r>
          </w:p>
        </w:tc>
      </w:tr>
      <w:tr>
        <w:trPr>
          <w:trHeight w:val="20"/>
        </w:trPr>
        <w:tc>
          <w:tcPr>
            <w:tcW w:w="610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99" w:right="29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RECONCILIATION OF OPERATING INCOME (LOSS) TO ADJUSTED PROPERTY EBITDA</w:t>
      </w:r>
    </w:p>
    <w:p>
      <w:pPr>
        <w:jc w:val="center"/>
        <w:ind w:right="-59"/>
        <w:spacing w:after="0" w:line="234" w:lineRule="auto"/>
        <w:rPr>
          <w:sz w:val="20"/>
          <w:szCs w:val="20"/>
          <w:color w:val="auto"/>
        </w:rPr>
      </w:pPr>
      <w:r>
        <w:rPr>
          <w:rFonts w:ascii="Arial" w:cs="Arial" w:eastAsia="Arial" w:hAnsi="Arial"/>
          <w:sz w:val="18"/>
          <w:szCs w:val="18"/>
          <w:color w:val="auto"/>
        </w:rPr>
        <w:t>AND ADJUSTED PROPERTY EBITDA TO NET INCOME (LOSS) ATTRIBUTABLE TO WYNN RESORTS, LIMITED</w:t>
      </w:r>
    </w:p>
    <w:p>
      <w:pPr>
        <w:jc w:val="center"/>
        <w:ind w:right="-59"/>
        <w:spacing w:after="0" w:line="235" w:lineRule="auto"/>
        <w:rPr>
          <w:sz w:val="20"/>
          <w:szCs w:val="20"/>
          <w:color w:val="auto"/>
        </w:rPr>
      </w:pPr>
      <w:r>
        <w:rPr>
          <w:rFonts w:ascii="Arial" w:cs="Arial" w:eastAsia="Arial" w:hAnsi="Arial"/>
          <w:sz w:val="18"/>
          <w:szCs w:val="18"/>
          <w:color w:val="auto"/>
        </w:rPr>
        <w:t>(amounts in thousands)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gridSpan w:val="8"/>
          </w:tcPr>
          <w:p>
            <w:pPr>
              <w:ind w:left="120"/>
              <w:spacing w:after="0"/>
              <w:rPr>
                <w:sz w:val="20"/>
                <w:szCs w:val="20"/>
                <w:color w:val="auto"/>
              </w:rPr>
            </w:pPr>
            <w:r>
              <w:rPr>
                <w:rFonts w:ascii="Arial" w:cs="Arial" w:eastAsia="Arial" w:hAnsi="Arial"/>
                <w:sz w:val="11"/>
                <w:szCs w:val="11"/>
                <w:b w:val="1"/>
                <w:bCs w:val="1"/>
                <w:color w:val="auto"/>
              </w:rPr>
              <w:t>Three Months Ended December 31, 2010</w:t>
            </w: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7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gridSpan w:val="3"/>
          </w:tcPr>
          <w:p>
            <w:pPr>
              <w:jc w:val="center"/>
              <w:ind w:right="360"/>
              <w:spacing w:after="0" w:line="102" w:lineRule="exact"/>
              <w:rPr>
                <w:sz w:val="20"/>
                <w:szCs w:val="20"/>
                <w:color w:val="auto"/>
              </w:rPr>
            </w:pPr>
            <w:r>
              <w:rPr>
                <w:rFonts w:ascii="Arial" w:cs="Arial" w:eastAsia="Arial" w:hAnsi="Arial"/>
                <w:sz w:val="11"/>
                <w:szCs w:val="11"/>
                <w:b w:val="1"/>
                <w:bCs w:val="1"/>
                <w:color w:val="auto"/>
                <w:w w:val="88"/>
              </w:rPr>
              <w:t>Wynn Las</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tcPr>
          <w:p>
            <w:pPr>
              <w:ind w:left="260"/>
              <w:spacing w:after="0" w:line="102" w:lineRule="exact"/>
              <w:rPr>
                <w:sz w:val="20"/>
                <w:szCs w:val="20"/>
                <w:color w:val="auto"/>
              </w:rPr>
            </w:pPr>
            <w:r>
              <w:rPr>
                <w:rFonts w:ascii="Arial" w:cs="Arial" w:eastAsia="Arial" w:hAnsi="Arial"/>
                <w:sz w:val="11"/>
                <w:szCs w:val="11"/>
                <w:b w:val="1"/>
                <w:bCs w:val="1"/>
                <w:color w:val="auto"/>
              </w:rPr>
              <w:t>Wynn</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3"/>
          </w:tcPr>
          <w:p>
            <w:pPr>
              <w:jc w:val="center"/>
              <w:ind w:right="280"/>
              <w:spacing w:after="0" w:line="102" w:lineRule="exact"/>
              <w:rPr>
                <w:sz w:val="20"/>
                <w:szCs w:val="20"/>
                <w:color w:val="auto"/>
              </w:rPr>
            </w:pPr>
            <w:r>
              <w:rPr>
                <w:rFonts w:ascii="Arial" w:cs="Arial" w:eastAsia="Arial" w:hAnsi="Arial"/>
                <w:sz w:val="11"/>
                <w:szCs w:val="11"/>
                <w:b w:val="1"/>
                <w:bCs w:val="1"/>
                <w:color w:val="auto"/>
                <w:w w:val="90"/>
              </w:rPr>
              <w:t>Corporate and</w:t>
            </w: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740" w:type="dxa"/>
            <w:vAlign w:val="bottom"/>
            <w:vMerge w:val="restart"/>
          </w:tcPr>
          <w:p>
            <w:pPr>
              <w:spacing w:after="0"/>
              <w:rPr>
                <w:sz w:val="20"/>
                <w:szCs w:val="20"/>
                <w:color w:val="auto"/>
              </w:rPr>
            </w:pPr>
            <w:r>
              <w:rPr>
                <w:rFonts w:ascii="Arial" w:cs="Arial" w:eastAsia="Arial" w:hAnsi="Arial"/>
                <w:sz w:val="14"/>
                <w:szCs w:val="14"/>
                <w:b w:val="1"/>
                <w:bCs w:val="1"/>
                <w:color w:val="auto"/>
              </w:rPr>
              <w:t>Operating income (loss)</w:t>
            </w: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1"/>
                <w:szCs w:val="11"/>
                <w:b w:val="1"/>
                <w:bCs w:val="1"/>
                <w:color w:val="auto"/>
                <w:w w:val="80"/>
              </w:rPr>
              <w:t>Vegas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120"/>
              <w:spacing w:after="0"/>
              <w:rPr>
                <w:sz w:val="20"/>
                <w:szCs w:val="20"/>
                <w:color w:val="auto"/>
              </w:rPr>
            </w:pPr>
            <w:r>
              <w:rPr>
                <w:rFonts w:ascii="Arial" w:cs="Arial" w:eastAsia="Arial" w:hAnsi="Arial"/>
                <w:sz w:val="11"/>
                <w:szCs w:val="11"/>
                <w:b w:val="1"/>
                <w:bCs w:val="1"/>
                <w:color w:val="auto"/>
              </w:rPr>
              <w:t>Macau, Ltd.</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1"/>
                <w:szCs w:val="11"/>
                <w:b w:val="1"/>
                <w:bCs w:val="1"/>
                <w:color w:val="auto"/>
                <w:w w:val="95"/>
              </w:rPr>
              <w:t>Other</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76"/>
        </w:trPr>
        <w:tc>
          <w:tcPr>
            <w:tcW w:w="474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Borders>
              <w:top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(13,412)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214,515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jc w:val="right"/>
              <w:ind w:right="54"/>
              <w:spacing w:after="0"/>
              <w:rPr>
                <w:sz w:val="20"/>
                <w:szCs w:val="20"/>
                <w:color w:val="auto"/>
              </w:rPr>
            </w:pPr>
            <w:r>
              <w:rPr>
                <w:rFonts w:ascii="Arial" w:cs="Arial" w:eastAsia="Arial" w:hAnsi="Arial"/>
                <w:sz w:val="5"/>
                <w:szCs w:val="5"/>
                <w:color w:val="auto"/>
                <w:w w:val="70"/>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29,206</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Borders>
              <w:top w:val="single" w:sz="8" w:color="auto"/>
            </w:tcBorders>
          </w:tcPr>
          <w:p>
            <w:pPr>
              <w:jc w:val="right"/>
              <w:ind w:right="30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230,309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4740" w:type="dxa"/>
            <w:vAlign w:val="bottom"/>
          </w:tcPr>
          <w:p>
            <w:pPr>
              <w:ind w:left="180"/>
              <w:spacing w:after="0"/>
              <w:rPr>
                <w:sz w:val="20"/>
                <w:szCs w:val="20"/>
                <w:color w:val="auto"/>
              </w:rPr>
            </w:pPr>
            <w:r>
              <w:rPr>
                <w:rFonts w:ascii="Arial" w:cs="Arial" w:eastAsia="Arial" w:hAnsi="Arial"/>
                <w:sz w:val="14"/>
                <w:szCs w:val="14"/>
                <w:color w:val="auto"/>
              </w:rPr>
              <w:t>Pre-opening costs</w:t>
            </w: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425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149"/>
        </w:trPr>
        <w:tc>
          <w:tcPr>
            <w:tcW w:w="4740" w:type="dxa"/>
            <w:vAlign w:val="bottom"/>
          </w:tcPr>
          <w:p>
            <w:pPr>
              <w:ind w:left="180"/>
              <w:spacing w:after="0" w:line="149" w:lineRule="exact"/>
              <w:rPr>
                <w:sz w:val="20"/>
                <w:szCs w:val="20"/>
                <w:color w:val="auto"/>
              </w:rPr>
            </w:pPr>
            <w:r>
              <w:rPr>
                <w:rFonts w:ascii="Arial" w:cs="Arial" w:eastAsia="Arial" w:hAnsi="Arial"/>
                <w:sz w:val="14"/>
                <w:szCs w:val="14"/>
                <w:color w:val="auto"/>
              </w:rPr>
              <w:t>Depreciation and amortization</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64,466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35,237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596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100,299</w:t>
            </w:r>
          </w:p>
        </w:tc>
        <w:tc>
          <w:tcPr>
            <w:tcW w:w="0" w:type="dxa"/>
            <w:vAlign w:val="bottom"/>
          </w:tcPr>
          <w:p>
            <w:pPr>
              <w:spacing w:after="0"/>
              <w:rPr>
                <w:sz w:val="1"/>
                <w:szCs w:val="1"/>
                <w:color w:val="auto"/>
              </w:rPr>
            </w:pPr>
          </w:p>
        </w:tc>
      </w:tr>
      <w:tr>
        <w:trPr>
          <w:trHeight w:val="149"/>
        </w:trPr>
        <w:tc>
          <w:tcPr>
            <w:tcW w:w="4740" w:type="dxa"/>
            <w:vAlign w:val="bottom"/>
          </w:tcPr>
          <w:p>
            <w:pPr>
              <w:ind w:left="180"/>
              <w:spacing w:after="0" w:line="149" w:lineRule="exact"/>
              <w:rPr>
                <w:sz w:val="20"/>
                <w:szCs w:val="20"/>
                <w:color w:val="auto"/>
              </w:rPr>
            </w:pPr>
            <w:r>
              <w:rPr>
                <w:rFonts w:ascii="Arial" w:cs="Arial" w:eastAsia="Arial" w:hAnsi="Arial"/>
                <w:sz w:val="14"/>
                <w:szCs w:val="14"/>
                <w:color w:val="auto"/>
              </w:rPr>
              <w:t>Property charges and other</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729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2,116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2,845</w:t>
            </w:r>
          </w:p>
        </w:tc>
        <w:tc>
          <w:tcPr>
            <w:tcW w:w="0" w:type="dxa"/>
            <w:vAlign w:val="bottom"/>
          </w:tcPr>
          <w:p>
            <w:pPr>
              <w:spacing w:after="0"/>
              <w:rPr>
                <w:sz w:val="1"/>
                <w:szCs w:val="1"/>
                <w:color w:val="auto"/>
              </w:rPr>
            </w:pPr>
          </w:p>
        </w:tc>
      </w:tr>
      <w:tr>
        <w:trPr>
          <w:trHeight w:val="149"/>
        </w:trPr>
        <w:tc>
          <w:tcPr>
            <w:tcW w:w="4740" w:type="dxa"/>
            <w:vAlign w:val="bottom"/>
          </w:tcPr>
          <w:p>
            <w:pPr>
              <w:ind w:left="180"/>
              <w:spacing w:after="0" w:line="149" w:lineRule="exact"/>
              <w:rPr>
                <w:sz w:val="20"/>
                <w:szCs w:val="20"/>
                <w:color w:val="auto"/>
              </w:rPr>
            </w:pPr>
            <w:r>
              <w:rPr>
                <w:rFonts w:ascii="Arial" w:cs="Arial" w:eastAsia="Arial" w:hAnsi="Arial"/>
                <w:sz w:val="14"/>
                <w:szCs w:val="14"/>
                <w:color w:val="auto"/>
              </w:rPr>
              <w:t>Management and royalty fees</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4,878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36,142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(41,020)</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40" w:type="dxa"/>
            <w:vAlign w:val="bottom"/>
          </w:tcPr>
          <w:p>
            <w:pPr>
              <w:ind w:left="180"/>
              <w:spacing w:after="0" w:line="149" w:lineRule="exact"/>
              <w:rPr>
                <w:sz w:val="20"/>
                <w:szCs w:val="20"/>
                <w:color w:val="auto"/>
              </w:rPr>
            </w:pPr>
            <w:r>
              <w:rPr>
                <w:rFonts w:ascii="Arial" w:cs="Arial" w:eastAsia="Arial" w:hAnsi="Arial"/>
                <w:sz w:val="14"/>
                <w:szCs w:val="14"/>
                <w:color w:val="auto"/>
              </w:rPr>
              <w:t>Corporate expense and other</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8,686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7,347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8,646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24,679</w:t>
            </w:r>
          </w:p>
        </w:tc>
        <w:tc>
          <w:tcPr>
            <w:tcW w:w="0" w:type="dxa"/>
            <w:vAlign w:val="bottom"/>
          </w:tcPr>
          <w:p>
            <w:pPr>
              <w:spacing w:after="0"/>
              <w:rPr>
                <w:sz w:val="1"/>
                <w:szCs w:val="1"/>
                <w:color w:val="auto"/>
              </w:rPr>
            </w:pPr>
          </w:p>
        </w:tc>
      </w:tr>
      <w:tr>
        <w:trPr>
          <w:trHeight w:val="149"/>
        </w:trPr>
        <w:tc>
          <w:tcPr>
            <w:tcW w:w="4740" w:type="dxa"/>
            <w:vAlign w:val="bottom"/>
          </w:tcPr>
          <w:p>
            <w:pPr>
              <w:ind w:left="180"/>
              <w:spacing w:after="0" w:line="149" w:lineRule="exact"/>
              <w:rPr>
                <w:sz w:val="20"/>
                <w:szCs w:val="20"/>
                <w:color w:val="auto"/>
              </w:rPr>
            </w:pPr>
            <w:r>
              <w:rPr>
                <w:rFonts w:ascii="Arial" w:cs="Arial" w:eastAsia="Arial" w:hAnsi="Arial"/>
                <w:sz w:val="14"/>
                <w:szCs w:val="14"/>
                <w:color w:val="auto"/>
              </w:rPr>
              <w:t>Stock-based compensation</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2,478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1,484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2,485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6,447</w:t>
            </w:r>
          </w:p>
        </w:tc>
        <w:tc>
          <w:tcPr>
            <w:tcW w:w="0" w:type="dxa"/>
            <w:vAlign w:val="bottom"/>
          </w:tcPr>
          <w:p>
            <w:pPr>
              <w:spacing w:after="0"/>
              <w:rPr>
                <w:sz w:val="1"/>
                <w:szCs w:val="1"/>
                <w:color w:val="auto"/>
              </w:rPr>
            </w:pPr>
          </w:p>
        </w:tc>
      </w:tr>
      <w:tr>
        <w:trPr>
          <w:trHeight w:val="167"/>
        </w:trPr>
        <w:tc>
          <w:tcPr>
            <w:tcW w:w="4740" w:type="dxa"/>
            <w:vAlign w:val="bottom"/>
          </w:tcPr>
          <w:p>
            <w:pPr>
              <w:ind w:left="180"/>
              <w:spacing w:after="0"/>
              <w:rPr>
                <w:sz w:val="20"/>
                <w:szCs w:val="20"/>
                <w:color w:val="auto"/>
              </w:rPr>
            </w:pPr>
            <w:r>
              <w:rPr>
                <w:rFonts w:ascii="Arial" w:cs="Arial" w:eastAsia="Arial" w:hAnsi="Arial"/>
                <w:sz w:val="14"/>
                <w:szCs w:val="14"/>
                <w:color w:val="auto"/>
              </w:rPr>
              <w:t>Equity in income from unconsolidated affiliates</w:t>
            </w:r>
          </w:p>
        </w:tc>
        <w:tc>
          <w:tcPr>
            <w:tcW w:w="1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4740" w:type="dxa"/>
            <w:vAlign w:val="bottom"/>
          </w:tcPr>
          <w:p>
            <w:pPr>
              <w:spacing w:after="0"/>
              <w:rPr>
                <w:sz w:val="20"/>
                <w:szCs w:val="20"/>
                <w:color w:val="auto"/>
              </w:rPr>
            </w:pPr>
            <w:r>
              <w:rPr>
                <w:rFonts w:ascii="Arial" w:cs="Arial" w:eastAsia="Arial" w:hAnsi="Arial"/>
                <w:sz w:val="14"/>
                <w:szCs w:val="14"/>
                <w:b w:val="1"/>
                <w:bCs w:val="1"/>
                <w:color w:val="auto"/>
              </w:rPr>
              <w:t xml:space="preserve">Adjusted Property EBITDA </w:t>
            </w:r>
            <w:r>
              <w:rPr>
                <w:rFonts w:ascii="Arial" w:cs="Arial" w:eastAsia="Arial" w:hAnsi="Arial"/>
                <w:sz w:val="10"/>
                <w:szCs w:val="10"/>
                <w:b w:val="1"/>
                <w:bCs w:val="1"/>
                <w:color w:val="auto"/>
              </w:rPr>
              <w:t>(1)</w:t>
            </w:r>
          </w:p>
        </w:tc>
        <w:tc>
          <w:tcPr>
            <w:tcW w:w="154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68,346</w:t>
            </w:r>
          </w:p>
        </w:tc>
        <w:tc>
          <w:tcPr>
            <w:tcW w:w="120" w:type="dxa"/>
            <w:vAlign w:val="bottom"/>
          </w:tcPr>
          <w:p>
            <w:pPr>
              <w:spacing w:after="0"/>
              <w:rPr>
                <w:sz w:val="24"/>
                <w:szCs w:val="24"/>
                <w:color w:val="auto"/>
              </w:rPr>
            </w:pPr>
          </w:p>
        </w:tc>
        <w:tc>
          <w:tcPr>
            <w:tcW w:w="26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296,841</w:t>
            </w:r>
          </w:p>
        </w:tc>
        <w:tc>
          <w:tcPr>
            <w:tcW w:w="160" w:type="dxa"/>
            <w:vAlign w:val="bottom"/>
            <w:gridSpan w:val="3"/>
          </w:tcPr>
          <w:p>
            <w:pPr>
              <w:jc w:val="right"/>
              <w:ind w:right="54"/>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gridSpan w:val="2"/>
          </w:tcPr>
          <w:p>
            <w:pPr>
              <w:jc w:val="right"/>
              <w:ind w:right="309"/>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365,187</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8"/>
          </w:tcPr>
          <w:p>
            <w:pPr>
              <w:ind w:left="120"/>
              <w:spacing w:after="0"/>
              <w:rPr>
                <w:sz w:val="20"/>
                <w:szCs w:val="20"/>
                <w:color w:val="auto"/>
              </w:rPr>
            </w:pPr>
            <w:r>
              <w:rPr>
                <w:rFonts w:ascii="Arial" w:cs="Arial" w:eastAsia="Arial" w:hAnsi="Arial"/>
                <w:sz w:val="11"/>
                <w:szCs w:val="11"/>
                <w:b w:val="1"/>
                <w:bCs w:val="1"/>
                <w:color w:val="auto"/>
              </w:rPr>
              <w:t>Three Months Ended December 31, 2009</w:t>
            </w: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7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gridSpan w:val="3"/>
          </w:tcPr>
          <w:p>
            <w:pPr>
              <w:jc w:val="center"/>
              <w:ind w:right="360"/>
              <w:spacing w:after="0" w:line="102" w:lineRule="exact"/>
              <w:rPr>
                <w:sz w:val="20"/>
                <w:szCs w:val="20"/>
                <w:color w:val="auto"/>
              </w:rPr>
            </w:pPr>
            <w:r>
              <w:rPr>
                <w:rFonts w:ascii="Arial" w:cs="Arial" w:eastAsia="Arial" w:hAnsi="Arial"/>
                <w:sz w:val="11"/>
                <w:szCs w:val="11"/>
                <w:b w:val="1"/>
                <w:bCs w:val="1"/>
                <w:color w:val="auto"/>
                <w:w w:val="88"/>
              </w:rPr>
              <w:t>Wynn Las</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tcPr>
          <w:p>
            <w:pPr>
              <w:ind w:left="260"/>
              <w:spacing w:after="0" w:line="102" w:lineRule="exact"/>
              <w:rPr>
                <w:sz w:val="20"/>
                <w:szCs w:val="20"/>
                <w:color w:val="auto"/>
              </w:rPr>
            </w:pPr>
            <w:r>
              <w:rPr>
                <w:rFonts w:ascii="Arial" w:cs="Arial" w:eastAsia="Arial" w:hAnsi="Arial"/>
                <w:sz w:val="11"/>
                <w:szCs w:val="11"/>
                <w:b w:val="1"/>
                <w:bCs w:val="1"/>
                <w:color w:val="auto"/>
              </w:rPr>
              <w:t>Wynn</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3"/>
          </w:tcPr>
          <w:p>
            <w:pPr>
              <w:jc w:val="center"/>
              <w:ind w:right="280"/>
              <w:spacing w:after="0" w:line="102" w:lineRule="exact"/>
              <w:rPr>
                <w:sz w:val="20"/>
                <w:szCs w:val="20"/>
                <w:color w:val="auto"/>
              </w:rPr>
            </w:pPr>
            <w:r>
              <w:rPr>
                <w:rFonts w:ascii="Arial" w:cs="Arial" w:eastAsia="Arial" w:hAnsi="Arial"/>
                <w:sz w:val="11"/>
                <w:szCs w:val="11"/>
                <w:b w:val="1"/>
                <w:bCs w:val="1"/>
                <w:color w:val="auto"/>
                <w:w w:val="90"/>
              </w:rPr>
              <w:t>Corporate and</w:t>
            </w: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740" w:type="dxa"/>
            <w:vAlign w:val="bottom"/>
            <w:vMerge w:val="restart"/>
          </w:tcPr>
          <w:p>
            <w:pPr>
              <w:spacing w:after="0"/>
              <w:rPr>
                <w:sz w:val="20"/>
                <w:szCs w:val="20"/>
                <w:color w:val="auto"/>
              </w:rPr>
            </w:pPr>
            <w:r>
              <w:rPr>
                <w:rFonts w:ascii="Arial" w:cs="Arial" w:eastAsia="Arial" w:hAnsi="Arial"/>
                <w:sz w:val="14"/>
                <w:szCs w:val="14"/>
                <w:b w:val="1"/>
                <w:bCs w:val="1"/>
                <w:color w:val="auto"/>
              </w:rPr>
              <w:t>Operating income (loss)</w:t>
            </w: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1"/>
                <w:szCs w:val="11"/>
                <w:b w:val="1"/>
                <w:bCs w:val="1"/>
                <w:color w:val="auto"/>
                <w:w w:val="80"/>
              </w:rPr>
              <w:t>Vegas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120"/>
              <w:spacing w:after="0"/>
              <w:rPr>
                <w:sz w:val="20"/>
                <w:szCs w:val="20"/>
                <w:color w:val="auto"/>
              </w:rPr>
            </w:pPr>
            <w:r>
              <w:rPr>
                <w:rFonts w:ascii="Arial" w:cs="Arial" w:eastAsia="Arial" w:hAnsi="Arial"/>
                <w:sz w:val="11"/>
                <w:szCs w:val="11"/>
                <w:b w:val="1"/>
                <w:bCs w:val="1"/>
                <w:color w:val="auto"/>
              </w:rPr>
              <w:t>Macau, Ltd.</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1"/>
                <w:szCs w:val="11"/>
                <w:b w:val="1"/>
                <w:bCs w:val="1"/>
                <w:color w:val="auto"/>
                <w:w w:val="95"/>
              </w:rPr>
              <w:t>Other</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76"/>
        </w:trPr>
        <w:tc>
          <w:tcPr>
            <w:tcW w:w="474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Borders>
              <w:top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(56,664)</w:t>
            </w:r>
          </w:p>
        </w:tc>
        <w:tc>
          <w:tcPr>
            <w:tcW w:w="1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89,403</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jc w:val="right"/>
              <w:ind w:right="54"/>
              <w:spacing w:after="0"/>
              <w:rPr>
                <w:sz w:val="20"/>
                <w:szCs w:val="20"/>
                <w:color w:val="auto"/>
              </w:rPr>
            </w:pPr>
            <w:r>
              <w:rPr>
                <w:rFonts w:ascii="Arial" w:cs="Arial" w:eastAsia="Arial" w:hAnsi="Arial"/>
                <w:sz w:val="5"/>
                <w:szCs w:val="5"/>
                <w:color w:val="auto"/>
                <w:w w:val="70"/>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12,778</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Borders>
              <w:top w:val="single" w:sz="8" w:color="auto"/>
            </w:tcBorders>
          </w:tcPr>
          <w:p>
            <w:pPr>
              <w:jc w:val="right"/>
              <w:ind w:right="30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45,517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4740" w:type="dxa"/>
            <w:vAlign w:val="bottom"/>
          </w:tcPr>
          <w:p>
            <w:pPr>
              <w:ind w:left="180"/>
              <w:spacing w:after="0"/>
              <w:rPr>
                <w:sz w:val="20"/>
                <w:szCs w:val="20"/>
                <w:color w:val="auto"/>
              </w:rPr>
            </w:pPr>
            <w:r>
              <w:rPr>
                <w:rFonts w:ascii="Arial" w:cs="Arial" w:eastAsia="Arial" w:hAnsi="Arial"/>
                <w:sz w:val="14"/>
                <w:szCs w:val="14"/>
                <w:color w:val="auto"/>
              </w:rPr>
              <w:t>Pre-opening costs</w:t>
            </w: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346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1,102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1,448</w:t>
            </w:r>
          </w:p>
        </w:tc>
        <w:tc>
          <w:tcPr>
            <w:tcW w:w="0" w:type="dxa"/>
            <w:vAlign w:val="bottom"/>
          </w:tcPr>
          <w:p>
            <w:pPr>
              <w:spacing w:after="0"/>
              <w:rPr>
                <w:sz w:val="1"/>
                <w:szCs w:val="1"/>
                <w:color w:val="auto"/>
              </w:rPr>
            </w:pPr>
          </w:p>
        </w:tc>
      </w:tr>
      <w:tr>
        <w:trPr>
          <w:trHeight w:val="149"/>
        </w:trPr>
        <w:tc>
          <w:tcPr>
            <w:tcW w:w="4740" w:type="dxa"/>
            <w:vAlign w:val="bottom"/>
          </w:tcPr>
          <w:p>
            <w:pPr>
              <w:ind w:left="180"/>
              <w:spacing w:after="0" w:line="149" w:lineRule="exact"/>
              <w:rPr>
                <w:sz w:val="20"/>
                <w:szCs w:val="20"/>
                <w:color w:val="auto"/>
              </w:rPr>
            </w:pPr>
            <w:r>
              <w:rPr>
                <w:rFonts w:ascii="Arial" w:cs="Arial" w:eastAsia="Arial" w:hAnsi="Arial"/>
                <w:sz w:val="14"/>
                <w:szCs w:val="14"/>
                <w:color w:val="auto"/>
              </w:rPr>
              <w:t>Depreciation and amortization</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80,079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23,611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751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104,441</w:t>
            </w:r>
          </w:p>
        </w:tc>
        <w:tc>
          <w:tcPr>
            <w:tcW w:w="0" w:type="dxa"/>
            <w:vAlign w:val="bottom"/>
          </w:tcPr>
          <w:p>
            <w:pPr>
              <w:spacing w:after="0"/>
              <w:rPr>
                <w:sz w:val="1"/>
                <w:szCs w:val="1"/>
                <w:color w:val="auto"/>
              </w:rPr>
            </w:pPr>
          </w:p>
        </w:tc>
      </w:tr>
      <w:tr>
        <w:trPr>
          <w:trHeight w:val="149"/>
        </w:trPr>
        <w:tc>
          <w:tcPr>
            <w:tcW w:w="4740" w:type="dxa"/>
            <w:vAlign w:val="bottom"/>
          </w:tcPr>
          <w:p>
            <w:pPr>
              <w:ind w:left="180"/>
              <w:spacing w:after="0" w:line="149" w:lineRule="exact"/>
              <w:rPr>
                <w:sz w:val="20"/>
                <w:szCs w:val="20"/>
                <w:color w:val="auto"/>
              </w:rPr>
            </w:pPr>
            <w:r>
              <w:rPr>
                <w:rFonts w:ascii="Arial" w:cs="Arial" w:eastAsia="Arial" w:hAnsi="Arial"/>
                <w:sz w:val="14"/>
                <w:szCs w:val="14"/>
                <w:color w:val="auto"/>
              </w:rPr>
              <w:t>Property charges and other</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17,015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169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17,186</w:t>
            </w:r>
          </w:p>
        </w:tc>
        <w:tc>
          <w:tcPr>
            <w:tcW w:w="0" w:type="dxa"/>
            <w:vAlign w:val="bottom"/>
          </w:tcPr>
          <w:p>
            <w:pPr>
              <w:spacing w:after="0"/>
              <w:rPr>
                <w:sz w:val="1"/>
                <w:szCs w:val="1"/>
                <w:color w:val="auto"/>
              </w:rPr>
            </w:pPr>
          </w:p>
        </w:tc>
      </w:tr>
      <w:tr>
        <w:trPr>
          <w:trHeight w:val="149"/>
        </w:trPr>
        <w:tc>
          <w:tcPr>
            <w:tcW w:w="4740" w:type="dxa"/>
            <w:vAlign w:val="bottom"/>
          </w:tcPr>
          <w:p>
            <w:pPr>
              <w:ind w:left="180"/>
              <w:spacing w:after="0" w:line="149" w:lineRule="exact"/>
              <w:rPr>
                <w:sz w:val="20"/>
                <w:szCs w:val="20"/>
                <w:color w:val="auto"/>
              </w:rPr>
            </w:pPr>
            <w:r>
              <w:rPr>
                <w:rFonts w:ascii="Arial" w:cs="Arial" w:eastAsia="Arial" w:hAnsi="Arial"/>
                <w:sz w:val="14"/>
                <w:szCs w:val="14"/>
                <w:color w:val="auto"/>
              </w:rPr>
              <w:t>Management and royalty fees</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4,563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20,279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(24,842)</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40" w:type="dxa"/>
            <w:vAlign w:val="bottom"/>
          </w:tcPr>
          <w:p>
            <w:pPr>
              <w:ind w:left="180"/>
              <w:spacing w:after="0" w:line="149" w:lineRule="exact"/>
              <w:rPr>
                <w:sz w:val="20"/>
                <w:szCs w:val="20"/>
                <w:color w:val="auto"/>
              </w:rPr>
            </w:pPr>
            <w:r>
              <w:rPr>
                <w:rFonts w:ascii="Arial" w:cs="Arial" w:eastAsia="Arial" w:hAnsi="Arial"/>
                <w:sz w:val="14"/>
                <w:szCs w:val="14"/>
                <w:color w:val="auto"/>
              </w:rPr>
              <w:t>Corporate expense and other</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8,076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6,265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7,993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22,334</w:t>
            </w:r>
          </w:p>
        </w:tc>
        <w:tc>
          <w:tcPr>
            <w:tcW w:w="0" w:type="dxa"/>
            <w:vAlign w:val="bottom"/>
          </w:tcPr>
          <w:p>
            <w:pPr>
              <w:spacing w:after="0"/>
              <w:rPr>
                <w:sz w:val="1"/>
                <w:szCs w:val="1"/>
                <w:color w:val="auto"/>
              </w:rPr>
            </w:pPr>
          </w:p>
        </w:tc>
      </w:tr>
      <w:tr>
        <w:trPr>
          <w:trHeight w:val="149"/>
        </w:trPr>
        <w:tc>
          <w:tcPr>
            <w:tcW w:w="4740" w:type="dxa"/>
            <w:vAlign w:val="bottom"/>
          </w:tcPr>
          <w:p>
            <w:pPr>
              <w:ind w:left="180"/>
              <w:spacing w:after="0" w:line="149" w:lineRule="exact"/>
              <w:rPr>
                <w:sz w:val="20"/>
                <w:szCs w:val="20"/>
                <w:color w:val="auto"/>
              </w:rPr>
            </w:pPr>
            <w:r>
              <w:rPr>
                <w:rFonts w:ascii="Arial" w:cs="Arial" w:eastAsia="Arial" w:hAnsi="Arial"/>
                <w:sz w:val="14"/>
                <w:szCs w:val="14"/>
                <w:color w:val="auto"/>
              </w:rPr>
              <w:t>Stock-based compensation</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1,298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1,268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3,073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5,639</w:t>
            </w:r>
          </w:p>
        </w:tc>
        <w:tc>
          <w:tcPr>
            <w:tcW w:w="0" w:type="dxa"/>
            <w:vAlign w:val="bottom"/>
          </w:tcPr>
          <w:p>
            <w:pPr>
              <w:spacing w:after="0"/>
              <w:rPr>
                <w:sz w:val="1"/>
                <w:szCs w:val="1"/>
                <w:color w:val="auto"/>
              </w:rPr>
            </w:pPr>
          </w:p>
        </w:tc>
      </w:tr>
      <w:tr>
        <w:trPr>
          <w:trHeight w:val="167"/>
        </w:trPr>
        <w:tc>
          <w:tcPr>
            <w:tcW w:w="4740" w:type="dxa"/>
            <w:vAlign w:val="bottom"/>
          </w:tcPr>
          <w:p>
            <w:pPr>
              <w:ind w:left="180"/>
              <w:spacing w:after="0"/>
              <w:rPr>
                <w:sz w:val="20"/>
                <w:szCs w:val="20"/>
                <w:color w:val="auto"/>
              </w:rPr>
            </w:pPr>
            <w:r>
              <w:rPr>
                <w:rFonts w:ascii="Arial" w:cs="Arial" w:eastAsia="Arial" w:hAnsi="Arial"/>
                <w:sz w:val="14"/>
                <w:szCs w:val="14"/>
                <w:color w:val="auto"/>
              </w:rPr>
              <w:t>Equity in income/(loss) from unconsolidated affiliates</w:t>
            </w: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Adjusted Property EBITDA </w:t>
            </w:r>
            <w:r>
              <w:rPr>
                <w:rFonts w:ascii="Arial" w:cs="Arial" w:eastAsia="Arial" w:hAnsi="Arial"/>
                <w:sz w:val="10"/>
                <w:szCs w:val="10"/>
                <w:b w:val="1"/>
                <w:bCs w:val="1"/>
                <w:color w:val="auto"/>
              </w:rPr>
              <w:t>(1)</w:t>
            </w:r>
          </w:p>
        </w:tc>
        <w:tc>
          <w:tcPr>
            <w:tcW w:w="1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740" w:type="dxa"/>
            <w:vAlign w:val="bottom"/>
            <w:vMerge w:val="continue"/>
          </w:tcPr>
          <w:p>
            <w:pPr>
              <w:spacing w:after="0"/>
              <w:rPr>
                <w:sz w:val="24"/>
                <w:szCs w:val="24"/>
                <w:color w:val="auto"/>
              </w:rPr>
            </w:pPr>
          </w:p>
        </w:tc>
        <w:tc>
          <w:tcPr>
            <w:tcW w:w="154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54,665</w:t>
            </w:r>
          </w:p>
        </w:tc>
        <w:tc>
          <w:tcPr>
            <w:tcW w:w="120" w:type="dxa"/>
            <w:vAlign w:val="bottom"/>
          </w:tcPr>
          <w:p>
            <w:pPr>
              <w:spacing w:after="0"/>
              <w:rPr>
                <w:sz w:val="24"/>
                <w:szCs w:val="24"/>
                <w:color w:val="auto"/>
              </w:rPr>
            </w:pPr>
          </w:p>
        </w:tc>
        <w:tc>
          <w:tcPr>
            <w:tcW w:w="26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142,097</w:t>
            </w:r>
          </w:p>
        </w:tc>
        <w:tc>
          <w:tcPr>
            <w:tcW w:w="160" w:type="dxa"/>
            <w:vAlign w:val="bottom"/>
            <w:gridSpan w:val="3"/>
          </w:tcPr>
          <w:p>
            <w:pPr>
              <w:jc w:val="right"/>
              <w:ind w:right="54"/>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gridSpan w:val="2"/>
          </w:tcPr>
          <w:p>
            <w:pPr>
              <w:jc w:val="right"/>
              <w:ind w:right="309"/>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196,762</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5"/>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5"/>
          </w:tcPr>
          <w:p>
            <w:pPr>
              <w:jc w:val="right"/>
              <w:ind w:right="169"/>
              <w:spacing w:after="0"/>
              <w:rPr>
                <w:sz w:val="20"/>
                <w:szCs w:val="20"/>
                <w:color w:val="auto"/>
              </w:rPr>
            </w:pPr>
            <w:r>
              <w:rPr>
                <w:rFonts w:ascii="Arial" w:cs="Arial" w:eastAsia="Arial" w:hAnsi="Arial"/>
                <w:sz w:val="11"/>
                <w:szCs w:val="11"/>
                <w:b w:val="1"/>
                <w:bCs w:val="1"/>
                <w:color w:val="auto"/>
              </w:rPr>
              <w:t>December 31,</w:t>
            </w:r>
          </w:p>
        </w:tc>
        <w:tc>
          <w:tcPr>
            <w:tcW w:w="7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74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Adjusted Property EBITDA </w:t>
            </w:r>
            <w:r>
              <w:rPr>
                <w:rFonts w:ascii="Arial" w:cs="Arial" w:eastAsia="Arial" w:hAnsi="Arial"/>
                <w:sz w:val="10"/>
                <w:szCs w:val="10"/>
                <w:b w:val="1"/>
                <w:bCs w:val="1"/>
                <w:color w:val="auto"/>
              </w:rPr>
              <w:t>(1)</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91"/>
              <w:spacing w:after="0"/>
              <w:rPr>
                <w:sz w:val="20"/>
                <w:szCs w:val="20"/>
                <w:color w:val="auto"/>
              </w:rPr>
            </w:pPr>
            <w:r>
              <w:rPr>
                <w:rFonts w:ascii="Arial" w:cs="Arial" w:eastAsia="Arial" w:hAnsi="Arial"/>
                <w:sz w:val="11"/>
                <w:szCs w:val="11"/>
                <w:b w:val="1"/>
                <w:bCs w:val="1"/>
                <w:color w:val="auto"/>
                <w:w w:val="89"/>
              </w:rPr>
              <w:t>2010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2009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74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tcPr>
          <w:p>
            <w:pPr>
              <w:jc w:val="right"/>
              <w:ind w:right="74"/>
              <w:spacing w:after="0"/>
              <w:rPr>
                <w:sz w:val="20"/>
                <w:szCs w:val="20"/>
                <w:color w:val="auto"/>
              </w:rPr>
            </w:pPr>
            <w:r>
              <w:rPr>
                <w:rFonts w:ascii="Arial" w:cs="Arial" w:eastAsia="Arial" w:hAnsi="Arial"/>
                <w:sz w:val="5"/>
                <w:szCs w:val="5"/>
                <w:color w:val="auto"/>
                <w:w w:val="70"/>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365,187</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0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196,762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4740" w:type="dxa"/>
            <w:vAlign w:val="bottom"/>
          </w:tcPr>
          <w:p>
            <w:pPr>
              <w:ind w:left="180"/>
              <w:spacing w:after="0"/>
              <w:rPr>
                <w:sz w:val="20"/>
                <w:szCs w:val="20"/>
                <w:color w:val="auto"/>
              </w:rPr>
            </w:pPr>
            <w:r>
              <w:rPr>
                <w:rFonts w:ascii="Arial" w:cs="Arial" w:eastAsia="Arial" w:hAnsi="Arial"/>
                <w:sz w:val="14"/>
                <w:szCs w:val="14"/>
                <w:color w:val="auto"/>
              </w:rPr>
              <w:t>Pre-opening costs</w:t>
            </w: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(425)</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(1,448)</w:t>
            </w:r>
          </w:p>
        </w:tc>
        <w:tc>
          <w:tcPr>
            <w:tcW w:w="0" w:type="dxa"/>
            <w:vAlign w:val="bottom"/>
          </w:tcPr>
          <w:p>
            <w:pPr>
              <w:spacing w:after="0"/>
              <w:rPr>
                <w:sz w:val="1"/>
                <w:szCs w:val="1"/>
                <w:color w:val="auto"/>
              </w:rPr>
            </w:pPr>
          </w:p>
        </w:tc>
      </w:tr>
      <w:tr>
        <w:trPr>
          <w:trHeight w:val="149"/>
        </w:trPr>
        <w:tc>
          <w:tcPr>
            <w:tcW w:w="4740" w:type="dxa"/>
            <w:vAlign w:val="bottom"/>
          </w:tcPr>
          <w:p>
            <w:pPr>
              <w:ind w:left="180"/>
              <w:spacing w:after="0" w:line="149" w:lineRule="exact"/>
              <w:rPr>
                <w:sz w:val="20"/>
                <w:szCs w:val="20"/>
                <w:color w:val="auto"/>
              </w:rPr>
            </w:pPr>
            <w:r>
              <w:rPr>
                <w:rFonts w:ascii="Arial" w:cs="Arial" w:eastAsia="Arial" w:hAnsi="Arial"/>
                <w:sz w:val="14"/>
                <w:szCs w:val="14"/>
                <w:color w:val="auto"/>
              </w:rPr>
              <w:t>Depreciation and amortization</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(100,299)</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(104,441)</w:t>
            </w:r>
          </w:p>
        </w:tc>
        <w:tc>
          <w:tcPr>
            <w:tcW w:w="0" w:type="dxa"/>
            <w:vAlign w:val="bottom"/>
          </w:tcPr>
          <w:p>
            <w:pPr>
              <w:spacing w:after="0"/>
              <w:rPr>
                <w:sz w:val="1"/>
                <w:szCs w:val="1"/>
                <w:color w:val="auto"/>
              </w:rPr>
            </w:pPr>
          </w:p>
        </w:tc>
      </w:tr>
      <w:tr>
        <w:trPr>
          <w:trHeight w:val="149"/>
        </w:trPr>
        <w:tc>
          <w:tcPr>
            <w:tcW w:w="4740" w:type="dxa"/>
            <w:vAlign w:val="bottom"/>
          </w:tcPr>
          <w:p>
            <w:pPr>
              <w:ind w:left="180"/>
              <w:spacing w:after="0" w:line="149" w:lineRule="exact"/>
              <w:rPr>
                <w:sz w:val="20"/>
                <w:szCs w:val="20"/>
                <w:color w:val="auto"/>
              </w:rPr>
            </w:pPr>
            <w:r>
              <w:rPr>
                <w:rFonts w:ascii="Arial" w:cs="Arial" w:eastAsia="Arial" w:hAnsi="Arial"/>
                <w:sz w:val="14"/>
                <w:szCs w:val="14"/>
                <w:color w:val="auto"/>
              </w:rPr>
              <w:t>Property charges and other</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(2,845)</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(17,186)</w:t>
            </w:r>
          </w:p>
        </w:tc>
        <w:tc>
          <w:tcPr>
            <w:tcW w:w="0" w:type="dxa"/>
            <w:vAlign w:val="bottom"/>
          </w:tcPr>
          <w:p>
            <w:pPr>
              <w:spacing w:after="0"/>
              <w:rPr>
                <w:sz w:val="1"/>
                <w:szCs w:val="1"/>
                <w:color w:val="auto"/>
              </w:rPr>
            </w:pPr>
          </w:p>
        </w:tc>
      </w:tr>
      <w:tr>
        <w:trPr>
          <w:trHeight w:val="149"/>
        </w:trPr>
        <w:tc>
          <w:tcPr>
            <w:tcW w:w="4740" w:type="dxa"/>
            <w:vAlign w:val="bottom"/>
          </w:tcPr>
          <w:p>
            <w:pPr>
              <w:ind w:left="180"/>
              <w:spacing w:after="0" w:line="149" w:lineRule="exact"/>
              <w:rPr>
                <w:sz w:val="20"/>
                <w:szCs w:val="20"/>
                <w:color w:val="auto"/>
              </w:rPr>
            </w:pPr>
            <w:r>
              <w:rPr>
                <w:rFonts w:ascii="Arial" w:cs="Arial" w:eastAsia="Arial" w:hAnsi="Arial"/>
                <w:sz w:val="14"/>
                <w:szCs w:val="14"/>
                <w:color w:val="auto"/>
              </w:rPr>
              <w:t>Corporate expenses and other</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(24,679)</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(22,334)</w:t>
            </w:r>
          </w:p>
        </w:tc>
        <w:tc>
          <w:tcPr>
            <w:tcW w:w="0" w:type="dxa"/>
            <w:vAlign w:val="bottom"/>
          </w:tcPr>
          <w:p>
            <w:pPr>
              <w:spacing w:after="0"/>
              <w:rPr>
                <w:sz w:val="1"/>
                <w:szCs w:val="1"/>
                <w:color w:val="auto"/>
              </w:rPr>
            </w:pPr>
          </w:p>
        </w:tc>
      </w:tr>
      <w:tr>
        <w:trPr>
          <w:trHeight w:val="149"/>
        </w:trPr>
        <w:tc>
          <w:tcPr>
            <w:tcW w:w="4740" w:type="dxa"/>
            <w:vAlign w:val="bottom"/>
          </w:tcPr>
          <w:p>
            <w:pPr>
              <w:ind w:left="180"/>
              <w:spacing w:after="0" w:line="149" w:lineRule="exact"/>
              <w:rPr>
                <w:sz w:val="20"/>
                <w:szCs w:val="20"/>
                <w:color w:val="auto"/>
              </w:rPr>
            </w:pPr>
            <w:r>
              <w:rPr>
                <w:rFonts w:ascii="Arial" w:cs="Arial" w:eastAsia="Arial" w:hAnsi="Arial"/>
                <w:sz w:val="14"/>
                <w:szCs w:val="14"/>
                <w:color w:val="auto"/>
              </w:rPr>
              <w:t>Stock-based compensation</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(6,447)</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(5,639)</w:t>
            </w:r>
          </w:p>
        </w:tc>
        <w:tc>
          <w:tcPr>
            <w:tcW w:w="0" w:type="dxa"/>
            <w:vAlign w:val="bottom"/>
          </w:tcPr>
          <w:p>
            <w:pPr>
              <w:spacing w:after="0"/>
              <w:rPr>
                <w:sz w:val="1"/>
                <w:szCs w:val="1"/>
                <w:color w:val="auto"/>
              </w:rPr>
            </w:pPr>
          </w:p>
        </w:tc>
      </w:tr>
      <w:tr>
        <w:trPr>
          <w:trHeight w:val="149"/>
        </w:trPr>
        <w:tc>
          <w:tcPr>
            <w:tcW w:w="4740" w:type="dxa"/>
            <w:vAlign w:val="bottom"/>
          </w:tcPr>
          <w:p>
            <w:pPr>
              <w:ind w:left="180"/>
              <w:spacing w:after="0" w:line="149" w:lineRule="exact"/>
              <w:rPr>
                <w:sz w:val="20"/>
                <w:szCs w:val="20"/>
                <w:color w:val="auto"/>
              </w:rPr>
            </w:pPr>
            <w:r>
              <w:rPr>
                <w:rFonts w:ascii="Arial" w:cs="Arial" w:eastAsia="Arial" w:hAnsi="Arial"/>
                <w:sz w:val="14"/>
                <w:szCs w:val="14"/>
                <w:color w:val="auto"/>
              </w:rPr>
              <w:t>Interest income</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686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149"/>
        </w:trPr>
        <w:tc>
          <w:tcPr>
            <w:tcW w:w="4740" w:type="dxa"/>
            <w:vAlign w:val="bottom"/>
          </w:tcPr>
          <w:p>
            <w:pPr>
              <w:ind w:left="180"/>
              <w:spacing w:after="0" w:line="149" w:lineRule="exact"/>
              <w:rPr>
                <w:sz w:val="20"/>
                <w:szCs w:val="20"/>
                <w:color w:val="auto"/>
              </w:rPr>
            </w:pPr>
            <w:r>
              <w:rPr>
                <w:rFonts w:ascii="Arial" w:cs="Arial" w:eastAsia="Arial" w:hAnsi="Arial"/>
                <w:sz w:val="14"/>
                <w:szCs w:val="14"/>
                <w:color w:val="auto"/>
              </w:rPr>
              <w:t>Interest expense, net of capitalized interest</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(59,663)</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(50,524)</w:t>
            </w:r>
          </w:p>
        </w:tc>
        <w:tc>
          <w:tcPr>
            <w:tcW w:w="0" w:type="dxa"/>
            <w:vAlign w:val="bottom"/>
          </w:tcPr>
          <w:p>
            <w:pPr>
              <w:spacing w:after="0"/>
              <w:rPr>
                <w:sz w:val="1"/>
                <w:szCs w:val="1"/>
                <w:color w:val="auto"/>
              </w:rPr>
            </w:pPr>
          </w:p>
        </w:tc>
      </w:tr>
      <w:tr>
        <w:trPr>
          <w:trHeight w:val="149"/>
        </w:trPr>
        <w:tc>
          <w:tcPr>
            <w:tcW w:w="4740" w:type="dxa"/>
            <w:vAlign w:val="bottom"/>
          </w:tcPr>
          <w:p>
            <w:pPr>
              <w:ind w:left="180"/>
              <w:spacing w:after="0" w:line="149" w:lineRule="exact"/>
              <w:rPr>
                <w:sz w:val="20"/>
                <w:szCs w:val="20"/>
                <w:color w:val="auto"/>
              </w:rPr>
            </w:pPr>
            <w:r>
              <w:rPr>
                <w:rFonts w:ascii="Arial" w:cs="Arial" w:eastAsia="Arial" w:hAnsi="Arial"/>
                <w:sz w:val="14"/>
                <w:szCs w:val="14"/>
                <w:color w:val="auto"/>
              </w:rPr>
              <w:t>Increase (decrease) in swap fair value</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4,749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(1,270)</w:t>
            </w:r>
          </w:p>
        </w:tc>
        <w:tc>
          <w:tcPr>
            <w:tcW w:w="0" w:type="dxa"/>
            <w:vAlign w:val="bottom"/>
          </w:tcPr>
          <w:p>
            <w:pPr>
              <w:spacing w:after="0"/>
              <w:rPr>
                <w:sz w:val="1"/>
                <w:szCs w:val="1"/>
                <w:color w:val="auto"/>
              </w:rPr>
            </w:pPr>
          </w:p>
        </w:tc>
      </w:tr>
      <w:tr>
        <w:trPr>
          <w:trHeight w:val="149"/>
        </w:trPr>
        <w:tc>
          <w:tcPr>
            <w:tcW w:w="4740" w:type="dxa"/>
            <w:vAlign w:val="bottom"/>
          </w:tcPr>
          <w:p>
            <w:pPr>
              <w:ind w:left="180"/>
              <w:spacing w:after="0" w:line="149" w:lineRule="exact"/>
              <w:rPr>
                <w:sz w:val="20"/>
                <w:szCs w:val="20"/>
                <w:color w:val="auto"/>
              </w:rPr>
            </w:pPr>
            <w:r>
              <w:rPr>
                <w:rFonts w:ascii="Arial" w:cs="Arial" w:eastAsia="Arial" w:hAnsi="Arial"/>
                <w:sz w:val="14"/>
                <w:szCs w:val="14"/>
                <w:color w:val="auto"/>
              </w:rPr>
              <w:t>Loss on extinguishment of debt</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(623)</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(3,779)</w:t>
            </w:r>
          </w:p>
        </w:tc>
        <w:tc>
          <w:tcPr>
            <w:tcW w:w="0" w:type="dxa"/>
            <w:vAlign w:val="bottom"/>
          </w:tcPr>
          <w:p>
            <w:pPr>
              <w:spacing w:after="0"/>
              <w:rPr>
                <w:sz w:val="1"/>
                <w:szCs w:val="1"/>
                <w:color w:val="auto"/>
              </w:rPr>
            </w:pPr>
          </w:p>
        </w:tc>
      </w:tr>
      <w:tr>
        <w:trPr>
          <w:trHeight w:val="149"/>
        </w:trPr>
        <w:tc>
          <w:tcPr>
            <w:tcW w:w="4740" w:type="dxa"/>
            <w:vAlign w:val="bottom"/>
          </w:tcPr>
          <w:p>
            <w:pPr>
              <w:ind w:left="180"/>
              <w:spacing w:after="0" w:line="149" w:lineRule="exact"/>
              <w:rPr>
                <w:sz w:val="20"/>
                <w:szCs w:val="20"/>
                <w:color w:val="auto"/>
              </w:rPr>
            </w:pPr>
            <w:r>
              <w:rPr>
                <w:rFonts w:ascii="Arial" w:cs="Arial" w:eastAsia="Arial" w:hAnsi="Arial"/>
                <w:sz w:val="14"/>
                <w:szCs w:val="14"/>
                <w:color w:val="auto"/>
              </w:rPr>
              <w:t>Other</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671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67"/>
        </w:trPr>
        <w:tc>
          <w:tcPr>
            <w:tcW w:w="4740" w:type="dxa"/>
            <w:vAlign w:val="bottom"/>
          </w:tcPr>
          <w:p>
            <w:pPr>
              <w:ind w:left="180"/>
              <w:spacing w:after="0"/>
              <w:rPr>
                <w:sz w:val="20"/>
                <w:szCs w:val="20"/>
                <w:color w:val="auto"/>
              </w:rPr>
            </w:pPr>
            <w:r>
              <w:rPr>
                <w:rFonts w:ascii="Arial" w:cs="Arial" w:eastAsia="Arial" w:hAnsi="Arial"/>
                <w:sz w:val="14"/>
                <w:szCs w:val="14"/>
                <w:color w:val="auto"/>
              </w:rPr>
              <w:t>(Provision) benefit for income taxes</w:t>
            </w: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(4,438)</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22,613</w:t>
            </w:r>
          </w:p>
        </w:tc>
        <w:tc>
          <w:tcPr>
            <w:tcW w:w="0" w:type="dxa"/>
            <w:vAlign w:val="bottom"/>
          </w:tcPr>
          <w:p>
            <w:pPr>
              <w:spacing w:after="0"/>
              <w:rPr>
                <w:sz w:val="1"/>
                <w:szCs w:val="1"/>
                <w:color w:val="auto"/>
              </w:rPr>
            </w:pPr>
          </w:p>
        </w:tc>
      </w:tr>
      <w:tr>
        <w:trPr>
          <w:trHeight w:val="123"/>
        </w:trPr>
        <w:tc>
          <w:tcPr>
            <w:tcW w:w="4740" w:type="dxa"/>
            <w:vAlign w:val="bottom"/>
          </w:tcPr>
          <w:p>
            <w:pPr>
              <w:spacing w:after="0" w:line="123" w:lineRule="exact"/>
              <w:rPr>
                <w:sz w:val="20"/>
                <w:szCs w:val="20"/>
                <w:color w:val="auto"/>
              </w:rPr>
            </w:pPr>
            <w:r>
              <w:rPr>
                <w:rFonts w:ascii="Arial" w:cs="Arial" w:eastAsia="Arial" w:hAnsi="Arial"/>
                <w:sz w:val="14"/>
                <w:szCs w:val="14"/>
                <w:color w:val="auto"/>
              </w:rPr>
              <w:t>Net income</w:t>
            </w:r>
          </w:p>
        </w:tc>
        <w:tc>
          <w:tcPr>
            <w:tcW w:w="1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right"/>
              <w:ind w:right="20"/>
              <w:spacing w:after="0" w:line="123" w:lineRule="exact"/>
              <w:rPr>
                <w:sz w:val="20"/>
                <w:szCs w:val="20"/>
                <w:color w:val="auto"/>
              </w:rPr>
            </w:pPr>
            <w:r>
              <w:rPr>
                <w:rFonts w:ascii="Arial" w:cs="Arial" w:eastAsia="Arial" w:hAnsi="Arial"/>
                <w:sz w:val="14"/>
                <w:szCs w:val="14"/>
                <w:color w:val="auto"/>
              </w:rPr>
              <w:t>171,874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13,232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740" w:type="dxa"/>
            <w:vAlign w:val="bottom"/>
          </w:tcPr>
          <w:p>
            <w:pPr>
              <w:ind w:left="180"/>
              <w:spacing w:after="0"/>
              <w:rPr>
                <w:sz w:val="20"/>
                <w:szCs w:val="20"/>
                <w:color w:val="auto"/>
              </w:rPr>
            </w:pPr>
            <w:r>
              <w:rPr>
                <w:rFonts w:ascii="Arial" w:cs="Arial" w:eastAsia="Arial" w:hAnsi="Arial"/>
                <w:sz w:val="14"/>
                <w:szCs w:val="14"/>
                <w:color w:val="auto"/>
              </w:rPr>
              <w:t>Less: Net income attributable to noncontrolling interests</w:t>
            </w: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(57,632)</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(18,453)</w:t>
            </w:r>
          </w:p>
        </w:tc>
        <w:tc>
          <w:tcPr>
            <w:tcW w:w="0" w:type="dxa"/>
            <w:vAlign w:val="bottom"/>
          </w:tcPr>
          <w:p>
            <w:pPr>
              <w:spacing w:after="0"/>
              <w:rPr>
                <w:sz w:val="1"/>
                <w:szCs w:val="1"/>
                <w:color w:val="auto"/>
              </w:rPr>
            </w:pPr>
          </w:p>
        </w:tc>
      </w:tr>
      <w:tr>
        <w:trPr>
          <w:trHeight w:val="142"/>
        </w:trPr>
        <w:tc>
          <w:tcPr>
            <w:tcW w:w="4740" w:type="dxa"/>
            <w:vAlign w:val="bottom"/>
          </w:tcPr>
          <w:p>
            <w:pPr>
              <w:spacing w:after="0" w:line="142" w:lineRule="exact"/>
              <w:rPr>
                <w:sz w:val="20"/>
                <w:szCs w:val="20"/>
                <w:color w:val="auto"/>
              </w:rPr>
            </w:pPr>
            <w:r>
              <w:rPr>
                <w:rFonts w:ascii="Arial" w:cs="Arial" w:eastAsia="Arial" w:hAnsi="Arial"/>
                <w:sz w:val="14"/>
                <w:szCs w:val="14"/>
                <w:color w:val="auto"/>
              </w:rPr>
              <w:t>Net income (loss) attributable to Wynn Resorts, Limited</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gridSpan w:val="2"/>
          </w:tcPr>
          <w:p>
            <w:pPr>
              <w:jc w:val="right"/>
              <w:ind w:right="74"/>
              <w:spacing w:after="0"/>
              <w:rPr>
                <w:sz w:val="20"/>
                <w:szCs w:val="20"/>
                <w:color w:val="auto"/>
              </w:rPr>
            </w:pPr>
            <w:r>
              <w:rPr>
                <w:rFonts w:ascii="Arial" w:cs="Arial" w:eastAsia="Arial" w:hAnsi="Arial"/>
                <w:sz w:val="5"/>
                <w:szCs w:val="5"/>
                <w:color w:val="auto"/>
                <w:w w:val="70"/>
              </w:rPr>
              <w:t>$</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114,242</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42" w:right="299" w:bottom="1440" w:gutter="0" w:footer="0" w:header="0"/>
        </w:sectPr>
      </w:pPr>
    </w:p>
    <w:bookmarkStart w:id="10" w:name="page11"/>
    <w:bookmarkEnd w:id="10"/>
    <w:p>
      <w:pPr>
        <w:jc w:val="center"/>
        <w:ind w:right="-59"/>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RECONCILIATION OF OPERATING INCOME (LOSS) TO ADJUSTED PROPERTY EBITDA</w:t>
      </w:r>
    </w:p>
    <w:p>
      <w:pPr>
        <w:jc w:val="center"/>
        <w:ind w:right="-59"/>
        <w:spacing w:after="0" w:line="234" w:lineRule="auto"/>
        <w:rPr>
          <w:sz w:val="20"/>
          <w:szCs w:val="20"/>
          <w:color w:val="auto"/>
        </w:rPr>
      </w:pPr>
      <w:r>
        <w:rPr>
          <w:rFonts w:ascii="Arial" w:cs="Arial" w:eastAsia="Arial" w:hAnsi="Arial"/>
          <w:sz w:val="18"/>
          <w:szCs w:val="18"/>
          <w:color w:val="auto"/>
        </w:rPr>
        <w:t>AND ADJUSTED PROPERTY EBITDA TO NET INCOME ATTRIBUTABLE TO WYNN RESORTS, LIMITED</w:t>
      </w:r>
    </w:p>
    <w:p>
      <w:pPr>
        <w:jc w:val="center"/>
        <w:ind w:right="-59"/>
        <w:spacing w:after="0" w:line="235" w:lineRule="auto"/>
        <w:rPr>
          <w:sz w:val="20"/>
          <w:szCs w:val="20"/>
          <w:color w:val="auto"/>
        </w:rPr>
      </w:pPr>
      <w:r>
        <w:rPr>
          <w:rFonts w:ascii="Arial" w:cs="Arial" w:eastAsia="Arial" w:hAnsi="Arial"/>
          <w:sz w:val="18"/>
          <w:szCs w:val="18"/>
          <w:color w:val="auto"/>
        </w:rPr>
        <w:t>(amounts in thousands)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440" w:type="dxa"/>
            <w:vAlign w:val="bottom"/>
            <w:tcBorders>
              <w:bottom w:val="single" w:sz="8" w:color="auto"/>
            </w:tcBorders>
            <w:gridSpan w:val="8"/>
          </w:tcPr>
          <w:p>
            <w:pPr>
              <w:jc w:val="right"/>
              <w:ind w:right="680"/>
              <w:spacing w:after="0"/>
              <w:rPr>
                <w:sz w:val="20"/>
                <w:szCs w:val="20"/>
                <w:color w:val="auto"/>
              </w:rPr>
            </w:pPr>
            <w:r>
              <w:rPr>
                <w:rFonts w:ascii="Arial" w:cs="Arial" w:eastAsia="Arial" w:hAnsi="Arial"/>
                <w:sz w:val="11"/>
                <w:szCs w:val="11"/>
                <w:b w:val="1"/>
                <w:bCs w:val="1"/>
                <w:color w:val="auto"/>
              </w:rPr>
              <w:t>Year Ended December 31, 2010</w:t>
            </w: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7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gridSpan w:val="3"/>
          </w:tcPr>
          <w:p>
            <w:pPr>
              <w:jc w:val="center"/>
              <w:ind w:right="360"/>
              <w:spacing w:after="0" w:line="102" w:lineRule="exact"/>
              <w:rPr>
                <w:sz w:val="20"/>
                <w:szCs w:val="20"/>
                <w:color w:val="auto"/>
              </w:rPr>
            </w:pPr>
            <w:r>
              <w:rPr>
                <w:rFonts w:ascii="Arial" w:cs="Arial" w:eastAsia="Arial" w:hAnsi="Arial"/>
                <w:sz w:val="11"/>
                <w:szCs w:val="11"/>
                <w:b w:val="1"/>
                <w:bCs w:val="1"/>
                <w:color w:val="auto"/>
                <w:w w:val="88"/>
              </w:rPr>
              <w:t>Wynn Las</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gridSpan w:val="2"/>
          </w:tcPr>
          <w:p>
            <w:pPr>
              <w:jc w:val="center"/>
              <w:ind w:right="400"/>
              <w:spacing w:after="0" w:line="102" w:lineRule="exact"/>
              <w:rPr>
                <w:sz w:val="20"/>
                <w:szCs w:val="20"/>
                <w:color w:val="auto"/>
              </w:rPr>
            </w:pPr>
            <w:r>
              <w:rPr>
                <w:rFonts w:ascii="Arial" w:cs="Arial" w:eastAsia="Arial" w:hAnsi="Arial"/>
                <w:sz w:val="11"/>
                <w:szCs w:val="11"/>
                <w:b w:val="1"/>
                <w:bCs w:val="1"/>
                <w:color w:val="auto"/>
                <w:w w:val="93"/>
              </w:rPr>
              <w:t>Wynn</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3"/>
          </w:tcPr>
          <w:p>
            <w:pPr>
              <w:jc w:val="center"/>
              <w:ind w:right="280"/>
              <w:spacing w:after="0" w:line="102" w:lineRule="exact"/>
              <w:rPr>
                <w:sz w:val="20"/>
                <w:szCs w:val="20"/>
                <w:color w:val="auto"/>
              </w:rPr>
            </w:pPr>
            <w:r>
              <w:rPr>
                <w:rFonts w:ascii="Arial" w:cs="Arial" w:eastAsia="Arial" w:hAnsi="Arial"/>
                <w:sz w:val="11"/>
                <w:szCs w:val="11"/>
                <w:b w:val="1"/>
                <w:bCs w:val="1"/>
                <w:color w:val="auto"/>
                <w:w w:val="90"/>
              </w:rPr>
              <w:t>Corporate and</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740" w:type="dxa"/>
            <w:vAlign w:val="bottom"/>
            <w:vMerge w:val="restart"/>
          </w:tcPr>
          <w:p>
            <w:pPr>
              <w:spacing w:after="0"/>
              <w:rPr>
                <w:sz w:val="20"/>
                <w:szCs w:val="20"/>
                <w:color w:val="auto"/>
              </w:rPr>
            </w:pPr>
            <w:r>
              <w:rPr>
                <w:rFonts w:ascii="Arial" w:cs="Arial" w:eastAsia="Arial" w:hAnsi="Arial"/>
                <w:sz w:val="14"/>
                <w:szCs w:val="14"/>
                <w:b w:val="1"/>
                <w:bCs w:val="1"/>
                <w:color w:val="auto"/>
              </w:rPr>
              <w:t>Operating income (loss)</w:t>
            </w: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1"/>
                <w:szCs w:val="11"/>
                <w:b w:val="1"/>
                <w:bCs w:val="1"/>
                <w:color w:val="auto"/>
                <w:w w:val="80"/>
              </w:rPr>
              <w:t>Vegas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2"/>
              </w:rPr>
              <w:t>Macau, Ltd.</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1"/>
                <w:szCs w:val="11"/>
                <w:b w:val="1"/>
                <w:bCs w:val="1"/>
                <w:color w:val="auto"/>
                <w:w w:val="95"/>
              </w:rPr>
              <w:t>Other</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ind w:left="12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76"/>
        </w:trPr>
        <w:tc>
          <w:tcPr>
            <w:tcW w:w="474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Borders>
              <w:top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(81,314)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604,443</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jc w:val="right"/>
              <w:ind w:right="54"/>
              <w:spacing w:after="0"/>
              <w:rPr>
                <w:sz w:val="20"/>
                <w:szCs w:val="20"/>
                <w:color w:val="auto"/>
              </w:rPr>
            </w:pPr>
            <w:r>
              <w:rPr>
                <w:rFonts w:ascii="Arial" w:cs="Arial" w:eastAsia="Arial" w:hAnsi="Arial"/>
                <w:sz w:val="5"/>
                <w:szCs w:val="5"/>
                <w:color w:val="auto"/>
                <w:w w:val="70"/>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102,123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625,252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4740" w:type="dxa"/>
            <w:vAlign w:val="bottom"/>
          </w:tcPr>
          <w:p>
            <w:pPr>
              <w:ind w:left="180"/>
              <w:spacing w:after="0"/>
              <w:rPr>
                <w:sz w:val="20"/>
                <w:szCs w:val="20"/>
                <w:color w:val="auto"/>
              </w:rPr>
            </w:pPr>
            <w:r>
              <w:rPr>
                <w:rFonts w:ascii="Arial" w:cs="Arial" w:eastAsia="Arial" w:hAnsi="Arial"/>
                <w:sz w:val="14"/>
                <w:szCs w:val="14"/>
                <w:color w:val="auto"/>
              </w:rPr>
              <w:t>Pre-opening costs</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2,479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7,017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9,496</w:t>
            </w:r>
          </w:p>
        </w:tc>
        <w:tc>
          <w:tcPr>
            <w:tcW w:w="0" w:type="dxa"/>
            <w:vAlign w:val="bottom"/>
          </w:tcPr>
          <w:p>
            <w:pPr>
              <w:spacing w:after="0"/>
              <w:rPr>
                <w:sz w:val="1"/>
                <w:szCs w:val="1"/>
                <w:color w:val="auto"/>
              </w:rPr>
            </w:pPr>
          </w:p>
        </w:tc>
      </w:tr>
      <w:tr>
        <w:trPr>
          <w:trHeight w:val="149"/>
        </w:trPr>
        <w:tc>
          <w:tcPr>
            <w:tcW w:w="4740" w:type="dxa"/>
            <w:vAlign w:val="bottom"/>
          </w:tcPr>
          <w:p>
            <w:pPr>
              <w:ind w:left="180"/>
              <w:spacing w:after="0" w:line="149" w:lineRule="exact"/>
              <w:rPr>
                <w:sz w:val="20"/>
                <w:szCs w:val="20"/>
                <w:color w:val="auto"/>
              </w:rPr>
            </w:pPr>
            <w:r>
              <w:rPr>
                <w:rFonts w:ascii="Arial" w:cs="Arial" w:eastAsia="Arial" w:hAnsi="Arial"/>
                <w:sz w:val="14"/>
                <w:szCs w:val="14"/>
                <w:color w:val="auto"/>
              </w:rPr>
              <w:t>Depreciation and amortization</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274,305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128,519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2,734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405,558</w:t>
            </w:r>
          </w:p>
        </w:tc>
        <w:tc>
          <w:tcPr>
            <w:tcW w:w="0" w:type="dxa"/>
            <w:vAlign w:val="bottom"/>
          </w:tcPr>
          <w:p>
            <w:pPr>
              <w:spacing w:after="0"/>
              <w:rPr>
                <w:sz w:val="1"/>
                <w:szCs w:val="1"/>
                <w:color w:val="auto"/>
              </w:rPr>
            </w:pPr>
          </w:p>
        </w:tc>
      </w:tr>
      <w:tr>
        <w:trPr>
          <w:trHeight w:val="149"/>
        </w:trPr>
        <w:tc>
          <w:tcPr>
            <w:tcW w:w="4740" w:type="dxa"/>
            <w:vAlign w:val="bottom"/>
          </w:tcPr>
          <w:p>
            <w:pPr>
              <w:ind w:left="180"/>
              <w:spacing w:after="0" w:line="149" w:lineRule="exact"/>
              <w:rPr>
                <w:sz w:val="20"/>
                <w:szCs w:val="20"/>
                <w:color w:val="auto"/>
              </w:rPr>
            </w:pPr>
            <w:r>
              <w:rPr>
                <w:rFonts w:ascii="Arial" w:cs="Arial" w:eastAsia="Arial" w:hAnsi="Arial"/>
                <w:sz w:val="14"/>
                <w:szCs w:val="14"/>
                <w:color w:val="auto"/>
              </w:rPr>
              <w:t>Property charges and other</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19,017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6,038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25,219</w:t>
            </w:r>
          </w:p>
        </w:tc>
        <w:tc>
          <w:tcPr>
            <w:tcW w:w="0" w:type="dxa"/>
            <w:vAlign w:val="bottom"/>
          </w:tcPr>
          <w:p>
            <w:pPr>
              <w:spacing w:after="0"/>
              <w:rPr>
                <w:sz w:val="1"/>
                <w:szCs w:val="1"/>
                <w:color w:val="auto"/>
              </w:rPr>
            </w:pPr>
          </w:p>
        </w:tc>
      </w:tr>
      <w:tr>
        <w:trPr>
          <w:trHeight w:val="149"/>
        </w:trPr>
        <w:tc>
          <w:tcPr>
            <w:tcW w:w="4740" w:type="dxa"/>
            <w:vAlign w:val="bottom"/>
          </w:tcPr>
          <w:p>
            <w:pPr>
              <w:ind w:left="180"/>
              <w:spacing w:after="0" w:line="149" w:lineRule="exact"/>
              <w:rPr>
                <w:sz w:val="20"/>
                <w:szCs w:val="20"/>
                <w:color w:val="auto"/>
              </w:rPr>
            </w:pPr>
            <w:r>
              <w:rPr>
                <w:rFonts w:ascii="Arial" w:cs="Arial" w:eastAsia="Arial" w:hAnsi="Arial"/>
                <w:sz w:val="14"/>
                <w:szCs w:val="14"/>
                <w:color w:val="auto"/>
              </w:rPr>
              <w:t>Management and royalty fees</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19,459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114,904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(134,363)</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40" w:type="dxa"/>
            <w:vAlign w:val="bottom"/>
          </w:tcPr>
          <w:p>
            <w:pPr>
              <w:ind w:left="180"/>
              <w:spacing w:after="0" w:line="149" w:lineRule="exact"/>
              <w:rPr>
                <w:sz w:val="20"/>
                <w:szCs w:val="20"/>
                <w:color w:val="auto"/>
              </w:rPr>
            </w:pPr>
            <w:r>
              <w:rPr>
                <w:rFonts w:ascii="Arial" w:cs="Arial" w:eastAsia="Arial" w:hAnsi="Arial"/>
                <w:sz w:val="14"/>
                <w:szCs w:val="14"/>
                <w:color w:val="auto"/>
              </w:rPr>
              <w:t>Corporate expense and other</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24,766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26,668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18,057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69,491</w:t>
            </w:r>
          </w:p>
        </w:tc>
        <w:tc>
          <w:tcPr>
            <w:tcW w:w="0" w:type="dxa"/>
            <w:vAlign w:val="bottom"/>
          </w:tcPr>
          <w:p>
            <w:pPr>
              <w:spacing w:after="0"/>
              <w:rPr>
                <w:sz w:val="1"/>
                <w:szCs w:val="1"/>
                <w:color w:val="auto"/>
              </w:rPr>
            </w:pPr>
          </w:p>
        </w:tc>
      </w:tr>
      <w:tr>
        <w:trPr>
          <w:trHeight w:val="149"/>
        </w:trPr>
        <w:tc>
          <w:tcPr>
            <w:tcW w:w="4740" w:type="dxa"/>
            <w:vAlign w:val="bottom"/>
          </w:tcPr>
          <w:p>
            <w:pPr>
              <w:ind w:left="180"/>
              <w:spacing w:after="0" w:line="149" w:lineRule="exact"/>
              <w:rPr>
                <w:sz w:val="20"/>
                <w:szCs w:val="20"/>
                <w:color w:val="auto"/>
              </w:rPr>
            </w:pPr>
            <w:r>
              <w:rPr>
                <w:rFonts w:ascii="Arial" w:cs="Arial" w:eastAsia="Arial" w:hAnsi="Arial"/>
                <w:sz w:val="14"/>
                <w:szCs w:val="14"/>
                <w:color w:val="auto"/>
              </w:rPr>
              <w:t>Stock-based compensation</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11,278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5,097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10,793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27,168</w:t>
            </w:r>
          </w:p>
        </w:tc>
        <w:tc>
          <w:tcPr>
            <w:tcW w:w="0" w:type="dxa"/>
            <w:vAlign w:val="bottom"/>
          </w:tcPr>
          <w:p>
            <w:pPr>
              <w:spacing w:after="0"/>
              <w:rPr>
                <w:sz w:val="1"/>
                <w:szCs w:val="1"/>
                <w:color w:val="auto"/>
              </w:rPr>
            </w:pPr>
          </w:p>
        </w:tc>
      </w:tr>
      <w:tr>
        <w:trPr>
          <w:trHeight w:val="167"/>
        </w:trPr>
        <w:tc>
          <w:tcPr>
            <w:tcW w:w="4740" w:type="dxa"/>
            <w:vAlign w:val="bottom"/>
          </w:tcPr>
          <w:p>
            <w:pPr>
              <w:ind w:left="180"/>
              <w:spacing w:after="0"/>
              <w:rPr>
                <w:sz w:val="20"/>
                <w:szCs w:val="20"/>
                <w:color w:val="auto"/>
              </w:rPr>
            </w:pPr>
            <w:r>
              <w:rPr>
                <w:rFonts w:ascii="Arial" w:cs="Arial" w:eastAsia="Arial" w:hAnsi="Arial"/>
                <w:sz w:val="14"/>
                <w:szCs w:val="14"/>
                <w:color w:val="auto"/>
              </w:rPr>
              <w:t>Equity in income from unconsolidated affiliates</w:t>
            </w:r>
          </w:p>
        </w:tc>
        <w:tc>
          <w:tcPr>
            <w:tcW w:w="1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4740" w:type="dxa"/>
            <w:vAlign w:val="bottom"/>
          </w:tcPr>
          <w:p>
            <w:pPr>
              <w:spacing w:after="0"/>
              <w:rPr>
                <w:sz w:val="20"/>
                <w:szCs w:val="20"/>
                <w:color w:val="auto"/>
              </w:rPr>
            </w:pPr>
            <w:r>
              <w:rPr>
                <w:rFonts w:ascii="Arial" w:cs="Arial" w:eastAsia="Arial" w:hAnsi="Arial"/>
                <w:sz w:val="14"/>
                <w:szCs w:val="14"/>
                <w:b w:val="1"/>
                <w:bCs w:val="1"/>
                <w:color w:val="auto"/>
              </w:rPr>
              <w:t>Adjusted Property EBITDA</w:t>
            </w:r>
            <w:r>
              <w:rPr>
                <w:rFonts w:ascii="Arial" w:cs="Arial" w:eastAsia="Arial" w:hAnsi="Arial"/>
                <w:sz w:val="10"/>
                <w:szCs w:val="10"/>
                <w:b w:val="1"/>
                <w:bCs w:val="1"/>
                <w:color w:val="auto"/>
              </w:rPr>
              <w:t>(1)</w:t>
            </w:r>
          </w:p>
        </w:tc>
        <w:tc>
          <w:tcPr>
            <w:tcW w:w="154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270,299</w:t>
            </w:r>
          </w:p>
        </w:tc>
        <w:tc>
          <w:tcPr>
            <w:tcW w:w="120" w:type="dxa"/>
            <w:vAlign w:val="bottom"/>
          </w:tcPr>
          <w:p>
            <w:pPr>
              <w:spacing w:after="0"/>
              <w:rPr>
                <w:sz w:val="24"/>
                <w:szCs w:val="24"/>
                <w:color w:val="auto"/>
              </w:rPr>
            </w:pPr>
          </w:p>
        </w:tc>
        <w:tc>
          <w:tcPr>
            <w:tcW w:w="28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892,686</w:t>
            </w:r>
          </w:p>
        </w:tc>
        <w:tc>
          <w:tcPr>
            <w:tcW w:w="160" w:type="dxa"/>
            <w:vAlign w:val="bottom"/>
            <w:gridSpan w:val="3"/>
          </w:tcPr>
          <w:p>
            <w:pPr>
              <w:jc w:val="right"/>
              <w:ind w:right="54"/>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400" w:type="dxa"/>
            <w:vAlign w:val="bottom"/>
            <w:gridSpan w:val="2"/>
          </w:tcPr>
          <w:p>
            <w:pPr>
              <w:jc w:val="right"/>
              <w:ind w:right="209"/>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1,162,985</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4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8"/>
          </w:tcPr>
          <w:p>
            <w:pPr>
              <w:jc w:val="right"/>
              <w:ind w:right="680"/>
              <w:spacing w:after="0"/>
              <w:rPr>
                <w:sz w:val="20"/>
                <w:szCs w:val="20"/>
                <w:color w:val="auto"/>
              </w:rPr>
            </w:pPr>
            <w:r>
              <w:rPr>
                <w:rFonts w:ascii="Arial" w:cs="Arial" w:eastAsia="Arial" w:hAnsi="Arial"/>
                <w:sz w:val="11"/>
                <w:szCs w:val="11"/>
                <w:b w:val="1"/>
                <w:bCs w:val="1"/>
                <w:color w:val="auto"/>
              </w:rPr>
              <w:t>Year Ended December 31, 2009</w:t>
            </w: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7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gridSpan w:val="3"/>
          </w:tcPr>
          <w:p>
            <w:pPr>
              <w:jc w:val="center"/>
              <w:ind w:right="360"/>
              <w:spacing w:after="0" w:line="102" w:lineRule="exact"/>
              <w:rPr>
                <w:sz w:val="20"/>
                <w:szCs w:val="20"/>
                <w:color w:val="auto"/>
              </w:rPr>
            </w:pPr>
            <w:r>
              <w:rPr>
                <w:rFonts w:ascii="Arial" w:cs="Arial" w:eastAsia="Arial" w:hAnsi="Arial"/>
                <w:sz w:val="11"/>
                <w:szCs w:val="11"/>
                <w:b w:val="1"/>
                <w:bCs w:val="1"/>
                <w:color w:val="auto"/>
                <w:w w:val="88"/>
              </w:rPr>
              <w:t>Wynn Las</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gridSpan w:val="2"/>
          </w:tcPr>
          <w:p>
            <w:pPr>
              <w:jc w:val="center"/>
              <w:ind w:right="400"/>
              <w:spacing w:after="0" w:line="102" w:lineRule="exact"/>
              <w:rPr>
                <w:sz w:val="20"/>
                <w:szCs w:val="20"/>
                <w:color w:val="auto"/>
              </w:rPr>
            </w:pPr>
            <w:r>
              <w:rPr>
                <w:rFonts w:ascii="Arial" w:cs="Arial" w:eastAsia="Arial" w:hAnsi="Arial"/>
                <w:sz w:val="11"/>
                <w:szCs w:val="11"/>
                <w:b w:val="1"/>
                <w:bCs w:val="1"/>
                <w:color w:val="auto"/>
                <w:w w:val="93"/>
              </w:rPr>
              <w:t>Wynn</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3"/>
          </w:tcPr>
          <w:p>
            <w:pPr>
              <w:jc w:val="center"/>
              <w:ind w:right="280"/>
              <w:spacing w:after="0" w:line="102" w:lineRule="exact"/>
              <w:rPr>
                <w:sz w:val="20"/>
                <w:szCs w:val="20"/>
                <w:color w:val="auto"/>
              </w:rPr>
            </w:pPr>
            <w:r>
              <w:rPr>
                <w:rFonts w:ascii="Arial" w:cs="Arial" w:eastAsia="Arial" w:hAnsi="Arial"/>
                <w:sz w:val="11"/>
                <w:szCs w:val="11"/>
                <w:b w:val="1"/>
                <w:bCs w:val="1"/>
                <w:color w:val="auto"/>
                <w:w w:val="90"/>
              </w:rPr>
              <w:t>Corporate and</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740" w:type="dxa"/>
            <w:vAlign w:val="bottom"/>
            <w:vMerge w:val="restart"/>
          </w:tcPr>
          <w:p>
            <w:pPr>
              <w:spacing w:after="0"/>
              <w:rPr>
                <w:sz w:val="20"/>
                <w:szCs w:val="20"/>
                <w:color w:val="auto"/>
              </w:rPr>
            </w:pPr>
            <w:r>
              <w:rPr>
                <w:rFonts w:ascii="Arial" w:cs="Arial" w:eastAsia="Arial" w:hAnsi="Arial"/>
                <w:sz w:val="14"/>
                <w:szCs w:val="14"/>
                <w:b w:val="1"/>
                <w:bCs w:val="1"/>
                <w:color w:val="auto"/>
              </w:rPr>
              <w:t>Operating income (loss)</w:t>
            </w: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1"/>
                <w:szCs w:val="11"/>
                <w:b w:val="1"/>
                <w:bCs w:val="1"/>
                <w:color w:val="auto"/>
                <w:w w:val="80"/>
              </w:rPr>
              <w:t>Vegas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2"/>
              </w:rPr>
              <w:t>Macau, Ltd.</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1"/>
                <w:szCs w:val="11"/>
                <w:b w:val="1"/>
                <w:bCs w:val="1"/>
                <w:color w:val="auto"/>
                <w:w w:val="95"/>
              </w:rPr>
              <w:t>Other</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ind w:left="12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76"/>
        </w:trPr>
        <w:tc>
          <w:tcPr>
            <w:tcW w:w="474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Borders>
              <w:top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(144,279)</w:t>
            </w:r>
          </w:p>
        </w:tc>
        <w:tc>
          <w:tcPr>
            <w:tcW w:w="1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315,017</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jc w:val="right"/>
              <w:ind w:right="54"/>
              <w:spacing w:after="0"/>
              <w:rPr>
                <w:sz w:val="20"/>
                <w:szCs w:val="20"/>
                <w:color w:val="auto"/>
              </w:rPr>
            </w:pPr>
            <w:r>
              <w:rPr>
                <w:rFonts w:ascii="Arial" w:cs="Arial" w:eastAsia="Arial" w:hAnsi="Arial"/>
                <w:sz w:val="5"/>
                <w:szCs w:val="5"/>
                <w:color w:val="auto"/>
                <w:w w:val="70"/>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64,225</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234,963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4740" w:type="dxa"/>
            <w:vAlign w:val="bottom"/>
          </w:tcPr>
          <w:p>
            <w:pPr>
              <w:ind w:left="180"/>
              <w:spacing w:after="0"/>
              <w:rPr>
                <w:sz w:val="20"/>
                <w:szCs w:val="20"/>
                <w:color w:val="auto"/>
              </w:rPr>
            </w:pPr>
            <w:r>
              <w:rPr>
                <w:rFonts w:ascii="Arial" w:cs="Arial" w:eastAsia="Arial" w:hAnsi="Arial"/>
                <w:sz w:val="14"/>
                <w:szCs w:val="14"/>
                <w:color w:val="auto"/>
              </w:rPr>
              <w:t>Pre-opening costs</w:t>
            </w: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346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1,471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1,817</w:t>
            </w:r>
          </w:p>
        </w:tc>
        <w:tc>
          <w:tcPr>
            <w:tcW w:w="0" w:type="dxa"/>
            <w:vAlign w:val="bottom"/>
          </w:tcPr>
          <w:p>
            <w:pPr>
              <w:spacing w:after="0"/>
              <w:rPr>
                <w:sz w:val="1"/>
                <w:szCs w:val="1"/>
                <w:color w:val="auto"/>
              </w:rPr>
            </w:pPr>
          </w:p>
        </w:tc>
      </w:tr>
      <w:tr>
        <w:trPr>
          <w:trHeight w:val="149"/>
        </w:trPr>
        <w:tc>
          <w:tcPr>
            <w:tcW w:w="4740" w:type="dxa"/>
            <w:vAlign w:val="bottom"/>
          </w:tcPr>
          <w:p>
            <w:pPr>
              <w:ind w:left="180"/>
              <w:spacing w:after="0" w:line="149" w:lineRule="exact"/>
              <w:rPr>
                <w:sz w:val="20"/>
                <w:szCs w:val="20"/>
                <w:color w:val="auto"/>
              </w:rPr>
            </w:pPr>
            <w:r>
              <w:rPr>
                <w:rFonts w:ascii="Arial" w:cs="Arial" w:eastAsia="Arial" w:hAnsi="Arial"/>
                <w:sz w:val="14"/>
                <w:szCs w:val="14"/>
                <w:color w:val="auto"/>
              </w:rPr>
              <w:t>Depreciation and amortization</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313,759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93,794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2,994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410,547</w:t>
            </w:r>
          </w:p>
        </w:tc>
        <w:tc>
          <w:tcPr>
            <w:tcW w:w="0" w:type="dxa"/>
            <w:vAlign w:val="bottom"/>
          </w:tcPr>
          <w:p>
            <w:pPr>
              <w:spacing w:after="0"/>
              <w:rPr>
                <w:sz w:val="1"/>
                <w:szCs w:val="1"/>
                <w:color w:val="auto"/>
              </w:rPr>
            </w:pPr>
          </w:p>
        </w:tc>
      </w:tr>
      <w:tr>
        <w:trPr>
          <w:trHeight w:val="149"/>
        </w:trPr>
        <w:tc>
          <w:tcPr>
            <w:tcW w:w="4740" w:type="dxa"/>
            <w:vAlign w:val="bottom"/>
          </w:tcPr>
          <w:p>
            <w:pPr>
              <w:ind w:left="180"/>
              <w:spacing w:after="0" w:line="149" w:lineRule="exact"/>
              <w:rPr>
                <w:sz w:val="20"/>
                <w:szCs w:val="20"/>
                <w:color w:val="auto"/>
              </w:rPr>
            </w:pPr>
            <w:r>
              <w:rPr>
                <w:rFonts w:ascii="Arial" w:cs="Arial" w:eastAsia="Arial" w:hAnsi="Arial"/>
                <w:sz w:val="14"/>
                <w:szCs w:val="14"/>
                <w:color w:val="auto"/>
              </w:rPr>
              <w:t>Property charges and other</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24,468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2,478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1,512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28,458</w:t>
            </w:r>
          </w:p>
        </w:tc>
        <w:tc>
          <w:tcPr>
            <w:tcW w:w="0" w:type="dxa"/>
            <w:vAlign w:val="bottom"/>
          </w:tcPr>
          <w:p>
            <w:pPr>
              <w:spacing w:after="0"/>
              <w:rPr>
                <w:sz w:val="1"/>
                <w:szCs w:val="1"/>
                <w:color w:val="auto"/>
              </w:rPr>
            </w:pPr>
          </w:p>
        </w:tc>
      </w:tr>
      <w:tr>
        <w:trPr>
          <w:trHeight w:val="149"/>
        </w:trPr>
        <w:tc>
          <w:tcPr>
            <w:tcW w:w="4740" w:type="dxa"/>
            <w:vAlign w:val="bottom"/>
          </w:tcPr>
          <w:p>
            <w:pPr>
              <w:ind w:left="180"/>
              <w:spacing w:after="0" w:line="149" w:lineRule="exact"/>
              <w:rPr>
                <w:sz w:val="20"/>
                <w:szCs w:val="20"/>
                <w:color w:val="auto"/>
              </w:rPr>
            </w:pPr>
            <w:r>
              <w:rPr>
                <w:rFonts w:ascii="Arial" w:cs="Arial" w:eastAsia="Arial" w:hAnsi="Arial"/>
                <w:sz w:val="14"/>
                <w:szCs w:val="14"/>
                <w:color w:val="auto"/>
              </w:rPr>
              <w:t>Management and royalty fees</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18,434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71,538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(89,972)</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40" w:type="dxa"/>
            <w:vAlign w:val="bottom"/>
          </w:tcPr>
          <w:p>
            <w:pPr>
              <w:ind w:left="180"/>
              <w:spacing w:after="0" w:line="149" w:lineRule="exact"/>
              <w:rPr>
                <w:sz w:val="20"/>
                <w:szCs w:val="20"/>
                <w:color w:val="auto"/>
              </w:rPr>
            </w:pPr>
            <w:r>
              <w:rPr>
                <w:rFonts w:ascii="Arial" w:cs="Arial" w:eastAsia="Arial" w:hAnsi="Arial"/>
                <w:sz w:val="14"/>
                <w:szCs w:val="14"/>
                <w:color w:val="auto"/>
              </w:rPr>
              <w:t>Corporate expense and other</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23,394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12,760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9,756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45,910</w:t>
            </w:r>
          </w:p>
        </w:tc>
        <w:tc>
          <w:tcPr>
            <w:tcW w:w="0" w:type="dxa"/>
            <w:vAlign w:val="bottom"/>
          </w:tcPr>
          <w:p>
            <w:pPr>
              <w:spacing w:after="0"/>
              <w:rPr>
                <w:sz w:val="1"/>
                <w:szCs w:val="1"/>
                <w:color w:val="auto"/>
              </w:rPr>
            </w:pPr>
          </w:p>
        </w:tc>
      </w:tr>
      <w:tr>
        <w:trPr>
          <w:trHeight w:val="149"/>
        </w:trPr>
        <w:tc>
          <w:tcPr>
            <w:tcW w:w="4740" w:type="dxa"/>
            <w:vAlign w:val="bottom"/>
          </w:tcPr>
          <w:p>
            <w:pPr>
              <w:ind w:left="180"/>
              <w:spacing w:after="0" w:line="149" w:lineRule="exact"/>
              <w:rPr>
                <w:sz w:val="20"/>
                <w:szCs w:val="20"/>
                <w:color w:val="auto"/>
              </w:rPr>
            </w:pPr>
            <w:r>
              <w:rPr>
                <w:rFonts w:ascii="Arial" w:cs="Arial" w:eastAsia="Arial" w:hAnsi="Arial"/>
                <w:sz w:val="14"/>
                <w:szCs w:val="14"/>
                <w:color w:val="auto"/>
              </w:rPr>
              <w:t>Stock-based compensation</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8,370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5,029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10,937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24,336</w:t>
            </w:r>
          </w:p>
        </w:tc>
        <w:tc>
          <w:tcPr>
            <w:tcW w:w="0" w:type="dxa"/>
            <w:vAlign w:val="bottom"/>
          </w:tcPr>
          <w:p>
            <w:pPr>
              <w:spacing w:after="0"/>
              <w:rPr>
                <w:sz w:val="1"/>
                <w:szCs w:val="1"/>
                <w:color w:val="auto"/>
              </w:rPr>
            </w:pPr>
          </w:p>
        </w:tc>
      </w:tr>
      <w:tr>
        <w:trPr>
          <w:trHeight w:val="167"/>
        </w:trPr>
        <w:tc>
          <w:tcPr>
            <w:tcW w:w="4740" w:type="dxa"/>
            <w:vAlign w:val="bottom"/>
          </w:tcPr>
          <w:p>
            <w:pPr>
              <w:ind w:left="180"/>
              <w:spacing w:after="0"/>
              <w:rPr>
                <w:sz w:val="20"/>
                <w:szCs w:val="20"/>
                <w:color w:val="auto"/>
              </w:rPr>
            </w:pPr>
            <w:r>
              <w:rPr>
                <w:rFonts w:ascii="Arial" w:cs="Arial" w:eastAsia="Arial" w:hAnsi="Arial"/>
                <w:sz w:val="14"/>
                <w:szCs w:val="14"/>
                <w:color w:val="auto"/>
              </w:rPr>
              <w:t>Equity in income/(loss) from unconsolidated affiliates</w:t>
            </w: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548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4"/>
                <w:szCs w:val="14"/>
                <w:b w:val="1"/>
                <w:bCs w:val="1"/>
                <w:color w:val="auto"/>
              </w:rPr>
              <w:t>Adjusted Property EBITDA</w:t>
            </w:r>
            <w:r>
              <w:rPr>
                <w:rFonts w:ascii="Arial" w:cs="Arial" w:eastAsia="Arial" w:hAnsi="Arial"/>
                <w:sz w:val="10"/>
                <w:szCs w:val="10"/>
                <w:b w:val="1"/>
                <w:bCs w:val="1"/>
                <w:color w:val="auto"/>
              </w:rPr>
              <w:t>(1)</w:t>
            </w:r>
          </w:p>
        </w:tc>
        <w:tc>
          <w:tcPr>
            <w:tcW w:w="1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740" w:type="dxa"/>
            <w:vAlign w:val="bottom"/>
            <w:vMerge w:val="continue"/>
          </w:tcPr>
          <w:p>
            <w:pPr>
              <w:spacing w:after="0"/>
              <w:rPr>
                <w:sz w:val="24"/>
                <w:szCs w:val="24"/>
                <w:color w:val="auto"/>
              </w:rPr>
            </w:pPr>
          </w:p>
        </w:tc>
        <w:tc>
          <w:tcPr>
            <w:tcW w:w="154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244,065</w:t>
            </w:r>
          </w:p>
        </w:tc>
        <w:tc>
          <w:tcPr>
            <w:tcW w:w="120" w:type="dxa"/>
            <w:vAlign w:val="bottom"/>
          </w:tcPr>
          <w:p>
            <w:pPr>
              <w:spacing w:after="0"/>
              <w:rPr>
                <w:sz w:val="24"/>
                <w:szCs w:val="24"/>
                <w:color w:val="auto"/>
              </w:rPr>
            </w:pPr>
          </w:p>
        </w:tc>
        <w:tc>
          <w:tcPr>
            <w:tcW w:w="28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502,087</w:t>
            </w:r>
          </w:p>
        </w:tc>
        <w:tc>
          <w:tcPr>
            <w:tcW w:w="160" w:type="dxa"/>
            <w:vAlign w:val="bottom"/>
            <w:gridSpan w:val="3"/>
          </w:tcPr>
          <w:p>
            <w:pPr>
              <w:jc w:val="right"/>
              <w:ind w:right="54"/>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400" w:type="dxa"/>
            <w:vAlign w:val="bottom"/>
            <w:gridSpan w:val="2"/>
          </w:tcPr>
          <w:p>
            <w:pPr>
              <w:jc w:val="right"/>
              <w:ind w:right="209"/>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746,152</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5"/>
          </w:tcPr>
          <w:p>
            <w:pPr>
              <w:jc w:val="right"/>
              <w:ind w:right="109"/>
              <w:spacing w:after="0"/>
              <w:rPr>
                <w:sz w:val="20"/>
                <w:szCs w:val="20"/>
                <w:color w:val="auto"/>
              </w:rPr>
            </w:pPr>
            <w:r>
              <w:rPr>
                <w:rFonts w:ascii="Arial" w:cs="Arial" w:eastAsia="Arial" w:hAnsi="Arial"/>
                <w:sz w:val="11"/>
                <w:szCs w:val="11"/>
                <w:b w:val="1"/>
                <w:bCs w:val="1"/>
                <w:color w:val="auto"/>
              </w:rPr>
              <w:t>Year Ended</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5"/>
          </w:tcPr>
          <w:p>
            <w:pPr>
              <w:jc w:val="right"/>
              <w:ind w:right="69"/>
              <w:spacing w:after="0"/>
              <w:rPr>
                <w:sz w:val="20"/>
                <w:szCs w:val="20"/>
                <w:color w:val="auto"/>
              </w:rPr>
            </w:pPr>
            <w:r>
              <w:rPr>
                <w:rFonts w:ascii="Arial" w:cs="Arial" w:eastAsia="Arial" w:hAnsi="Arial"/>
                <w:sz w:val="11"/>
                <w:szCs w:val="11"/>
                <w:b w:val="1"/>
                <w:bCs w:val="1"/>
                <w:color w:val="auto"/>
              </w:rPr>
              <w:t>December 31,</w:t>
            </w:r>
          </w:p>
        </w:tc>
        <w:tc>
          <w:tcPr>
            <w:tcW w:w="8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74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Adjusted Property EBITDA </w:t>
            </w:r>
            <w:r>
              <w:rPr>
                <w:rFonts w:ascii="Arial" w:cs="Arial" w:eastAsia="Arial" w:hAnsi="Arial"/>
                <w:sz w:val="10"/>
                <w:szCs w:val="10"/>
                <w:b w:val="1"/>
                <w:bCs w:val="1"/>
                <w:color w:val="auto"/>
              </w:rPr>
              <w:t>(1)</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91"/>
              <w:spacing w:after="0"/>
              <w:rPr>
                <w:sz w:val="20"/>
                <w:szCs w:val="20"/>
                <w:color w:val="auto"/>
              </w:rPr>
            </w:pPr>
            <w:r>
              <w:rPr>
                <w:rFonts w:ascii="Arial" w:cs="Arial" w:eastAsia="Arial" w:hAnsi="Arial"/>
                <w:sz w:val="11"/>
                <w:szCs w:val="11"/>
                <w:b w:val="1"/>
                <w:bCs w:val="1"/>
                <w:color w:val="auto"/>
                <w:w w:val="89"/>
              </w:rPr>
              <w:t>2010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1"/>
                <w:szCs w:val="11"/>
                <w:b w:val="1"/>
                <w:bCs w:val="1"/>
                <w:color w:val="auto"/>
              </w:rPr>
              <w:t>2009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74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tcPr>
          <w:p>
            <w:pPr>
              <w:jc w:val="right"/>
              <w:ind w:right="74"/>
              <w:spacing w:after="0"/>
              <w:rPr>
                <w:sz w:val="20"/>
                <w:szCs w:val="20"/>
                <w:color w:val="auto"/>
              </w:rPr>
            </w:pPr>
            <w:r>
              <w:rPr>
                <w:rFonts w:ascii="Arial" w:cs="Arial" w:eastAsia="Arial" w:hAnsi="Arial"/>
                <w:sz w:val="5"/>
                <w:szCs w:val="5"/>
                <w:color w:val="auto"/>
                <w:w w:val="70"/>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1,162,985</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746,152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4740" w:type="dxa"/>
            <w:vAlign w:val="bottom"/>
          </w:tcPr>
          <w:p>
            <w:pPr>
              <w:ind w:left="180"/>
              <w:spacing w:after="0"/>
              <w:rPr>
                <w:sz w:val="20"/>
                <w:szCs w:val="20"/>
                <w:color w:val="auto"/>
              </w:rPr>
            </w:pPr>
            <w:r>
              <w:rPr>
                <w:rFonts w:ascii="Arial" w:cs="Arial" w:eastAsia="Arial" w:hAnsi="Arial"/>
                <w:sz w:val="14"/>
                <w:szCs w:val="14"/>
                <w:color w:val="auto"/>
              </w:rPr>
              <w:t>Pre-opening costs</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(9,496)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(1,817)</w:t>
            </w:r>
          </w:p>
        </w:tc>
        <w:tc>
          <w:tcPr>
            <w:tcW w:w="0" w:type="dxa"/>
            <w:vAlign w:val="bottom"/>
          </w:tcPr>
          <w:p>
            <w:pPr>
              <w:spacing w:after="0"/>
              <w:rPr>
                <w:sz w:val="1"/>
                <w:szCs w:val="1"/>
                <w:color w:val="auto"/>
              </w:rPr>
            </w:pPr>
          </w:p>
        </w:tc>
      </w:tr>
      <w:tr>
        <w:trPr>
          <w:trHeight w:val="149"/>
        </w:trPr>
        <w:tc>
          <w:tcPr>
            <w:tcW w:w="4740" w:type="dxa"/>
            <w:vAlign w:val="bottom"/>
          </w:tcPr>
          <w:p>
            <w:pPr>
              <w:ind w:left="180"/>
              <w:spacing w:after="0" w:line="149" w:lineRule="exact"/>
              <w:rPr>
                <w:sz w:val="20"/>
                <w:szCs w:val="20"/>
                <w:color w:val="auto"/>
              </w:rPr>
            </w:pPr>
            <w:r>
              <w:rPr>
                <w:rFonts w:ascii="Arial" w:cs="Arial" w:eastAsia="Arial" w:hAnsi="Arial"/>
                <w:sz w:val="14"/>
                <w:szCs w:val="14"/>
                <w:color w:val="auto"/>
              </w:rPr>
              <w:t>Depreciation and amortization</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(405,558)</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(410,547)</w:t>
            </w:r>
          </w:p>
        </w:tc>
        <w:tc>
          <w:tcPr>
            <w:tcW w:w="0" w:type="dxa"/>
            <w:vAlign w:val="bottom"/>
          </w:tcPr>
          <w:p>
            <w:pPr>
              <w:spacing w:after="0"/>
              <w:rPr>
                <w:sz w:val="1"/>
                <w:szCs w:val="1"/>
                <w:color w:val="auto"/>
              </w:rPr>
            </w:pPr>
          </w:p>
        </w:tc>
      </w:tr>
      <w:tr>
        <w:trPr>
          <w:trHeight w:val="149"/>
        </w:trPr>
        <w:tc>
          <w:tcPr>
            <w:tcW w:w="4740" w:type="dxa"/>
            <w:vAlign w:val="bottom"/>
          </w:tcPr>
          <w:p>
            <w:pPr>
              <w:ind w:left="180"/>
              <w:spacing w:after="0" w:line="149" w:lineRule="exact"/>
              <w:rPr>
                <w:sz w:val="20"/>
                <w:szCs w:val="20"/>
                <w:color w:val="auto"/>
              </w:rPr>
            </w:pPr>
            <w:r>
              <w:rPr>
                <w:rFonts w:ascii="Arial" w:cs="Arial" w:eastAsia="Arial" w:hAnsi="Arial"/>
                <w:sz w:val="14"/>
                <w:szCs w:val="14"/>
                <w:color w:val="auto"/>
              </w:rPr>
              <w:t>Property charges and other</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(25,219)</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(28,458)</w:t>
            </w:r>
          </w:p>
        </w:tc>
        <w:tc>
          <w:tcPr>
            <w:tcW w:w="0" w:type="dxa"/>
            <w:vAlign w:val="bottom"/>
          </w:tcPr>
          <w:p>
            <w:pPr>
              <w:spacing w:after="0"/>
              <w:rPr>
                <w:sz w:val="1"/>
                <w:szCs w:val="1"/>
                <w:color w:val="auto"/>
              </w:rPr>
            </w:pPr>
          </w:p>
        </w:tc>
      </w:tr>
      <w:tr>
        <w:trPr>
          <w:trHeight w:val="149"/>
        </w:trPr>
        <w:tc>
          <w:tcPr>
            <w:tcW w:w="4740" w:type="dxa"/>
            <w:vAlign w:val="bottom"/>
          </w:tcPr>
          <w:p>
            <w:pPr>
              <w:ind w:left="180"/>
              <w:spacing w:after="0" w:line="149" w:lineRule="exact"/>
              <w:rPr>
                <w:sz w:val="20"/>
                <w:szCs w:val="20"/>
                <w:color w:val="auto"/>
              </w:rPr>
            </w:pPr>
            <w:r>
              <w:rPr>
                <w:rFonts w:ascii="Arial" w:cs="Arial" w:eastAsia="Arial" w:hAnsi="Arial"/>
                <w:sz w:val="14"/>
                <w:szCs w:val="14"/>
                <w:color w:val="auto"/>
              </w:rPr>
              <w:t>Corporate expense and other</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(69,491)</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(45,910)</w:t>
            </w:r>
          </w:p>
        </w:tc>
        <w:tc>
          <w:tcPr>
            <w:tcW w:w="0" w:type="dxa"/>
            <w:vAlign w:val="bottom"/>
          </w:tcPr>
          <w:p>
            <w:pPr>
              <w:spacing w:after="0"/>
              <w:rPr>
                <w:sz w:val="1"/>
                <w:szCs w:val="1"/>
                <w:color w:val="auto"/>
              </w:rPr>
            </w:pPr>
          </w:p>
        </w:tc>
      </w:tr>
      <w:tr>
        <w:trPr>
          <w:trHeight w:val="149"/>
        </w:trPr>
        <w:tc>
          <w:tcPr>
            <w:tcW w:w="4740" w:type="dxa"/>
            <w:vAlign w:val="bottom"/>
          </w:tcPr>
          <w:p>
            <w:pPr>
              <w:ind w:left="180"/>
              <w:spacing w:after="0" w:line="149" w:lineRule="exact"/>
              <w:rPr>
                <w:sz w:val="20"/>
                <w:szCs w:val="20"/>
                <w:color w:val="auto"/>
              </w:rPr>
            </w:pPr>
            <w:r>
              <w:rPr>
                <w:rFonts w:ascii="Arial" w:cs="Arial" w:eastAsia="Arial" w:hAnsi="Arial"/>
                <w:sz w:val="14"/>
                <w:szCs w:val="14"/>
                <w:color w:val="auto"/>
              </w:rPr>
              <w:t>Stock-based compensation</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(27,168)</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(24,336)</w:t>
            </w:r>
          </w:p>
        </w:tc>
        <w:tc>
          <w:tcPr>
            <w:tcW w:w="0" w:type="dxa"/>
            <w:vAlign w:val="bottom"/>
          </w:tcPr>
          <w:p>
            <w:pPr>
              <w:spacing w:after="0"/>
              <w:rPr>
                <w:sz w:val="1"/>
                <w:szCs w:val="1"/>
                <w:color w:val="auto"/>
              </w:rPr>
            </w:pPr>
          </w:p>
        </w:tc>
      </w:tr>
      <w:tr>
        <w:trPr>
          <w:trHeight w:val="149"/>
        </w:trPr>
        <w:tc>
          <w:tcPr>
            <w:tcW w:w="4740" w:type="dxa"/>
            <w:vAlign w:val="bottom"/>
          </w:tcPr>
          <w:p>
            <w:pPr>
              <w:ind w:left="180"/>
              <w:spacing w:after="0" w:line="149" w:lineRule="exact"/>
              <w:rPr>
                <w:sz w:val="20"/>
                <w:szCs w:val="20"/>
                <w:color w:val="auto"/>
              </w:rPr>
            </w:pPr>
            <w:r>
              <w:rPr>
                <w:rFonts w:ascii="Arial" w:cs="Arial" w:eastAsia="Arial" w:hAnsi="Arial"/>
                <w:sz w:val="14"/>
                <w:szCs w:val="14"/>
                <w:color w:val="auto"/>
              </w:rPr>
              <w:t>Interest income</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2,498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1,740</w:t>
            </w:r>
          </w:p>
        </w:tc>
        <w:tc>
          <w:tcPr>
            <w:tcW w:w="0" w:type="dxa"/>
            <w:vAlign w:val="bottom"/>
          </w:tcPr>
          <w:p>
            <w:pPr>
              <w:spacing w:after="0"/>
              <w:rPr>
                <w:sz w:val="1"/>
                <w:szCs w:val="1"/>
                <w:color w:val="auto"/>
              </w:rPr>
            </w:pPr>
          </w:p>
        </w:tc>
      </w:tr>
      <w:tr>
        <w:trPr>
          <w:trHeight w:val="149"/>
        </w:trPr>
        <w:tc>
          <w:tcPr>
            <w:tcW w:w="4740" w:type="dxa"/>
            <w:vAlign w:val="bottom"/>
          </w:tcPr>
          <w:p>
            <w:pPr>
              <w:ind w:left="180"/>
              <w:spacing w:after="0" w:line="149" w:lineRule="exact"/>
              <w:rPr>
                <w:sz w:val="20"/>
                <w:szCs w:val="20"/>
                <w:color w:val="auto"/>
              </w:rPr>
            </w:pPr>
            <w:r>
              <w:rPr>
                <w:rFonts w:ascii="Arial" w:cs="Arial" w:eastAsia="Arial" w:hAnsi="Arial"/>
                <w:sz w:val="14"/>
                <w:szCs w:val="14"/>
                <w:color w:val="auto"/>
              </w:rPr>
              <w:t>Interest expense, net of capitalized interest</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(222,863)</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(211,385)</w:t>
            </w:r>
          </w:p>
        </w:tc>
        <w:tc>
          <w:tcPr>
            <w:tcW w:w="0" w:type="dxa"/>
            <w:vAlign w:val="bottom"/>
          </w:tcPr>
          <w:p>
            <w:pPr>
              <w:spacing w:after="0"/>
              <w:rPr>
                <w:sz w:val="1"/>
                <w:szCs w:val="1"/>
                <w:color w:val="auto"/>
              </w:rPr>
            </w:pPr>
          </w:p>
        </w:tc>
      </w:tr>
      <w:tr>
        <w:trPr>
          <w:trHeight w:val="149"/>
        </w:trPr>
        <w:tc>
          <w:tcPr>
            <w:tcW w:w="4740" w:type="dxa"/>
            <w:vAlign w:val="bottom"/>
          </w:tcPr>
          <w:p>
            <w:pPr>
              <w:ind w:left="180"/>
              <w:spacing w:after="0" w:line="149" w:lineRule="exact"/>
              <w:rPr>
                <w:sz w:val="20"/>
                <w:szCs w:val="20"/>
                <w:color w:val="auto"/>
              </w:rPr>
            </w:pPr>
            <w:r>
              <w:rPr>
                <w:rFonts w:ascii="Arial" w:cs="Arial" w:eastAsia="Arial" w:hAnsi="Arial"/>
                <w:sz w:val="14"/>
                <w:szCs w:val="14"/>
                <w:color w:val="auto"/>
              </w:rPr>
              <w:t>Decrease in swap fair value</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(880)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(2,258)</w:t>
            </w:r>
          </w:p>
        </w:tc>
        <w:tc>
          <w:tcPr>
            <w:tcW w:w="0" w:type="dxa"/>
            <w:vAlign w:val="bottom"/>
          </w:tcPr>
          <w:p>
            <w:pPr>
              <w:spacing w:after="0"/>
              <w:rPr>
                <w:sz w:val="1"/>
                <w:szCs w:val="1"/>
                <w:color w:val="auto"/>
              </w:rPr>
            </w:pPr>
          </w:p>
        </w:tc>
      </w:tr>
      <w:tr>
        <w:trPr>
          <w:trHeight w:val="149"/>
        </w:trPr>
        <w:tc>
          <w:tcPr>
            <w:tcW w:w="4740" w:type="dxa"/>
            <w:vAlign w:val="bottom"/>
          </w:tcPr>
          <w:p>
            <w:pPr>
              <w:ind w:left="180"/>
              <w:spacing w:after="0" w:line="149" w:lineRule="exact"/>
              <w:rPr>
                <w:sz w:val="20"/>
                <w:szCs w:val="20"/>
                <w:color w:val="auto"/>
              </w:rPr>
            </w:pPr>
            <w:r>
              <w:rPr>
                <w:rFonts w:ascii="Arial" w:cs="Arial" w:eastAsia="Arial" w:hAnsi="Arial"/>
                <w:sz w:val="14"/>
                <w:szCs w:val="14"/>
                <w:color w:val="auto"/>
              </w:rPr>
              <w:t>Gain (loss) on extinguishment of debt</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(67,990)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18,734</w:t>
            </w:r>
          </w:p>
        </w:tc>
        <w:tc>
          <w:tcPr>
            <w:tcW w:w="0" w:type="dxa"/>
            <w:vAlign w:val="bottom"/>
          </w:tcPr>
          <w:p>
            <w:pPr>
              <w:spacing w:after="0"/>
              <w:rPr>
                <w:sz w:val="1"/>
                <w:szCs w:val="1"/>
                <w:color w:val="auto"/>
              </w:rPr>
            </w:pPr>
          </w:p>
        </w:tc>
      </w:tr>
      <w:tr>
        <w:trPr>
          <w:trHeight w:val="149"/>
        </w:trPr>
        <w:tc>
          <w:tcPr>
            <w:tcW w:w="4740" w:type="dxa"/>
            <w:vAlign w:val="bottom"/>
          </w:tcPr>
          <w:p>
            <w:pPr>
              <w:ind w:left="180"/>
              <w:spacing w:after="0" w:line="149" w:lineRule="exact"/>
              <w:rPr>
                <w:sz w:val="20"/>
                <w:szCs w:val="20"/>
                <w:color w:val="auto"/>
              </w:rPr>
            </w:pPr>
            <w:r>
              <w:rPr>
                <w:rFonts w:ascii="Arial" w:cs="Arial" w:eastAsia="Arial" w:hAnsi="Arial"/>
                <w:sz w:val="14"/>
                <w:szCs w:val="14"/>
                <w:color w:val="auto"/>
              </w:rPr>
              <w:t>Other</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67"/>
        </w:trPr>
        <w:tc>
          <w:tcPr>
            <w:tcW w:w="4740" w:type="dxa"/>
            <w:vAlign w:val="bottom"/>
          </w:tcPr>
          <w:p>
            <w:pPr>
              <w:ind w:left="180"/>
              <w:spacing w:after="0"/>
              <w:rPr>
                <w:sz w:val="20"/>
                <w:szCs w:val="20"/>
                <w:color w:val="auto"/>
              </w:rPr>
            </w:pPr>
            <w:r>
              <w:rPr>
                <w:rFonts w:ascii="Arial" w:cs="Arial" w:eastAsia="Arial" w:hAnsi="Arial"/>
                <w:sz w:val="14"/>
                <w:szCs w:val="14"/>
                <w:color w:val="auto"/>
              </w:rPr>
              <w:t>Provision for income taxes</w:t>
            </w: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(20,447)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(2,999)</w:t>
            </w:r>
          </w:p>
        </w:tc>
        <w:tc>
          <w:tcPr>
            <w:tcW w:w="0" w:type="dxa"/>
            <w:vAlign w:val="bottom"/>
          </w:tcPr>
          <w:p>
            <w:pPr>
              <w:spacing w:after="0"/>
              <w:rPr>
                <w:sz w:val="1"/>
                <w:szCs w:val="1"/>
                <w:color w:val="auto"/>
              </w:rPr>
            </w:pPr>
          </w:p>
        </w:tc>
      </w:tr>
      <w:tr>
        <w:trPr>
          <w:trHeight w:val="123"/>
        </w:trPr>
        <w:tc>
          <w:tcPr>
            <w:tcW w:w="4740" w:type="dxa"/>
            <w:vAlign w:val="bottom"/>
          </w:tcPr>
          <w:p>
            <w:pPr>
              <w:spacing w:after="0" w:line="123" w:lineRule="exact"/>
              <w:rPr>
                <w:sz w:val="20"/>
                <w:szCs w:val="20"/>
                <w:color w:val="auto"/>
              </w:rPr>
            </w:pPr>
            <w:r>
              <w:rPr>
                <w:rFonts w:ascii="Arial" w:cs="Arial" w:eastAsia="Arial" w:hAnsi="Arial"/>
                <w:sz w:val="14"/>
                <w:szCs w:val="14"/>
                <w:color w:val="auto"/>
              </w:rPr>
              <w:t>Net income</w:t>
            </w:r>
          </w:p>
        </w:tc>
        <w:tc>
          <w:tcPr>
            <w:tcW w:w="1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right"/>
              <w:ind w:right="20"/>
              <w:spacing w:after="0" w:line="123" w:lineRule="exact"/>
              <w:rPr>
                <w:sz w:val="20"/>
                <w:szCs w:val="20"/>
                <w:color w:val="auto"/>
              </w:rPr>
            </w:pPr>
            <w:r>
              <w:rPr>
                <w:rFonts w:ascii="Arial" w:cs="Arial" w:eastAsia="Arial" w:hAnsi="Arial"/>
                <w:sz w:val="14"/>
                <w:szCs w:val="14"/>
                <w:color w:val="auto"/>
              </w:rPr>
              <w:t>316,596</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39,107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740" w:type="dxa"/>
            <w:vAlign w:val="bottom"/>
          </w:tcPr>
          <w:p>
            <w:pPr>
              <w:ind w:left="180"/>
              <w:spacing w:after="0"/>
              <w:rPr>
                <w:sz w:val="20"/>
                <w:szCs w:val="20"/>
                <w:color w:val="auto"/>
              </w:rPr>
            </w:pPr>
            <w:r>
              <w:rPr>
                <w:rFonts w:ascii="Arial" w:cs="Arial" w:eastAsia="Arial" w:hAnsi="Arial"/>
                <w:sz w:val="14"/>
                <w:szCs w:val="14"/>
                <w:color w:val="auto"/>
              </w:rPr>
              <w:t>Less: Net income attributable to noncontrolling interests</w:t>
            </w: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(156,469)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(18,453)</w:t>
            </w:r>
          </w:p>
        </w:tc>
        <w:tc>
          <w:tcPr>
            <w:tcW w:w="0" w:type="dxa"/>
            <w:vAlign w:val="bottom"/>
          </w:tcPr>
          <w:p>
            <w:pPr>
              <w:spacing w:after="0"/>
              <w:rPr>
                <w:sz w:val="1"/>
                <w:szCs w:val="1"/>
                <w:color w:val="auto"/>
              </w:rPr>
            </w:pPr>
          </w:p>
        </w:tc>
      </w:tr>
      <w:tr>
        <w:trPr>
          <w:trHeight w:val="142"/>
        </w:trPr>
        <w:tc>
          <w:tcPr>
            <w:tcW w:w="4740" w:type="dxa"/>
            <w:vAlign w:val="bottom"/>
          </w:tcPr>
          <w:p>
            <w:pPr>
              <w:spacing w:after="0" w:line="142" w:lineRule="exact"/>
              <w:rPr>
                <w:sz w:val="20"/>
                <w:szCs w:val="20"/>
                <w:color w:val="auto"/>
              </w:rPr>
            </w:pPr>
            <w:r>
              <w:rPr>
                <w:rFonts w:ascii="Arial" w:cs="Arial" w:eastAsia="Arial" w:hAnsi="Arial"/>
                <w:sz w:val="14"/>
                <w:szCs w:val="14"/>
                <w:color w:val="auto"/>
              </w:rPr>
              <w:t>Net income attributable to Wynn Resorts, Limited</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gridSpan w:val="2"/>
          </w:tcPr>
          <w:p>
            <w:pPr>
              <w:jc w:val="right"/>
              <w:ind w:right="74"/>
              <w:spacing w:after="0"/>
              <w:rPr>
                <w:sz w:val="20"/>
                <w:szCs w:val="20"/>
                <w:color w:val="auto"/>
              </w:rPr>
            </w:pPr>
            <w:r>
              <w:rPr>
                <w:rFonts w:ascii="Arial" w:cs="Arial" w:eastAsia="Arial" w:hAnsi="Arial"/>
                <w:sz w:val="5"/>
                <w:szCs w:val="5"/>
                <w:color w:val="auto"/>
                <w:w w:val="70"/>
              </w:rPr>
              <w:t>$</w:t>
            </w:r>
          </w:p>
        </w:tc>
        <w:tc>
          <w:tcPr>
            <w:tcW w:w="10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160,127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20,654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42" w:right="299" w:bottom="1440" w:gutter="0" w:footer="0" w:header="0"/>
        </w:sectPr>
      </w:pPr>
    </w:p>
    <w:bookmarkStart w:id="11" w:name="page12"/>
    <w:bookmarkEnd w:id="11"/>
    <w:p>
      <w:pPr>
        <w:jc w:val="center"/>
        <w:ind w:right="-9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SUPPLEMENTAL DATA SCHEDULE</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7"/>
                <w:szCs w:val="17"/>
                <w:color w:val="auto"/>
              </w:rPr>
            </w:pPr>
          </w:p>
        </w:tc>
        <w:tc>
          <w:tcPr>
            <w:tcW w:w="230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Twelve Months Ended</w:t>
            </w:r>
          </w:p>
        </w:tc>
        <w:tc>
          <w:tcPr>
            <w:tcW w:w="0" w:type="dxa"/>
            <w:vAlign w:val="bottom"/>
          </w:tcPr>
          <w:p>
            <w:pPr>
              <w:spacing w:after="0"/>
              <w:rPr>
                <w:sz w:val="1"/>
                <w:szCs w:val="1"/>
                <w:color w:val="auto"/>
              </w:rPr>
            </w:pPr>
          </w:p>
        </w:tc>
      </w:tr>
      <w:tr>
        <w:trPr>
          <w:trHeight w:val="203"/>
        </w:trPr>
        <w:tc>
          <w:tcPr>
            <w:tcW w:w="4780" w:type="dxa"/>
            <w:vAlign w:val="bottom"/>
          </w:tcPr>
          <w:p>
            <w:pPr>
              <w:spacing w:after="0"/>
              <w:rPr>
                <w:sz w:val="17"/>
                <w:szCs w:val="17"/>
                <w:color w:val="auto"/>
              </w:rPr>
            </w:pPr>
          </w:p>
        </w:tc>
        <w:tc>
          <w:tcPr>
            <w:tcW w:w="2580" w:type="dxa"/>
            <w:vAlign w:val="bottom"/>
            <w:gridSpan w:val="2"/>
          </w:tcPr>
          <w:p>
            <w:pPr>
              <w:jc w:val="center"/>
              <w:ind w:left="1090"/>
              <w:spacing w:after="0" w:line="202" w:lineRule="exact"/>
              <w:rPr>
                <w:sz w:val="20"/>
                <w:szCs w:val="20"/>
                <w:color w:val="auto"/>
              </w:rPr>
            </w:pPr>
            <w:r>
              <w:rPr>
                <w:rFonts w:ascii="Arial" w:cs="Arial" w:eastAsia="Arial" w:hAnsi="Arial"/>
                <w:sz w:val="18"/>
                <w:szCs w:val="18"/>
                <w:b w:val="1"/>
                <w:bCs w:val="1"/>
                <w:color w:val="auto"/>
                <w:w w:val="99"/>
              </w:rPr>
              <w:t>December31,</w:t>
            </w:r>
          </w:p>
        </w:tc>
        <w:tc>
          <w:tcPr>
            <w:tcW w:w="1360" w:type="dxa"/>
            <w:vAlign w:val="bottom"/>
            <w:gridSpan w:val="2"/>
          </w:tcPr>
          <w:p>
            <w:pPr>
              <w:jc w:val="right"/>
              <w:ind w:right="30"/>
              <w:spacing w:after="0" w:line="202" w:lineRule="exact"/>
              <w:rPr>
                <w:sz w:val="20"/>
                <w:szCs w:val="20"/>
                <w:color w:val="auto"/>
              </w:rPr>
            </w:pPr>
            <w:r>
              <w:rPr>
                <w:rFonts w:ascii="Arial" w:cs="Arial" w:eastAsia="Arial" w:hAnsi="Arial"/>
                <w:sz w:val="18"/>
                <w:szCs w:val="18"/>
                <w:b w:val="1"/>
                <w:bCs w:val="1"/>
                <w:color w:val="auto"/>
              </w:rPr>
              <w:t>December31,</w:t>
            </w:r>
          </w:p>
        </w:tc>
        <w:tc>
          <w:tcPr>
            <w:tcW w:w="1340" w:type="dxa"/>
            <w:vAlign w:val="bottom"/>
            <w:gridSpan w:val="2"/>
          </w:tcPr>
          <w:p>
            <w:pPr>
              <w:jc w:val="right"/>
              <w:ind w:right="10"/>
              <w:spacing w:after="0" w:line="202" w:lineRule="exact"/>
              <w:rPr>
                <w:sz w:val="20"/>
                <w:szCs w:val="20"/>
                <w:color w:val="auto"/>
              </w:rPr>
            </w:pPr>
            <w:r>
              <w:rPr>
                <w:rFonts w:ascii="Arial" w:cs="Arial" w:eastAsia="Arial" w:hAnsi="Arial"/>
                <w:sz w:val="18"/>
                <w:szCs w:val="18"/>
                <w:b w:val="1"/>
                <w:bCs w:val="1"/>
                <w:color w:val="auto"/>
              </w:rPr>
              <w:t>December31,</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December31,</w:t>
            </w:r>
          </w:p>
        </w:tc>
        <w:tc>
          <w:tcPr>
            <w:tcW w:w="0" w:type="dxa"/>
            <w:vAlign w:val="bottom"/>
          </w:tcPr>
          <w:p>
            <w:pPr>
              <w:spacing w:after="0"/>
              <w:rPr>
                <w:sz w:val="1"/>
                <w:szCs w:val="1"/>
                <w:color w:val="auto"/>
              </w:rPr>
            </w:pPr>
          </w:p>
        </w:tc>
      </w:tr>
      <w:tr>
        <w:trPr>
          <w:trHeight w:val="239"/>
        </w:trPr>
        <w:tc>
          <w:tcPr>
            <w:tcW w:w="4780" w:type="dxa"/>
            <w:vAlign w:val="bottom"/>
            <w:vMerge w:val="restart"/>
          </w:tcPr>
          <w:p>
            <w:pPr>
              <w:spacing w:after="0"/>
              <w:rPr>
                <w:sz w:val="20"/>
                <w:szCs w:val="20"/>
                <w:color w:val="auto"/>
              </w:rPr>
            </w:pPr>
            <w:r>
              <w:rPr>
                <w:rFonts w:ascii="Arial" w:cs="Arial" w:eastAsia="Arial" w:hAnsi="Arial"/>
                <w:sz w:val="18"/>
                <w:szCs w:val="18"/>
                <w:color w:val="auto"/>
              </w:rPr>
              <w:t>Room Statistics for Las Vegas operations:</w:t>
            </w:r>
          </w:p>
        </w:tc>
        <w:tc>
          <w:tcPr>
            <w:tcW w:w="154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2009</w:t>
            </w:r>
          </w:p>
        </w:tc>
        <w:tc>
          <w:tcPr>
            <w:tcW w:w="30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15"/>
        </w:trPr>
        <w:tc>
          <w:tcPr>
            <w:tcW w:w="478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780" w:type="dxa"/>
            <w:vAlign w:val="bottom"/>
          </w:tcPr>
          <w:p>
            <w:pPr>
              <w:ind w:left="120"/>
              <w:spacing w:after="0"/>
              <w:rPr>
                <w:sz w:val="20"/>
                <w:szCs w:val="20"/>
                <w:color w:val="auto"/>
              </w:rPr>
            </w:pPr>
            <w:r>
              <w:rPr>
                <w:rFonts w:ascii="Arial" w:cs="Arial" w:eastAsia="Arial" w:hAnsi="Arial"/>
                <w:sz w:val="18"/>
                <w:szCs w:val="18"/>
                <w:color w:val="auto"/>
              </w:rPr>
              <w:t>Occupancy %</w:t>
            </w:r>
          </w:p>
        </w:tc>
        <w:tc>
          <w:tcPr>
            <w:tcW w:w="15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81.8%</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81.0%</w:t>
            </w: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88.0%</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03"/>
        </w:trPr>
        <w:tc>
          <w:tcPr>
            <w:tcW w:w="4780" w:type="dxa"/>
            <w:vAlign w:val="bottom"/>
          </w:tcPr>
          <w:p>
            <w:pPr>
              <w:ind w:left="120"/>
              <w:spacing w:after="0" w:line="202" w:lineRule="exact"/>
              <w:rPr>
                <w:sz w:val="20"/>
                <w:szCs w:val="20"/>
                <w:color w:val="auto"/>
              </w:rPr>
            </w:pPr>
            <w:r>
              <w:rPr>
                <w:rFonts w:ascii="Arial" w:cs="Arial" w:eastAsia="Arial" w:hAnsi="Arial"/>
                <w:sz w:val="17"/>
                <w:szCs w:val="17"/>
                <w:color w:val="auto"/>
              </w:rPr>
              <w:t>Average Daily Rate (ADR)</w:t>
            </w:r>
            <w:r>
              <w:rPr>
                <w:rFonts w:ascii="Arial" w:cs="Arial" w:eastAsia="Arial" w:hAnsi="Arial"/>
                <w:sz w:val="23"/>
                <w:szCs w:val="23"/>
                <w:color w:val="auto"/>
                <w:vertAlign w:val="superscript"/>
              </w:rPr>
              <w:t>1</w:t>
            </w:r>
          </w:p>
        </w:tc>
        <w:tc>
          <w:tcPr>
            <w:tcW w:w="15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235</w:t>
            </w:r>
          </w:p>
        </w:tc>
        <w:tc>
          <w:tcPr>
            <w:tcW w:w="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219</w:t>
            </w:r>
          </w:p>
        </w:tc>
        <w:tc>
          <w:tcPr>
            <w:tcW w:w="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210</w:t>
            </w:r>
          </w:p>
        </w:tc>
        <w:tc>
          <w:tcPr>
            <w:tcW w:w="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323"/>
        </w:trPr>
        <w:tc>
          <w:tcPr>
            <w:tcW w:w="4780" w:type="dxa"/>
            <w:vAlign w:val="bottom"/>
          </w:tcPr>
          <w:p>
            <w:pPr>
              <w:ind w:left="120"/>
              <w:spacing w:after="0"/>
              <w:rPr>
                <w:sz w:val="20"/>
                <w:szCs w:val="20"/>
                <w:color w:val="auto"/>
              </w:rPr>
            </w:pPr>
            <w:r>
              <w:rPr>
                <w:rFonts w:ascii="Arial" w:cs="Arial" w:eastAsia="Arial" w:hAnsi="Arial"/>
                <w:sz w:val="18"/>
                <w:szCs w:val="18"/>
                <w:color w:val="auto"/>
              </w:rPr>
              <w:t>Revenue per available room (REVPAR)</w:t>
            </w:r>
            <w:r>
              <w:rPr>
                <w:rFonts w:ascii="Arial" w:cs="Arial" w:eastAsia="Arial" w:hAnsi="Arial"/>
                <w:sz w:val="25"/>
                <w:szCs w:val="25"/>
                <w:color w:val="auto"/>
                <w:vertAlign w:val="superscript"/>
              </w:rPr>
              <w:t>2</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192</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312"/>
        </w:trPr>
        <w:tc>
          <w:tcPr>
            <w:tcW w:w="4780" w:type="dxa"/>
            <w:vAlign w:val="bottom"/>
          </w:tcPr>
          <w:p>
            <w:pPr>
              <w:spacing w:after="0"/>
              <w:rPr>
                <w:sz w:val="20"/>
                <w:szCs w:val="20"/>
                <w:color w:val="auto"/>
              </w:rPr>
            </w:pPr>
            <w:r>
              <w:rPr>
                <w:rFonts w:ascii="Arial" w:cs="Arial" w:eastAsia="Arial" w:hAnsi="Arial"/>
                <w:sz w:val="18"/>
                <w:szCs w:val="18"/>
                <w:color w:val="auto"/>
              </w:rPr>
              <w:t>Other information for Las Vegas operations:</w:t>
            </w: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780" w:type="dxa"/>
            <w:vAlign w:val="bottom"/>
          </w:tcPr>
          <w:p>
            <w:pPr>
              <w:ind w:left="120"/>
              <w:spacing w:after="0" w:line="221" w:lineRule="exact"/>
              <w:rPr>
                <w:sz w:val="20"/>
                <w:szCs w:val="20"/>
                <w:color w:val="auto"/>
              </w:rPr>
            </w:pPr>
            <w:r>
              <w:rPr>
                <w:rFonts w:ascii="Arial" w:cs="Arial" w:eastAsia="Arial" w:hAnsi="Arial"/>
                <w:sz w:val="18"/>
                <w:szCs w:val="18"/>
                <w:color w:val="auto"/>
              </w:rPr>
              <w:t>Table games win per unit per day</w:t>
            </w:r>
            <w:r>
              <w:rPr>
                <w:rFonts w:ascii="Arial" w:cs="Arial" w:eastAsia="Arial" w:hAnsi="Arial"/>
                <w:sz w:val="25"/>
                <w:szCs w:val="25"/>
                <w:color w:val="auto"/>
                <w:vertAlign w:val="superscript"/>
              </w:rPr>
              <w:t>3</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6,585</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5,188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5,846</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5,099</w:t>
            </w:r>
          </w:p>
        </w:tc>
        <w:tc>
          <w:tcPr>
            <w:tcW w:w="0" w:type="dxa"/>
            <w:vAlign w:val="bottom"/>
          </w:tcPr>
          <w:p>
            <w:pPr>
              <w:spacing w:after="0"/>
              <w:rPr>
                <w:sz w:val="1"/>
                <w:szCs w:val="1"/>
                <w:color w:val="auto"/>
              </w:rPr>
            </w:pPr>
          </w:p>
        </w:tc>
      </w:tr>
      <w:tr>
        <w:trPr>
          <w:trHeight w:val="197"/>
        </w:trPr>
        <w:tc>
          <w:tcPr>
            <w:tcW w:w="4780" w:type="dxa"/>
            <w:vAlign w:val="bottom"/>
          </w:tcPr>
          <w:p>
            <w:pPr>
              <w:ind w:left="120"/>
              <w:spacing w:after="0" w:line="197" w:lineRule="exact"/>
              <w:rPr>
                <w:sz w:val="20"/>
                <w:szCs w:val="20"/>
                <w:color w:val="auto"/>
              </w:rPr>
            </w:pPr>
            <w:r>
              <w:rPr>
                <w:rFonts w:ascii="Arial" w:cs="Arial" w:eastAsia="Arial" w:hAnsi="Arial"/>
                <w:sz w:val="18"/>
                <w:szCs w:val="18"/>
                <w:color w:val="auto"/>
              </w:rPr>
              <w:t>Table Win %</w:t>
            </w:r>
          </w:p>
        </w:tc>
        <w:tc>
          <w:tcPr>
            <w:tcW w:w="1540" w:type="dxa"/>
            <w:vAlign w:val="bottom"/>
          </w:tcPr>
          <w:p>
            <w:pPr>
              <w:spacing w:after="0"/>
              <w:rPr>
                <w:sz w:val="17"/>
                <w:szCs w:val="17"/>
                <w:color w:val="auto"/>
              </w:rPr>
            </w:pPr>
          </w:p>
        </w:tc>
        <w:tc>
          <w:tcPr>
            <w:tcW w:w="1040" w:type="dxa"/>
            <w:vAlign w:val="bottom"/>
          </w:tcPr>
          <w:p>
            <w:pPr>
              <w:jc w:val="right"/>
              <w:ind w:right="30"/>
              <w:spacing w:after="0" w:line="197" w:lineRule="exact"/>
              <w:rPr>
                <w:sz w:val="20"/>
                <w:szCs w:val="20"/>
                <w:color w:val="auto"/>
              </w:rPr>
            </w:pPr>
            <w:r>
              <w:rPr>
                <w:rFonts w:ascii="Arial" w:cs="Arial" w:eastAsia="Arial" w:hAnsi="Arial"/>
                <w:sz w:val="18"/>
                <w:szCs w:val="18"/>
                <w:color w:val="auto"/>
              </w:rPr>
              <w:t>22.5%</w:t>
            </w:r>
          </w:p>
        </w:tc>
        <w:tc>
          <w:tcPr>
            <w:tcW w:w="360" w:type="dxa"/>
            <w:vAlign w:val="bottom"/>
          </w:tcPr>
          <w:p>
            <w:pPr>
              <w:spacing w:after="0"/>
              <w:rPr>
                <w:sz w:val="17"/>
                <w:szCs w:val="17"/>
                <w:color w:val="auto"/>
              </w:rPr>
            </w:pPr>
          </w:p>
        </w:tc>
        <w:tc>
          <w:tcPr>
            <w:tcW w:w="1000" w:type="dxa"/>
            <w:vAlign w:val="bottom"/>
          </w:tcPr>
          <w:p>
            <w:pPr>
              <w:jc w:val="right"/>
              <w:ind w:right="10"/>
              <w:spacing w:after="0" w:line="197" w:lineRule="exact"/>
              <w:rPr>
                <w:sz w:val="20"/>
                <w:szCs w:val="20"/>
                <w:color w:val="auto"/>
              </w:rPr>
            </w:pPr>
            <w:r>
              <w:rPr>
                <w:rFonts w:ascii="Arial" w:cs="Arial" w:eastAsia="Arial" w:hAnsi="Arial"/>
                <w:sz w:val="18"/>
                <w:szCs w:val="18"/>
                <w:color w:val="auto"/>
              </w:rPr>
              <w:t>18.7%</w:t>
            </w:r>
          </w:p>
        </w:tc>
        <w:tc>
          <w:tcPr>
            <w:tcW w:w="300" w:type="dxa"/>
            <w:vAlign w:val="bottom"/>
          </w:tcPr>
          <w:p>
            <w:pPr>
              <w:spacing w:after="0"/>
              <w:rPr>
                <w:sz w:val="17"/>
                <w:szCs w:val="17"/>
                <w:color w:val="auto"/>
              </w:rPr>
            </w:pPr>
          </w:p>
        </w:tc>
        <w:tc>
          <w:tcPr>
            <w:tcW w:w="1040" w:type="dxa"/>
            <w:vAlign w:val="bottom"/>
          </w:tcPr>
          <w:p>
            <w:pPr>
              <w:jc w:val="right"/>
              <w:ind w:right="10"/>
              <w:spacing w:after="0" w:line="197" w:lineRule="exact"/>
              <w:rPr>
                <w:sz w:val="20"/>
                <w:szCs w:val="20"/>
                <w:color w:val="auto"/>
              </w:rPr>
            </w:pPr>
            <w:r>
              <w:rPr>
                <w:rFonts w:ascii="Arial" w:cs="Arial" w:eastAsia="Arial" w:hAnsi="Arial"/>
                <w:sz w:val="18"/>
                <w:szCs w:val="18"/>
                <w:color w:val="auto"/>
              </w:rPr>
              <w:t>22.2%</w:t>
            </w:r>
          </w:p>
        </w:tc>
        <w:tc>
          <w:tcPr>
            <w:tcW w:w="360" w:type="dxa"/>
            <w:vAlign w:val="bottom"/>
          </w:tcPr>
          <w:p>
            <w:pPr>
              <w:spacing w:after="0"/>
              <w:rPr>
                <w:sz w:val="17"/>
                <w:szCs w:val="17"/>
                <w:color w:val="auto"/>
              </w:rPr>
            </w:pPr>
          </w:p>
        </w:tc>
        <w:tc>
          <w:tcPr>
            <w:tcW w:w="900" w:type="dxa"/>
            <w:vAlign w:val="bottom"/>
          </w:tcPr>
          <w:p>
            <w:pPr>
              <w:jc w:val="right"/>
              <w:spacing w:after="0" w:line="197" w:lineRule="exact"/>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8"/>
        </w:trPr>
        <w:tc>
          <w:tcPr>
            <w:tcW w:w="4780" w:type="dxa"/>
            <w:vAlign w:val="bottom"/>
          </w:tcPr>
          <w:p>
            <w:pPr>
              <w:ind w:left="120"/>
              <w:spacing w:after="0" w:line="207" w:lineRule="exact"/>
              <w:rPr>
                <w:sz w:val="20"/>
                <w:szCs w:val="20"/>
                <w:color w:val="auto"/>
              </w:rPr>
            </w:pPr>
            <w:r>
              <w:rPr>
                <w:rFonts w:ascii="Arial" w:cs="Arial" w:eastAsia="Arial" w:hAnsi="Arial"/>
                <w:sz w:val="17"/>
                <w:szCs w:val="17"/>
                <w:color w:val="auto"/>
              </w:rPr>
              <w:t>Slot machine win per unit per day</w:t>
            </w:r>
            <w:r>
              <w:rPr>
                <w:rFonts w:ascii="Arial" w:cs="Arial" w:eastAsia="Arial" w:hAnsi="Arial"/>
                <w:sz w:val="24"/>
                <w:szCs w:val="24"/>
                <w:color w:val="auto"/>
                <w:vertAlign w:val="superscript"/>
              </w:rPr>
              <w:t>4</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179</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164</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3"/>
        </w:trPr>
        <w:tc>
          <w:tcPr>
            <w:tcW w:w="4780" w:type="dxa"/>
            <w:vAlign w:val="bottom"/>
          </w:tcPr>
          <w:p>
            <w:pPr>
              <w:ind w:left="120"/>
              <w:spacing w:after="0" w:line="202" w:lineRule="exact"/>
              <w:rPr>
                <w:sz w:val="20"/>
                <w:szCs w:val="20"/>
                <w:color w:val="auto"/>
              </w:rPr>
            </w:pPr>
            <w:r>
              <w:rPr>
                <w:rFonts w:ascii="Arial" w:cs="Arial" w:eastAsia="Arial" w:hAnsi="Arial"/>
                <w:sz w:val="18"/>
                <w:szCs w:val="18"/>
                <w:color w:val="auto"/>
              </w:rPr>
              <w:t>Average number of table games</w:t>
            </w:r>
          </w:p>
        </w:tc>
        <w:tc>
          <w:tcPr>
            <w:tcW w:w="154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210</w:t>
            </w:r>
          </w:p>
        </w:tc>
        <w:tc>
          <w:tcPr>
            <w:tcW w:w="36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215</w:t>
            </w:r>
          </w:p>
        </w:tc>
        <w:tc>
          <w:tcPr>
            <w:tcW w:w="30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224</w:t>
            </w:r>
          </w:p>
        </w:tc>
        <w:tc>
          <w:tcPr>
            <w:tcW w:w="3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7"/>
        </w:trPr>
        <w:tc>
          <w:tcPr>
            <w:tcW w:w="4780" w:type="dxa"/>
            <w:vAlign w:val="bottom"/>
          </w:tcPr>
          <w:p>
            <w:pPr>
              <w:ind w:left="120"/>
              <w:spacing w:after="0"/>
              <w:rPr>
                <w:sz w:val="20"/>
                <w:szCs w:val="20"/>
                <w:color w:val="auto"/>
              </w:rPr>
            </w:pPr>
            <w:r>
              <w:rPr>
                <w:rFonts w:ascii="Arial" w:cs="Arial" w:eastAsia="Arial" w:hAnsi="Arial"/>
                <w:sz w:val="18"/>
                <w:szCs w:val="18"/>
                <w:color w:val="auto"/>
              </w:rPr>
              <w:t>Average number of slot machines</w:t>
            </w:r>
          </w:p>
        </w:tc>
        <w:tc>
          <w:tcPr>
            <w:tcW w:w="15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2,585</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2,742</w:t>
            </w: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2,649</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2,767</w:t>
            </w:r>
          </w:p>
        </w:tc>
        <w:tc>
          <w:tcPr>
            <w:tcW w:w="0" w:type="dxa"/>
            <w:vAlign w:val="bottom"/>
          </w:tcPr>
          <w:p>
            <w:pPr>
              <w:spacing w:after="0"/>
              <w:rPr>
                <w:sz w:val="1"/>
                <w:szCs w:val="1"/>
                <w:color w:val="auto"/>
              </w:rPr>
            </w:pPr>
          </w:p>
        </w:tc>
      </w:tr>
      <w:tr>
        <w:trPr>
          <w:trHeight w:val="431"/>
        </w:trPr>
        <w:tc>
          <w:tcPr>
            <w:tcW w:w="4780" w:type="dxa"/>
            <w:vAlign w:val="bottom"/>
          </w:tcPr>
          <w:p>
            <w:pPr>
              <w:spacing w:after="0"/>
              <w:rPr>
                <w:sz w:val="20"/>
                <w:szCs w:val="20"/>
                <w:color w:val="auto"/>
              </w:rPr>
            </w:pPr>
            <w:r>
              <w:rPr>
                <w:rFonts w:ascii="Arial" w:cs="Arial" w:eastAsia="Arial" w:hAnsi="Arial"/>
                <w:sz w:val="18"/>
                <w:szCs w:val="18"/>
                <w:color w:val="auto"/>
              </w:rPr>
              <w:t>Room Statistics for Macau:</w:t>
            </w: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780" w:type="dxa"/>
            <w:vAlign w:val="bottom"/>
          </w:tcPr>
          <w:p>
            <w:pPr>
              <w:ind w:left="120"/>
              <w:spacing w:after="0" w:line="197" w:lineRule="exact"/>
              <w:rPr>
                <w:sz w:val="20"/>
                <w:szCs w:val="20"/>
                <w:color w:val="auto"/>
              </w:rPr>
            </w:pPr>
            <w:r>
              <w:rPr>
                <w:rFonts w:ascii="Arial" w:cs="Arial" w:eastAsia="Arial" w:hAnsi="Arial"/>
                <w:sz w:val="18"/>
                <w:szCs w:val="18"/>
                <w:color w:val="auto"/>
              </w:rPr>
              <w:t>Occupancy %</w:t>
            </w:r>
          </w:p>
        </w:tc>
        <w:tc>
          <w:tcPr>
            <w:tcW w:w="1540" w:type="dxa"/>
            <w:vAlign w:val="bottom"/>
          </w:tcPr>
          <w:p>
            <w:pPr>
              <w:spacing w:after="0"/>
              <w:rPr>
                <w:sz w:val="17"/>
                <w:szCs w:val="17"/>
                <w:color w:val="auto"/>
              </w:rPr>
            </w:pPr>
          </w:p>
        </w:tc>
        <w:tc>
          <w:tcPr>
            <w:tcW w:w="1040" w:type="dxa"/>
            <w:vAlign w:val="bottom"/>
          </w:tcPr>
          <w:p>
            <w:pPr>
              <w:jc w:val="right"/>
              <w:ind w:right="30"/>
              <w:spacing w:after="0" w:line="197" w:lineRule="exact"/>
              <w:rPr>
                <w:sz w:val="20"/>
                <w:szCs w:val="20"/>
                <w:color w:val="auto"/>
              </w:rPr>
            </w:pPr>
            <w:r>
              <w:rPr>
                <w:rFonts w:ascii="Arial" w:cs="Arial" w:eastAsia="Arial" w:hAnsi="Arial"/>
                <w:sz w:val="18"/>
                <w:szCs w:val="18"/>
                <w:color w:val="auto"/>
              </w:rPr>
              <w:t>92.3%</w:t>
            </w:r>
          </w:p>
        </w:tc>
        <w:tc>
          <w:tcPr>
            <w:tcW w:w="360" w:type="dxa"/>
            <w:vAlign w:val="bottom"/>
          </w:tcPr>
          <w:p>
            <w:pPr>
              <w:spacing w:after="0"/>
              <w:rPr>
                <w:sz w:val="17"/>
                <w:szCs w:val="17"/>
                <w:color w:val="auto"/>
              </w:rPr>
            </w:pPr>
          </w:p>
        </w:tc>
        <w:tc>
          <w:tcPr>
            <w:tcW w:w="1000" w:type="dxa"/>
            <w:vAlign w:val="bottom"/>
          </w:tcPr>
          <w:p>
            <w:pPr>
              <w:jc w:val="right"/>
              <w:ind w:right="10"/>
              <w:spacing w:after="0" w:line="197" w:lineRule="exact"/>
              <w:rPr>
                <w:sz w:val="20"/>
                <w:szCs w:val="20"/>
                <w:color w:val="auto"/>
              </w:rPr>
            </w:pPr>
            <w:r>
              <w:rPr>
                <w:rFonts w:ascii="Arial" w:cs="Arial" w:eastAsia="Arial" w:hAnsi="Arial"/>
                <w:sz w:val="18"/>
                <w:szCs w:val="18"/>
                <w:color w:val="auto"/>
              </w:rPr>
              <w:t>90.6%</w:t>
            </w:r>
          </w:p>
        </w:tc>
        <w:tc>
          <w:tcPr>
            <w:tcW w:w="300" w:type="dxa"/>
            <w:vAlign w:val="bottom"/>
          </w:tcPr>
          <w:p>
            <w:pPr>
              <w:spacing w:after="0"/>
              <w:rPr>
                <w:sz w:val="17"/>
                <w:szCs w:val="17"/>
                <w:color w:val="auto"/>
              </w:rPr>
            </w:pPr>
          </w:p>
        </w:tc>
        <w:tc>
          <w:tcPr>
            <w:tcW w:w="1040" w:type="dxa"/>
            <w:vAlign w:val="bottom"/>
          </w:tcPr>
          <w:p>
            <w:pPr>
              <w:jc w:val="right"/>
              <w:ind w:right="10"/>
              <w:spacing w:after="0" w:line="197" w:lineRule="exact"/>
              <w:rPr>
                <w:sz w:val="20"/>
                <w:szCs w:val="20"/>
                <w:color w:val="auto"/>
              </w:rPr>
            </w:pPr>
            <w:r>
              <w:rPr>
                <w:rFonts w:ascii="Arial" w:cs="Arial" w:eastAsia="Arial" w:hAnsi="Arial"/>
                <w:sz w:val="18"/>
                <w:szCs w:val="18"/>
                <w:color w:val="auto"/>
              </w:rPr>
              <w:t>87.8%</w:t>
            </w:r>
          </w:p>
        </w:tc>
        <w:tc>
          <w:tcPr>
            <w:tcW w:w="360" w:type="dxa"/>
            <w:vAlign w:val="bottom"/>
          </w:tcPr>
          <w:p>
            <w:pPr>
              <w:spacing w:after="0"/>
              <w:rPr>
                <w:sz w:val="17"/>
                <w:szCs w:val="17"/>
                <w:color w:val="auto"/>
              </w:rPr>
            </w:pPr>
          </w:p>
        </w:tc>
        <w:tc>
          <w:tcPr>
            <w:tcW w:w="900" w:type="dxa"/>
            <w:vAlign w:val="bottom"/>
          </w:tcPr>
          <w:p>
            <w:pPr>
              <w:jc w:val="right"/>
              <w:spacing w:after="0" w:line="197" w:lineRule="exact"/>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03"/>
        </w:trPr>
        <w:tc>
          <w:tcPr>
            <w:tcW w:w="4780" w:type="dxa"/>
            <w:vAlign w:val="bottom"/>
          </w:tcPr>
          <w:p>
            <w:pPr>
              <w:ind w:left="120"/>
              <w:spacing w:after="0" w:line="202" w:lineRule="exact"/>
              <w:rPr>
                <w:sz w:val="20"/>
                <w:szCs w:val="20"/>
                <w:color w:val="auto"/>
              </w:rPr>
            </w:pPr>
            <w:r>
              <w:rPr>
                <w:rFonts w:ascii="Arial" w:cs="Arial" w:eastAsia="Arial" w:hAnsi="Arial"/>
                <w:sz w:val="17"/>
                <w:szCs w:val="17"/>
                <w:color w:val="auto"/>
              </w:rPr>
              <w:t>Average Daily Rate (ADR)</w:t>
            </w:r>
            <w:r>
              <w:rPr>
                <w:rFonts w:ascii="Arial" w:cs="Arial" w:eastAsia="Arial" w:hAnsi="Arial"/>
                <w:sz w:val="23"/>
                <w:szCs w:val="23"/>
                <w:color w:val="auto"/>
                <w:vertAlign w:val="superscript"/>
              </w:rPr>
              <w:t>1</w:t>
            </w:r>
          </w:p>
        </w:tc>
        <w:tc>
          <w:tcPr>
            <w:tcW w:w="15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303</w:t>
            </w:r>
          </w:p>
        </w:tc>
        <w:tc>
          <w:tcPr>
            <w:tcW w:w="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271</w:t>
            </w:r>
          </w:p>
        </w:tc>
        <w:tc>
          <w:tcPr>
            <w:tcW w:w="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291</w:t>
            </w:r>
          </w:p>
        </w:tc>
        <w:tc>
          <w:tcPr>
            <w:tcW w:w="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323"/>
        </w:trPr>
        <w:tc>
          <w:tcPr>
            <w:tcW w:w="4780" w:type="dxa"/>
            <w:vAlign w:val="bottom"/>
          </w:tcPr>
          <w:p>
            <w:pPr>
              <w:ind w:left="120"/>
              <w:spacing w:after="0"/>
              <w:rPr>
                <w:sz w:val="20"/>
                <w:szCs w:val="20"/>
                <w:color w:val="auto"/>
              </w:rPr>
            </w:pPr>
            <w:r>
              <w:rPr>
                <w:rFonts w:ascii="Arial" w:cs="Arial" w:eastAsia="Arial" w:hAnsi="Arial"/>
                <w:sz w:val="18"/>
                <w:szCs w:val="18"/>
                <w:color w:val="auto"/>
              </w:rPr>
              <w:t>Revenue per available room (REVPAR)</w:t>
            </w:r>
            <w:r>
              <w:rPr>
                <w:rFonts w:ascii="Arial" w:cs="Arial" w:eastAsia="Arial" w:hAnsi="Arial"/>
                <w:sz w:val="25"/>
                <w:szCs w:val="25"/>
                <w:color w:val="auto"/>
                <w:vertAlign w:val="superscript"/>
              </w:rPr>
              <w:t>2</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280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246</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256</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312"/>
        </w:trPr>
        <w:tc>
          <w:tcPr>
            <w:tcW w:w="4780" w:type="dxa"/>
            <w:vAlign w:val="bottom"/>
          </w:tcPr>
          <w:p>
            <w:pPr>
              <w:spacing w:after="0"/>
              <w:rPr>
                <w:sz w:val="20"/>
                <w:szCs w:val="20"/>
                <w:color w:val="auto"/>
              </w:rPr>
            </w:pPr>
            <w:r>
              <w:rPr>
                <w:rFonts w:ascii="Arial" w:cs="Arial" w:eastAsia="Arial" w:hAnsi="Arial"/>
                <w:sz w:val="18"/>
                <w:szCs w:val="18"/>
                <w:color w:val="auto"/>
              </w:rPr>
              <w:t>Other information for Macau:</w:t>
            </w: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120"/>
              <w:spacing w:after="0" w:line="202" w:lineRule="exact"/>
              <w:rPr>
                <w:sz w:val="20"/>
                <w:szCs w:val="20"/>
                <w:color w:val="auto"/>
              </w:rPr>
            </w:pPr>
            <w:r>
              <w:rPr>
                <w:rFonts w:ascii="Arial" w:cs="Arial" w:eastAsia="Arial" w:hAnsi="Arial"/>
                <w:sz w:val="17"/>
                <w:szCs w:val="17"/>
                <w:color w:val="auto"/>
              </w:rPr>
              <w:t>Table games win per unit per day</w:t>
            </w:r>
            <w:r>
              <w:rPr>
                <w:rFonts w:ascii="Arial" w:cs="Arial" w:eastAsia="Arial" w:hAnsi="Arial"/>
                <w:sz w:val="23"/>
                <w:szCs w:val="23"/>
                <w:color w:val="auto"/>
                <w:vertAlign w:val="superscript"/>
              </w:rPr>
              <w:t>3</w:t>
            </w:r>
          </w:p>
        </w:tc>
        <w:tc>
          <w:tcPr>
            <w:tcW w:w="15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24,769</w:t>
            </w:r>
          </w:p>
        </w:tc>
        <w:tc>
          <w:tcPr>
            <w:tcW w:w="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16,379</w:t>
            </w:r>
          </w:p>
        </w:tc>
        <w:tc>
          <w:tcPr>
            <w:tcW w:w="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20,563</w:t>
            </w:r>
          </w:p>
        </w:tc>
        <w:tc>
          <w:tcPr>
            <w:tcW w:w="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14,846</w:t>
            </w:r>
          </w:p>
        </w:tc>
        <w:tc>
          <w:tcPr>
            <w:tcW w:w="0" w:type="dxa"/>
            <w:vAlign w:val="bottom"/>
          </w:tcPr>
          <w:p>
            <w:pPr>
              <w:spacing w:after="0"/>
              <w:rPr>
                <w:sz w:val="1"/>
                <w:szCs w:val="1"/>
                <w:color w:val="auto"/>
              </w:rPr>
            </w:pPr>
          </w:p>
        </w:tc>
      </w:tr>
      <w:tr>
        <w:trPr>
          <w:trHeight w:val="208"/>
        </w:trPr>
        <w:tc>
          <w:tcPr>
            <w:tcW w:w="4780" w:type="dxa"/>
            <w:vAlign w:val="bottom"/>
          </w:tcPr>
          <w:p>
            <w:pPr>
              <w:ind w:left="120"/>
              <w:spacing w:after="0" w:line="207" w:lineRule="exact"/>
              <w:rPr>
                <w:sz w:val="20"/>
                <w:szCs w:val="20"/>
                <w:color w:val="auto"/>
              </w:rPr>
            </w:pPr>
            <w:r>
              <w:rPr>
                <w:rFonts w:ascii="Arial" w:cs="Arial" w:eastAsia="Arial" w:hAnsi="Arial"/>
                <w:sz w:val="17"/>
                <w:szCs w:val="17"/>
                <w:color w:val="auto"/>
              </w:rPr>
              <w:t>Slot machine win per unit per day</w:t>
            </w:r>
            <w:r>
              <w:rPr>
                <w:rFonts w:ascii="Arial" w:cs="Arial" w:eastAsia="Arial" w:hAnsi="Arial"/>
                <w:sz w:val="24"/>
                <w:szCs w:val="24"/>
                <w:color w:val="auto"/>
                <w:vertAlign w:val="superscript"/>
              </w:rPr>
              <w:t>4</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608</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353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513</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03"/>
        </w:trPr>
        <w:tc>
          <w:tcPr>
            <w:tcW w:w="4780" w:type="dxa"/>
            <w:vAlign w:val="bottom"/>
          </w:tcPr>
          <w:p>
            <w:pPr>
              <w:ind w:left="120"/>
              <w:spacing w:after="0" w:line="202" w:lineRule="exact"/>
              <w:rPr>
                <w:sz w:val="20"/>
                <w:szCs w:val="20"/>
                <w:color w:val="auto"/>
              </w:rPr>
            </w:pPr>
            <w:r>
              <w:rPr>
                <w:rFonts w:ascii="Arial" w:cs="Arial" w:eastAsia="Arial" w:hAnsi="Arial"/>
                <w:sz w:val="18"/>
                <w:szCs w:val="18"/>
                <w:color w:val="auto"/>
              </w:rPr>
              <w:t>Average number of table games</w:t>
            </w:r>
          </w:p>
        </w:tc>
        <w:tc>
          <w:tcPr>
            <w:tcW w:w="154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459</w:t>
            </w:r>
          </w:p>
        </w:tc>
        <w:tc>
          <w:tcPr>
            <w:tcW w:w="36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383</w:t>
            </w:r>
          </w:p>
        </w:tc>
        <w:tc>
          <w:tcPr>
            <w:tcW w:w="30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439</w:t>
            </w:r>
          </w:p>
        </w:tc>
        <w:tc>
          <w:tcPr>
            <w:tcW w:w="3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7"/>
        </w:trPr>
        <w:tc>
          <w:tcPr>
            <w:tcW w:w="4780" w:type="dxa"/>
            <w:vAlign w:val="bottom"/>
          </w:tcPr>
          <w:p>
            <w:pPr>
              <w:ind w:left="120"/>
              <w:spacing w:after="0"/>
              <w:rPr>
                <w:sz w:val="20"/>
                <w:szCs w:val="20"/>
                <w:color w:val="auto"/>
              </w:rPr>
            </w:pPr>
            <w:r>
              <w:rPr>
                <w:rFonts w:ascii="Arial" w:cs="Arial" w:eastAsia="Arial" w:hAnsi="Arial"/>
                <w:sz w:val="18"/>
                <w:szCs w:val="18"/>
                <w:color w:val="auto"/>
              </w:rPr>
              <w:t>Average number of slot machines</w:t>
            </w:r>
          </w:p>
        </w:tc>
        <w:tc>
          <w:tcPr>
            <w:tcW w:w="15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1,127</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1,190</w:t>
            </w: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1,167</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ADR is Average Daily Rate and is calculated by dividing total room revenue (less service charges, if any) by total rooms occupied.</w:t>
      </w:r>
    </w:p>
    <w:p>
      <w:pPr>
        <w:spacing w:after="0" w:line="238" w:lineRule="exact"/>
        <w:rPr>
          <w:rFonts w:ascii="Arial" w:cs="Arial" w:eastAsia="Arial" w:hAnsi="Arial"/>
          <w:sz w:val="18"/>
          <w:szCs w:val="18"/>
          <w:color w:val="auto"/>
        </w:rPr>
      </w:pPr>
    </w:p>
    <w:p>
      <w:pPr>
        <w:ind w:right="400" w:firstLine="8"/>
        <w:spacing w:after="0" w:line="246" w:lineRule="auto"/>
        <w:tabs>
          <w:tab w:leader="none" w:pos="27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REVPAR is Revenue per Available Room and is calculated by dividing total room revenue (less service charges, if any) by total rooms available.</w:t>
      </w:r>
    </w:p>
    <w:p>
      <w:pPr>
        <w:spacing w:after="0" w:line="223"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Table games win per unit per day is shown before discounts and commissions.</w:t>
      </w:r>
    </w:p>
    <w:p>
      <w:pPr>
        <w:spacing w:after="0" w:line="238"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Slot machine win per unit per day calculated as gross slot win minus progressive accruals and free play.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234" w:lineRule="auto"/>
        <w:rPr>
          <w:sz w:val="20"/>
          <w:szCs w:val="20"/>
          <w:color w:val="auto"/>
        </w:rPr>
      </w:pPr>
      <w:r>
        <w:rPr>
          <w:rFonts w:ascii="Arial" w:cs="Arial" w:eastAsia="Arial" w:hAnsi="Arial"/>
          <w:sz w:val="18"/>
          <w:szCs w:val="18"/>
          <w:color w:val="auto"/>
        </w:rPr>
        <w:t>Wynn Resorts, Limited</w:t>
      </w:r>
    </w:p>
    <w:p>
      <w:pPr>
        <w:spacing w:after="0" w:line="235" w:lineRule="auto"/>
        <w:rPr>
          <w:sz w:val="20"/>
          <w:szCs w:val="20"/>
          <w:color w:val="auto"/>
        </w:rPr>
      </w:pPr>
      <w:r>
        <w:rPr>
          <w:rFonts w:ascii="Arial" w:cs="Arial" w:eastAsia="Arial" w:hAnsi="Arial"/>
          <w:sz w:val="18"/>
          <w:szCs w:val="18"/>
          <w:color w:val="auto"/>
        </w:rPr>
        <w:t>CONTACT:</w:t>
      </w:r>
    </w:p>
    <w:p>
      <w:pPr>
        <w:spacing w:after="0" w:line="235" w:lineRule="auto"/>
        <w:rPr>
          <w:sz w:val="20"/>
          <w:szCs w:val="20"/>
          <w:color w:val="auto"/>
        </w:rPr>
      </w:pPr>
      <w:r>
        <w:rPr>
          <w:rFonts w:ascii="Arial" w:cs="Arial" w:eastAsia="Arial" w:hAnsi="Arial"/>
          <w:sz w:val="18"/>
          <w:szCs w:val="18"/>
          <w:color w:val="auto"/>
        </w:rPr>
        <w:t>Samanta Stewart, 702-770-7555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20"/>
      </w:cols>
      <w:pgMar w:left="240" w:top="5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2019-12-10T23:08:53Z</dcterms:created>
  <dcterms:modified xsi:type="dcterms:W3CDTF">2019-12-10T23:08:53Z</dcterms:modified>
</cp:coreProperties>
</file>