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116205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144145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2" w:lineRule="exact"/>
        <w:rPr>
          <w:sz w:val="24"/>
          <w:szCs w:val="24"/>
          <w:color w:val="auto"/>
        </w:rPr>
      </w:pPr>
    </w:p>
    <w:p>
      <w:pPr>
        <w:ind w:left="580" w:right="20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2006</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230" w:right="379" w:bottom="1440" w:gutter="0" w:footer="0" w:header="0"/>
        </w:sectPr>
      </w:pPr>
    </w:p>
    <w:p>
      <w:pPr>
        <w:spacing w:after="0" w:line="122"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16" w:lineRule="exact"/>
        <w:rPr>
          <w:sz w:val="24"/>
          <w:szCs w:val="24"/>
          <w:color w:val="auto"/>
        </w:rPr>
      </w:pPr>
    </w:p>
    <w:p>
      <w:pPr>
        <w:sectPr>
          <w:pgSz w:w="11900" w:h="16838" w:orient="portrait"/>
          <w:cols w:equalWidth="0" w:num="2">
            <w:col w:w="2680" w:space="720"/>
            <w:col w:w="7880"/>
          </w:cols>
          <w:pgMar w:left="240" w:top="230" w:right="3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156845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p>
      <w:pPr>
        <w:spacing w:after="0" w:line="3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100" w:type="dxa"/>
            <w:vAlign w:val="bottom"/>
            <w:gridSpan w:val="3"/>
          </w:tcPr>
          <w:p>
            <w:pPr>
              <w:jc w:val="center"/>
              <w:ind w:right="4320"/>
              <w:spacing w:after="0"/>
              <w:rPr>
                <w:sz w:val="20"/>
                <w:szCs w:val="20"/>
                <w:color w:val="auto"/>
              </w:rPr>
            </w:pPr>
            <w:r>
              <w:rPr>
                <w:rFonts w:ascii="Arial" w:cs="Arial" w:eastAsia="Arial" w:hAnsi="Arial"/>
                <w:sz w:val="18"/>
                <w:szCs w:val="18"/>
                <w:b w:val="1"/>
                <w:bCs w:val="1"/>
                <w:color w:val="auto"/>
                <w:w w:val="97"/>
              </w:rPr>
              <w:t>NEVADA</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7"/>
              </w:rPr>
              <w:t>88-0494878</w:t>
            </w:r>
          </w:p>
        </w:tc>
      </w:tr>
      <w:tr>
        <w:trPr>
          <w:trHeight w:val="149"/>
        </w:trPr>
        <w:tc>
          <w:tcPr>
            <w:tcW w:w="6100" w:type="dxa"/>
            <w:vAlign w:val="bottom"/>
            <w:gridSpan w:val="3"/>
          </w:tcPr>
          <w:p>
            <w:pPr>
              <w:jc w:val="center"/>
              <w:ind w:right="432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100" w:type="dxa"/>
            <w:vAlign w:val="bottom"/>
            <w:gridSpan w:val="3"/>
          </w:tcPr>
          <w:p>
            <w:pPr>
              <w:jc w:val="center"/>
              <w:ind w:right="4320"/>
              <w:spacing w:after="0"/>
              <w:rPr>
                <w:sz w:val="20"/>
                <w:szCs w:val="20"/>
                <w:color w:val="auto"/>
              </w:rPr>
            </w:pPr>
            <w:r>
              <w:rPr>
                <w:rFonts w:ascii="Arial" w:cs="Arial" w:eastAsia="Arial" w:hAnsi="Arial"/>
                <w:sz w:val="14"/>
                <w:szCs w:val="14"/>
                <w:b w:val="1"/>
                <w:bCs w:val="1"/>
                <w:color w:val="auto"/>
                <w:w w:val="89"/>
              </w:rPr>
              <w:t>incorporation or organization)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Identification Number)</w:t>
            </w:r>
          </w:p>
        </w:tc>
      </w:tr>
      <w:tr>
        <w:trPr>
          <w:trHeight w:val="366"/>
        </w:trPr>
        <w:tc>
          <w:tcPr>
            <w:tcW w:w="6100" w:type="dxa"/>
            <w:vAlign w:val="bottom"/>
            <w:gridSpan w:val="3"/>
          </w:tcPr>
          <w:p>
            <w:pPr>
              <w:jc w:val="center"/>
              <w:ind w:left="1424"/>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1380" w:type="dxa"/>
            <w:vAlign w:val="bottom"/>
          </w:tcPr>
          <w:p>
            <w:pPr>
              <w:spacing w:after="0"/>
              <w:rPr>
                <w:sz w:val="24"/>
                <w:szCs w:val="24"/>
                <w:color w:val="auto"/>
              </w:rPr>
            </w:pPr>
          </w:p>
        </w:tc>
      </w:tr>
      <w:tr>
        <w:trPr>
          <w:trHeight w:val="174"/>
        </w:trPr>
        <w:tc>
          <w:tcPr>
            <w:tcW w:w="6100" w:type="dxa"/>
            <w:vAlign w:val="bottom"/>
            <w:gridSpan w:val="3"/>
          </w:tcPr>
          <w:p>
            <w:pPr>
              <w:jc w:val="center"/>
              <w:ind w:left="1424"/>
              <w:spacing w:after="0"/>
              <w:rPr>
                <w:sz w:val="20"/>
                <w:szCs w:val="20"/>
                <w:color w:val="auto"/>
              </w:rPr>
            </w:pPr>
            <w:r>
              <w:rPr>
                <w:rFonts w:ascii="Arial" w:cs="Arial" w:eastAsia="Arial" w:hAnsi="Arial"/>
                <w:sz w:val="14"/>
                <w:szCs w:val="14"/>
                <w:b w:val="1"/>
                <w:bCs w:val="1"/>
                <w:color w:val="auto"/>
                <w:w w:val="86"/>
              </w:rPr>
              <w:t>(Address of principal executive office) (Zip Code)</w:t>
            </w:r>
          </w:p>
        </w:tc>
        <w:tc>
          <w:tcPr>
            <w:tcW w:w="1380" w:type="dxa"/>
            <w:vAlign w:val="bottom"/>
          </w:tcPr>
          <w:p>
            <w:pPr>
              <w:spacing w:after="0"/>
              <w:rPr>
                <w:sz w:val="15"/>
                <w:szCs w:val="15"/>
                <w:color w:val="auto"/>
              </w:rPr>
            </w:pPr>
          </w:p>
        </w:tc>
      </w:tr>
      <w:tr>
        <w:trPr>
          <w:trHeight w:val="352"/>
        </w:trPr>
        <w:tc>
          <w:tcPr>
            <w:tcW w:w="5000" w:type="dxa"/>
            <w:vAlign w:val="bottom"/>
            <w:gridSpan w:val="2"/>
          </w:tcPr>
          <w:p>
            <w:pPr>
              <w:jc w:val="center"/>
              <w:ind w:left="2504"/>
              <w:spacing w:after="0"/>
              <w:rPr>
                <w:sz w:val="20"/>
                <w:szCs w:val="20"/>
                <w:color w:val="auto"/>
              </w:rPr>
            </w:pPr>
            <w:r>
              <w:rPr>
                <w:rFonts w:ascii="Arial" w:cs="Arial" w:eastAsia="Arial" w:hAnsi="Arial"/>
                <w:sz w:val="18"/>
                <w:szCs w:val="18"/>
                <w:b w:val="1"/>
                <w:bCs w:val="1"/>
                <w:color w:val="auto"/>
                <w:w w:val="89"/>
              </w:rPr>
              <w:t>(702) 770-7555</w:t>
            </w: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4"/>
        </w:trPr>
        <w:tc>
          <w:tcPr>
            <w:tcW w:w="6100" w:type="dxa"/>
            <w:vAlign w:val="bottom"/>
            <w:gridSpan w:val="3"/>
          </w:tcPr>
          <w:p>
            <w:pPr>
              <w:jc w:val="center"/>
              <w:ind w:left="140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380" w:type="dxa"/>
            <w:vAlign w:val="bottom"/>
          </w:tcPr>
          <w:p>
            <w:pPr>
              <w:spacing w:after="0"/>
              <w:rPr>
                <w:sz w:val="15"/>
                <w:szCs w:val="15"/>
                <w:color w:val="auto"/>
              </w:rPr>
            </w:pPr>
          </w:p>
        </w:tc>
      </w:tr>
      <w:tr>
        <w:trPr>
          <w:trHeight w:val="176"/>
        </w:trPr>
        <w:tc>
          <w:tcPr>
            <w:tcW w:w="2580" w:type="dxa"/>
            <w:vAlign w:val="bottom"/>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316"/>
        </w:trPr>
        <w:tc>
          <w:tcPr>
            <w:tcW w:w="2580" w:type="dxa"/>
            <w:vAlign w:val="bottom"/>
          </w:tcPr>
          <w:p>
            <w:pPr>
              <w:spacing w:after="0"/>
              <w:rPr>
                <w:sz w:val="24"/>
                <w:szCs w:val="24"/>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96"/>
              </w:rPr>
              <w:t>N/A</w:t>
            </w:r>
          </w:p>
        </w:tc>
        <w:tc>
          <w:tcPr>
            <w:tcW w:w="1380" w:type="dxa"/>
            <w:vAlign w:val="bottom"/>
          </w:tcPr>
          <w:p>
            <w:pPr>
              <w:spacing w:after="0"/>
              <w:rPr>
                <w:sz w:val="24"/>
                <w:szCs w:val="24"/>
                <w:color w:val="auto"/>
              </w:rPr>
            </w:pPr>
          </w:p>
        </w:tc>
      </w:tr>
    </w:tbl>
    <w:p>
      <w:pPr>
        <w:jc w:val="center"/>
        <w:ind w:right="-1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113665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72"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280"/>
          </w:cols>
          <w:pgMar w:left="240" w:top="230" w:right="379" w:bottom="1440" w:gutter="0" w:footer="0" w:header="0"/>
          <w:type w:val="continuous"/>
        </w:sectPr>
      </w:pPr>
    </w:p>
    <w:p>
      <w:pPr>
        <w:spacing w:after="0" w:line="132" w:lineRule="exact"/>
        <w:rPr>
          <w:sz w:val="24"/>
          <w:szCs w:val="24"/>
          <w:color w:val="auto"/>
        </w:rPr>
      </w:pPr>
    </w:p>
    <w:p>
      <w:pPr>
        <w:ind w:left="270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6">
            <w:col w:w="4280" w:space="80"/>
            <w:col w:w="160" w:space="520"/>
            <w:col w:w="1180" w:space="80"/>
            <w:col w:w="160" w:space="540"/>
            <w:col w:w="1480" w:space="80"/>
            <w:col w:w="2720"/>
          </w:cols>
          <w:pgMar w:left="240" w:top="230" w:right="37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4">
            <w:col w:w="8380" w:space="180"/>
            <w:col w:w="260" w:space="80"/>
            <w:col w:w="160" w:space="180"/>
            <w:col w:w="2040"/>
          </w:cols>
          <w:pgMar w:left="240" w:top="230" w:right="37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the number of shares outstanding of each of the issuer’s classes of common stock, as of the latest practicable date.</w:t>
      </w:r>
    </w:p>
    <w:p>
      <w:pPr>
        <w:spacing w:after="0" w:line="206"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May 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600" w:type="dxa"/>
            <w:vAlign w:val="bottom"/>
            <w:gridSpan w:val="9"/>
          </w:tcPr>
          <w:p>
            <w:pPr>
              <w:spacing w:after="0"/>
              <w:rPr>
                <w:sz w:val="20"/>
                <w:szCs w:val="20"/>
                <w:color w:val="auto"/>
              </w:rPr>
            </w:pPr>
            <w:r>
              <w:rPr>
                <w:rFonts w:ascii="Arial" w:cs="Arial" w:eastAsia="Arial" w:hAnsi="Arial"/>
                <w:sz w:val="18"/>
                <w:szCs w:val="18"/>
                <w:b w:val="1"/>
                <w:bCs w:val="1"/>
                <w:color w:val="auto"/>
              </w:rPr>
              <w:t>Financial Information</w:t>
            </w:r>
          </w:p>
        </w:tc>
        <w:tc>
          <w:tcPr>
            <w:tcW w:w="700" w:type="dxa"/>
            <w:vAlign w:val="bottom"/>
          </w:tcPr>
          <w:p>
            <w:pPr>
              <w:spacing w:after="0"/>
              <w:rPr>
                <w:sz w:val="19"/>
                <w:szCs w:val="19"/>
                <w:color w:val="auto"/>
              </w:rPr>
            </w:pPr>
          </w:p>
        </w:tc>
      </w:tr>
      <w:tr>
        <w:trPr>
          <w:trHeight w:val="284"/>
        </w:trPr>
        <w:tc>
          <w:tcPr>
            <w:tcW w:w="1120" w:type="dxa"/>
            <w:vAlign w:val="bottom"/>
          </w:tcPr>
          <w:p>
            <w:pPr>
              <w:spacing w:after="0"/>
              <w:rPr>
                <w:sz w:val="20"/>
                <w:szCs w:val="20"/>
                <w:color w:val="auto"/>
              </w:rPr>
            </w:pPr>
            <w:r>
              <w:rPr>
                <w:rFonts w:ascii="Arial" w:cs="Arial" w:eastAsia="Arial" w:hAnsi="Arial"/>
                <w:sz w:val="18"/>
                <w:szCs w:val="18"/>
                <w:color w:val="auto"/>
              </w:rPr>
              <w:t>Item 1.</w:t>
            </w:r>
          </w:p>
        </w:tc>
        <w:tc>
          <w:tcPr>
            <w:tcW w:w="9600" w:type="dxa"/>
            <w:vAlign w:val="bottom"/>
            <w:gridSpan w:val="9"/>
          </w:tcPr>
          <w:p>
            <w:pPr>
              <w:spacing w:after="0"/>
              <w:rPr>
                <w:sz w:val="20"/>
                <w:szCs w:val="20"/>
                <w:color w:val="auto"/>
              </w:rPr>
            </w:pPr>
            <w:r>
              <w:rPr>
                <w:rFonts w:ascii="Arial" w:cs="Arial" w:eastAsia="Arial" w:hAnsi="Arial"/>
                <w:sz w:val="18"/>
                <w:szCs w:val="18"/>
                <w:color w:val="auto"/>
              </w:rPr>
              <w:t>Financial Statements</w:t>
            </w:r>
          </w:p>
        </w:tc>
        <w:tc>
          <w:tcPr>
            <w:tcW w:w="700" w:type="dxa"/>
            <w:vAlign w:val="bottom"/>
          </w:tcPr>
          <w:p>
            <w:pPr>
              <w:spacing w:after="0"/>
              <w:rPr>
                <w:sz w:val="24"/>
                <w:szCs w:val="24"/>
                <w:color w:val="auto"/>
              </w:rPr>
            </w:pPr>
          </w:p>
        </w:tc>
      </w:tr>
      <w:tr>
        <w:trPr>
          <w:trHeight w:val="245"/>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7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(unaudited) – March 31, 2006 and December 31, 2005</w:t>
              </w:r>
            </w:hyperlink>
          </w:p>
        </w:tc>
        <w:tc>
          <w:tcPr>
            <w:tcW w:w="2640" w:type="dxa"/>
            <w:vAlign w:val="bottom"/>
            <w:gridSpan w:val="3"/>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380" w:type="dxa"/>
            <w:vAlign w:val="bottom"/>
            <w:gridSpan w:val="8"/>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(unaudited) – Three months ended March 31, 2006 and 2005 (as restated)</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64"/>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380" w:type="dxa"/>
            <w:vAlign w:val="bottom"/>
            <w:gridSpan w:val="8"/>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Cash Flows (unaudited) – Three Months ended March 31, 2006 and 2005 (as restated)</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4100" w:type="dxa"/>
            <w:vAlign w:val="bottom"/>
            <w:tcBorders>
              <w:top w:val="single" w:sz="8" w:color="0000EE"/>
            </w:tcBorders>
            <w:gridSpan w:val="4"/>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9600" w:type="dxa"/>
            <w:vAlign w:val="bottom"/>
            <w:gridSpan w:val="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6300" w:type="dxa"/>
            <w:vAlign w:val="bottom"/>
            <w:tcBorders>
              <w:top w:val="single" w:sz="8" w:color="0000EE"/>
            </w:tcBorders>
            <w:gridSpan w:val="5"/>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3300" w:type="dxa"/>
            <w:vAlign w:val="bottom"/>
            <w:gridSpan w:val="4"/>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6"/>
              </w:rPr>
            </w:pPr>
            <w:hyperlink w:anchor="page36">
              <w:r>
                <w:rPr>
                  <w:rFonts w:ascii="Arial" w:cs="Arial" w:eastAsia="Arial" w:hAnsi="Arial"/>
                  <w:sz w:val="18"/>
                  <w:szCs w:val="18"/>
                  <w:color w:val="0000EE"/>
                  <w:w w:val="86"/>
                </w:rPr>
                <w:t>Controls and Procedures</w:t>
              </w:r>
            </w:hyperlink>
          </w:p>
        </w:tc>
        <w:tc>
          <w:tcPr>
            <w:tcW w:w="2520" w:type="dxa"/>
            <w:vAlign w:val="bottom"/>
            <w:tcBorders>
              <w:top w:val="single" w:sz="8" w:color="0000EE"/>
            </w:tcBorders>
          </w:tcPr>
          <w:p>
            <w:pPr>
              <w:spacing w:after="0"/>
              <w:rPr>
                <w:sz w:val="22"/>
                <w:szCs w:val="22"/>
                <w:color w:val="auto"/>
              </w:rPr>
            </w:pPr>
          </w:p>
        </w:tc>
        <w:tc>
          <w:tcPr>
            <w:tcW w:w="5340" w:type="dxa"/>
            <w:vAlign w:val="bottom"/>
            <w:gridSpan w:val="6"/>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4400" w:type="dxa"/>
            <w:vAlign w:val="bottom"/>
            <w:gridSpan w:val="3"/>
          </w:tcPr>
          <w:p>
            <w:pPr>
              <w:spacing w:after="0"/>
              <w:rPr>
                <w:sz w:val="20"/>
                <w:szCs w:val="20"/>
                <w:color w:val="auto"/>
              </w:rPr>
            </w:pPr>
            <w:r>
              <w:rPr>
                <w:rFonts w:ascii="Arial" w:cs="Arial" w:eastAsia="Arial" w:hAnsi="Arial"/>
                <w:sz w:val="18"/>
                <w:szCs w:val="18"/>
                <w:b w:val="1"/>
                <w:bCs w:val="1"/>
                <w:color w:val="auto"/>
              </w:rPr>
              <w:t>Other Information</w:t>
            </w:r>
          </w:p>
        </w:tc>
        <w:tc>
          <w:tcPr>
            <w:tcW w:w="5900" w:type="dxa"/>
            <w:vAlign w:val="bottom"/>
          </w:tcPr>
          <w:p>
            <w:pPr>
              <w:spacing w:after="0"/>
              <w:rPr>
                <w:sz w:val="19"/>
                <w:szCs w:val="19"/>
                <w:color w:val="auto"/>
              </w:rPr>
            </w:pPr>
          </w:p>
        </w:tc>
      </w:tr>
      <w:tr>
        <w:trPr>
          <w:trHeight w:val="245"/>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Unregistered Sales of Equity Securities and Use of Proceeds</w:t>
              </w:r>
            </w:hyperlink>
          </w:p>
        </w:tc>
        <w:tc>
          <w:tcPr>
            <w:tcW w:w="140" w:type="dxa"/>
            <w:vAlign w:val="bottom"/>
          </w:tcPr>
          <w:p>
            <w:pPr>
              <w:spacing w:after="0"/>
              <w:rPr>
                <w:sz w:val="21"/>
                <w:szCs w:val="21"/>
                <w:color w:val="auto"/>
              </w:rPr>
            </w:pPr>
          </w:p>
        </w:tc>
        <w:tc>
          <w:tcPr>
            <w:tcW w:w="5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6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40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5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64"/>
        </w:trPr>
        <w:tc>
          <w:tcPr>
            <w:tcW w:w="112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w:t>
              </w:r>
            </w:hyperlink>
          </w:p>
        </w:tc>
        <w:tc>
          <w:tcPr>
            <w:tcW w:w="600" w:type="dxa"/>
            <w:vAlign w:val="bottom"/>
            <w:tcBorders>
              <w:top w:val="single" w:sz="8" w:color="0000EE"/>
            </w:tcBorders>
          </w:tcPr>
          <w:p>
            <w:pPr>
              <w:spacing w:after="0"/>
              <w:rPr>
                <w:sz w:val="22"/>
                <w:szCs w:val="22"/>
                <w:color w:val="auto"/>
              </w:rPr>
            </w:pPr>
          </w:p>
        </w:tc>
        <w:tc>
          <w:tcPr>
            <w:tcW w:w="3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3"/>
        </w:trPr>
        <w:tc>
          <w:tcPr>
            <w:tcW w:w="68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tcPr>
          <w:p>
            <w:pPr>
              <w:jc w:val="right"/>
              <w:ind w:right="557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4120"/>
              <w:spacing w:after="0"/>
              <w:rPr>
                <w:sz w:val="20"/>
                <w:szCs w:val="20"/>
                <w:color w:val="auto"/>
              </w:rPr>
            </w:pPr>
            <w:r>
              <w:rPr>
                <w:rFonts w:ascii="Arial" w:cs="Arial" w:eastAsia="Arial" w:hAnsi="Arial"/>
                <w:sz w:val="18"/>
                <w:szCs w:val="18"/>
                <w:b w:val="1"/>
                <w:bCs w:val="1"/>
                <w:color w:val="auto"/>
              </w:rPr>
              <w:t>ASSETS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123,346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32,460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44,498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66,382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47,317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17,029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286,534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278,907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331,942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83,767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2,310,841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2,324,794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18,913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58,138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66,355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73,559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assets</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3,160,952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3,195,828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4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 term debt</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Accounts and construction payables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25,282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25,426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30,060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Customer deposits and other related liabilities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38,348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196,944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221,732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1,737,209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1,748,510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Due to affiliates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1,934,744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1,970,999</w:t>
            </w:r>
          </w:p>
        </w:tc>
        <w:tc>
          <w:tcPr>
            <w:tcW w:w="0" w:type="dxa"/>
            <w:vAlign w:val="bottom"/>
          </w:tcPr>
          <w:p>
            <w:pPr>
              <w:spacing w:after="0"/>
              <w:rPr>
                <w:sz w:val="1"/>
                <w:szCs w:val="1"/>
                <w:color w:val="auto"/>
              </w:rPr>
            </w:pPr>
          </w:p>
        </w:tc>
      </w:tr>
      <w:tr>
        <w:trPr>
          <w:trHeight w:val="221"/>
        </w:trPr>
        <w:tc>
          <w:tcPr>
            <w:tcW w:w="76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20"/>
              <w:spacing w:after="0"/>
              <w:rPr>
                <w:sz w:val="20"/>
                <w:szCs w:val="20"/>
                <w:color w:val="auto"/>
              </w:rPr>
            </w:pPr>
            <w:r>
              <w:rPr>
                <w:rFonts w:ascii="Arial" w:cs="Arial" w:eastAsia="Arial" w:hAnsi="Arial"/>
                <w:sz w:val="18"/>
                <w:szCs w:val="18"/>
                <w:color w:val="auto"/>
              </w:rPr>
              <w:t>Contributed capital</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1,447,572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1,445,785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(221,364)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860"/>
              <w:spacing w:after="0"/>
              <w:rPr>
                <w:sz w:val="20"/>
                <w:szCs w:val="20"/>
                <w:color w:val="auto"/>
              </w:rPr>
            </w:pPr>
            <w:r>
              <w:rPr>
                <w:rFonts w:ascii="Arial" w:cs="Arial" w:eastAsia="Arial" w:hAnsi="Arial"/>
                <w:sz w:val="18"/>
                <w:szCs w:val="18"/>
                <w:color w:val="auto"/>
              </w:rPr>
              <w:t>Total member’s equity</w:t>
            </w: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4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1,226,208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1,224,829</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3,160,952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3,195,828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89"/>
              </w:rPr>
              <w:t>March 31,</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(As Restated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See Note 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Casino</w:t>
            </w:r>
          </w:p>
        </w:tc>
        <w:tc>
          <w:tcPr>
            <w:tcW w:w="3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126,514</w:t>
            </w:r>
          </w:p>
        </w:tc>
        <w:tc>
          <w:tcPr>
            <w:tcW w:w="340" w:type="dxa"/>
            <w:vAlign w:val="bottom"/>
          </w:tcPr>
          <w:p>
            <w:pPr>
              <w:spacing w:after="0"/>
              <w:rPr>
                <w:sz w:val="18"/>
                <w:szCs w:val="18"/>
                <w:color w:val="auto"/>
              </w:rPr>
            </w:pP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74,634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318,418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2"/>
              </w:rPr>
              <w:t>(41,057)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2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277,361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Casino</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63,236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44,759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42,210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38,949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255,476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Equity in income from unconsolidated affiliates</w:t>
            </w:r>
          </w:p>
        </w:tc>
        <w:tc>
          <w:tcPr>
            <w:tcW w:w="2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(30,659)</w:t>
            </w:r>
          </w:p>
        </w:tc>
        <w:tc>
          <w:tcPr>
            <w:tcW w:w="0" w:type="dxa"/>
            <w:vAlign w:val="bottom"/>
          </w:tcPr>
          <w:p>
            <w:pPr>
              <w:spacing w:after="0"/>
              <w:rPr>
                <w:sz w:val="1"/>
                <w:szCs w:val="1"/>
                <w:color w:val="auto"/>
              </w:rPr>
            </w:pPr>
          </w:p>
        </w:tc>
      </w:tr>
      <w:tr>
        <w:trPr>
          <w:trHeight w:val="222"/>
        </w:trPr>
        <w:tc>
          <w:tcPr>
            <w:tcW w:w="634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2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w w:val="92"/>
              </w:rPr>
              <w:t>(31,993)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swap fair value</w:t>
            </w:r>
          </w:p>
        </w:tc>
        <w:tc>
          <w:tcPr>
            <w:tcW w:w="2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ind w:left="860"/>
              <w:spacing w:after="0"/>
              <w:rPr>
                <w:sz w:val="20"/>
                <w:szCs w:val="20"/>
                <w:color w:val="auto"/>
              </w:rPr>
            </w:pPr>
            <w:r>
              <w:rPr>
                <w:rFonts w:ascii="Arial" w:cs="Arial" w:eastAsia="Arial" w:hAnsi="Arial"/>
                <w:sz w:val="18"/>
                <w:szCs w:val="18"/>
                <w:color w:val="auto"/>
              </w:rPr>
              <w:t>Other income (expense), net</w:t>
            </w:r>
          </w:p>
        </w:tc>
        <w:tc>
          <w:tcPr>
            <w:tcW w:w="2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w w:val="92"/>
              </w:rPr>
              <w:t>(22,656)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(408)</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(19,208)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ind w:left="3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736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(As Restated</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w:t>
            </w:r>
          </w:p>
        </w:tc>
      </w:tr>
      <w:tr>
        <w:trPr>
          <w:trHeight w:val="174"/>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See Note 12)</w:t>
            </w: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loss</w:t>
            </w:r>
          </w:p>
        </w:tc>
        <w:tc>
          <w:tcPr>
            <w:tcW w:w="2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(408)</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(19,208)</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38,949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based compensation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 other</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Change in fair value of interest rate swaps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(3,355)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(7,700)</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(508)</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(6,081)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(5,981)</w:t>
            </w:r>
          </w:p>
        </w:tc>
      </w:tr>
      <w:tr>
        <w:trPr>
          <w:trHeight w:val="216"/>
        </w:trPr>
        <w:tc>
          <w:tcPr>
            <w:tcW w:w="20" w:type="dxa"/>
            <w:vAlign w:val="bottom"/>
          </w:tcPr>
          <w:p>
            <w:pPr>
              <w:spacing w:after="0"/>
              <w:rPr>
                <w:sz w:val="18"/>
                <w:szCs w:val="18"/>
                <w:color w:val="auto"/>
              </w:rPr>
            </w:pPr>
          </w:p>
        </w:tc>
        <w:tc>
          <w:tcPr>
            <w:tcW w:w="736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(2,910)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37,407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360" w:type="dxa"/>
            <w:vAlign w:val="bottom"/>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60,707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w w:val="92"/>
              </w:rPr>
              <w:t>(37,504)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(268,894)</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(48,705)</w:t>
            </w: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Intangibles and other assets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(21,887)</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assets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Due to affiliates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w w:val="92"/>
              </w:rPr>
              <w:t>(13,383)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(9,276)</w:t>
            </w:r>
          </w:p>
        </w:tc>
      </w:tr>
      <w:tr>
        <w:trPr>
          <w:trHeight w:val="27"/>
        </w:trPr>
        <w:tc>
          <w:tcPr>
            <w:tcW w:w="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2"/>
              </w:rPr>
              <w:t>(13,907)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(348,739)</w:t>
            </w:r>
          </w:p>
        </w:tc>
      </w:tr>
      <w:tr>
        <w:trPr>
          <w:trHeight w:val="222"/>
        </w:trPr>
        <w:tc>
          <w:tcPr>
            <w:tcW w:w="73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2"/>
              </w:rPr>
              <w:t>(11,231)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373,436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financing activities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92"/>
              </w:rPr>
              <w:t>(11,231)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373,436</w:t>
            </w:r>
          </w:p>
        </w:tc>
        <w:tc>
          <w:tcPr>
            <w:tcW w:w="60" w:type="dxa"/>
            <w:vAlign w:val="bottom"/>
            <w:shd w:val="clear" w:color="auto" w:fill="CCEEFF"/>
          </w:tcPr>
          <w:p>
            <w:pPr>
              <w:spacing w:after="0"/>
              <w:rPr>
                <w:sz w:val="18"/>
                <w:szCs w:val="18"/>
                <w:color w:val="auto"/>
              </w:rPr>
            </w:pPr>
          </w:p>
        </w:tc>
      </w:tr>
      <w:tr>
        <w:trPr>
          <w:trHeight w:val="222"/>
        </w:trPr>
        <w:tc>
          <w:tcPr>
            <w:tcW w:w="73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6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9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87,777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2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123,346</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Organization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Wynn Las Vegas, LLC was formed on April 17, 2001 as a Nevada limited liability company. Originally named Hotel A, LLC; its name was changed to Wynn Las Vegas, LLC on May 15, 2002. Unless the context otherwise requires, all references herein to the “Company” refer to Wynn Las Vegas, LLC, a Nevada corporation and its consolidated subsidiaries, including for periods when the Company was named Hotel A, LLC. The sole member of the Company is Wynn Resorts Holdings, LLC (“Holdings”). The sole member of Holdings is Wynn Resorts, Limited (“Wynn Resorts”). The Company was organized primarily to construct and operate “Wynn Las Vegas,” a destination resort and casino on the site of the former Desert Inn Resort and Casino (the “Desert Inn”) on “the Strip” in Las Vegas, Nevada. Wynn Las Vegas opened to the public on April 28, 2005.</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March 31, 2006, the Company owned the one share that was issued and outstanding. Wynn Capital has neither any significant net assets nor has had any operating activity. Its sole function is to serve as the co-issuer of the mortgage notes described herein. Wynn Las Vegas, LLC and Wynn Capital together are hereinafter referred to as the “Issuers.”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commenced operations with the opening of Wynn Las Vegas on April 28, 2005. The development of the Company’s expansion of Wynn Las Vegas, known as “Encore at Wynn Las Vegas” or “Encore,” is ongoing. For the periods presented prior to April 28, 2005, the Company was solely a development stage company.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2006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2005.</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amounts in the quarter ended March 31, 2005 condensed consolidated financial statements have been reclassified to conform to the quarter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March 31, 2006 presentation as follows:</w:t>
      </w:r>
    </w:p>
    <w:p>
      <w:pPr>
        <w:spacing w:after="0" w:line="84" w:lineRule="exact"/>
        <w:rPr>
          <w:sz w:val="20"/>
          <w:szCs w:val="20"/>
          <w:color w:val="auto"/>
        </w:rPr>
      </w:pPr>
    </w:p>
    <w:p>
      <w:pPr>
        <w:ind w:left="780" w:right="1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Amounts in the statements of operations classified as “cost of water” for the quarter ended March 31, 2005 have been reclassified as “entertainment, retail and other expenses” for the quarter ended March 31, 2006;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780" w:right="520" w:hanging="32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in the statements of operations classified as “(gain)/loss on sales of assets” and “loss from incidental operations” for the quarter ended March 31, 2005 have been reclassified as “property charges and other” for the quarter ended March 31, 2006.</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246" w:lineRule="exact"/>
        <w:rPr>
          <w:sz w:val="20"/>
          <w:szCs w:val="20"/>
          <w:color w:val="auto"/>
        </w:rPr>
      </w:pPr>
    </w:p>
    <w:p>
      <w:pPr>
        <w:ind w:left="240" w:right="7920" w:hanging="232"/>
        <w:spacing w:after="0" w:line="391" w:lineRule="auto"/>
        <w:tabs>
          <w:tab w:leader="none" w:pos="187"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Accounts receivable and credit risk</w:t>
      </w:r>
    </w:p>
    <w:p>
      <w:pPr>
        <w:spacing w:after="0" w:line="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March 31, 2006, approximately 60% of the Company’s receivables were due from customers residing in foreign countries. Business or economic conditions or other significant events in these countries could affect the collectibility of such receivables.</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Cost is determined by the first-in, first-out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for the three months ended March 31, 2006 is primarily included in casino expenses as follows (amounts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Food &amp; Beverage</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15,847</w:t>
            </w: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w:t>
            </w:r>
          </w:p>
        </w:tc>
      </w:tr>
      <w:tr>
        <w:trPr>
          <w:trHeight w:val="222"/>
        </w:trPr>
        <w:tc>
          <w:tcPr>
            <w:tcW w:w="986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24,605</w:t>
            </w:r>
          </w:p>
        </w:tc>
      </w:tr>
      <w:tr>
        <w:trPr>
          <w:trHeight w:val="20"/>
        </w:trPr>
        <w:tc>
          <w:tcPr>
            <w:tcW w:w="9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expenses advertising costs the first time the advertising runs. Advertising expenses incurred in development periods are included in pre-opening expenses. Since the opening of Wynn Las Vegas on April 28, 2005, advertising costs have been included in general and administrative expenses. Total advertising expenses included in general and administrative expenses for the three months ended March 31, 2006 were approximately $5.3 million. Prior to the opening of Wynn Las Vegas, advertising expenses were charged to pre-opening expenses. Total advertising expenses included in pre-opening expenses during the three months ended March 31, 2005 were approximately $2.5 million.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December 2004, the Financial Accounting Standards Board (“FASB”) issued Statement of Financial Accounting Standards (“SFAS”) No. 123(R), “Share Based Payment.” This statement is a revision of SFAS No. 123, “Accounting for Stock-Based Compensation” and supercedes APB Opinion No. 25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The Company adopted this statement on January 1, 2006 under the modified prospective method and using the Black-Scholes valuation model to value the equity instruments issued. In applying the modified prospective method, financial statements of prior periods presented do not reflect any adjusted amounts (i.e. prior periods do not include compensation cost calculated under the fair value method).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2005, the SEC issued Staff Accounting Bulleting (“SAB”) No. 107, “Share-Based Payment” to provide interpretive guidance on SFAS</w:t>
      </w:r>
    </w:p>
    <w:p>
      <w:pPr>
        <w:spacing w:after="0" w:line="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No. 123(R) valuation methods, assumptions used in valuation models, and the interaction of SFAS No. 123(R) with existing SEC guidance. SAB No. 107 also requires the classification of stock compensation expense in the same financial statement line items as cash compensation, and therefore impacts the Company’s departmental expenses (and related operating margins), pre-opening costs and construction in progress for the Company’s development projects, and the Company’s general and administrative expenses.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adoption of SFAS No. 123(R) and the related interpretations resulted in the Company’s recognition of approximately $1.8 million of compensation cost related to grants of options for the common stock of Wynn Resorts in the following divisions for the three months ended March 31, 2006 (amounts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Rooms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Food &amp; Beverage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22"/>
        </w:trPr>
        <w:tc>
          <w:tcPr>
            <w:tcW w:w="908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1,787</w:t>
            </w:r>
          </w:p>
        </w:tc>
      </w:tr>
      <w:tr>
        <w:trPr>
          <w:trHeight w:val="20"/>
        </w:trPr>
        <w:tc>
          <w:tcPr>
            <w:tcW w:w="9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permitted by SFAS No. 148, “Accounting for Stock-Based Compensation – Transition and Disclosure, an amendment of SFAS No. 123,” the Company continued to apply the provisions of Accounting Principles Board (“APB”) Opinion No. 25, “Accounting for Stock Issued to Employees,” and related interpretations in accounting for its employee stock-based compensation for the three months ended March 31, 2005. Accordingly, compensation expense was recognized only to the extent that the market value at the date of grant exceeds the exercise price. The following table illustrates the effect on the net loss that would have resulted had the Company applied the fair value recognition provisions of SFAS No. 123, “Accounting for Stock-Based Compensation” to stock-based employee compensation during the three months ended March 31, 2005 (amounts in thousands):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(19,208)</w:t>
            </w:r>
          </w:p>
        </w:tc>
        <w:tc>
          <w:tcPr>
            <w:tcW w:w="0" w:type="dxa"/>
            <w:vAlign w:val="bottom"/>
          </w:tcPr>
          <w:p>
            <w:pPr>
              <w:spacing w:after="0"/>
              <w:rPr>
                <w:sz w:val="1"/>
                <w:szCs w:val="1"/>
                <w:color w:val="auto"/>
              </w:rPr>
            </w:pPr>
          </w:p>
        </w:tc>
      </w:tr>
      <w:tr>
        <w:trPr>
          <w:trHeight w:val="216"/>
        </w:trPr>
        <w:tc>
          <w:tcPr>
            <w:tcW w:w="8860" w:type="dxa"/>
            <w:vAlign w:val="bottom"/>
          </w:tcPr>
          <w:p>
            <w:pPr>
              <w:ind w:left="440"/>
              <w:spacing w:after="0"/>
              <w:rPr>
                <w:sz w:val="20"/>
                <w:szCs w:val="20"/>
                <w:color w:val="auto"/>
              </w:rPr>
            </w:pPr>
            <w:r>
              <w:rPr>
                <w:rFonts w:ascii="Arial" w:cs="Arial" w:eastAsia="Arial" w:hAnsi="Arial"/>
                <w:sz w:val="18"/>
                <w:szCs w:val="18"/>
                <w:color w:val="auto"/>
              </w:rPr>
              <w:t>Add: stock-based compensation recorded</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88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Less: total stock-based employee compensation expenses determined under the fair-value based method for all</w:t>
            </w: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awards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
        </w:trPr>
        <w:tc>
          <w:tcPr>
            <w:tcW w:w="8860" w:type="dxa"/>
            <w:vAlign w:val="bottom"/>
            <w:vMerge w:val="restart"/>
          </w:tcPr>
          <w:p>
            <w:pPr>
              <w:spacing w:after="0"/>
              <w:rPr>
                <w:sz w:val="20"/>
                <w:szCs w:val="20"/>
                <w:color w:val="auto"/>
              </w:rPr>
            </w:pPr>
            <w:r>
              <w:rPr>
                <w:rFonts w:ascii="Arial" w:cs="Arial" w:eastAsia="Arial" w:hAnsi="Arial"/>
                <w:sz w:val="18"/>
                <w:szCs w:val="18"/>
                <w:color w:val="auto"/>
              </w:rPr>
              <w:t>Proforma net loss</w:t>
            </w: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60" w:type="dxa"/>
            <w:vAlign w:val="bottom"/>
            <w:vMerge w:val="continue"/>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(19,952)</w:t>
            </w: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information on the Company’s share-based compensation arrangements is included in Note 10. Share-based Compensation.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Interest paid for the three months ended March 31, 2006 and 2005 totaled approximately $10.7 million and $4.2 million, respectively. Interest capitalized for the three months ended March 31, 2006 and 2005 totaled approximately $276,000 and $26.7 million, respectively.</w:t>
      </w:r>
    </w:p>
    <w:p>
      <w:pPr>
        <w:spacing w:after="0" w:line="132"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Stock-based compensation related to employees of affiliates dedicated to the construction or enhancement of Wynn Las Vegas and the development of Encore that was capitalized into construction in progress for the three months ended March 31, 2006 and 2005 totaled approximately $539,000 and $539,000, respectively.</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three months ended March 31, 2006 approximately $13.5 million of capital expenditures were made to reduce construction payables and retention recorded through amounts due to affiliates. During the three months ended March 31, 2005 capital expenditures exclude an approximately $30.9 million increase to construction payables and retention recorded through amounts due to affiliates.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Related Party Transactions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August 15, 2005, the Company borrowed $80.0 million under its revolving credit facility. The proceeds were loaned to Wynn Resorts as part of the financing of Wynn Resorts’ casino resort facility currently under construction in the Macau Special Administrative Region of the People’s Republic of China (“Macau”), known as “Wynn Macau.” Interest is payable semi-annually at 7.5% per annum. Unpaid principal and interest is due at maturity on August 15, 2012. Included in the balances as of March 31, 2006 and December 31, 2005, is approximately $3.8 million and $2.3 million, respectively, of accrued interest receivable related to this note.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 Net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of March 31, 2006, the Company’s net due to affiliates was primarily comprised of construction payables of approximately $12.3 million, construction retention of approximately $10.7 million, a management fee of approximately $15.0 million (equal to 1.5% of revenues and payable upon meeting certain leverage ratios as specified in the documents governing the Company’s credit facilities), and net amounts receivable from affiliates totaling $4.0 million (primarily corporate allocations discussed below). As of December 31, 2005, the Company’s net due to affiliates was primarily comprised of construction payables of approximately $22.4 million, construction retention of approximately $14.1 million, a management fee of approximately $10.8 million (equal to 1.5% of revenues and payable upon meeting certain leverage ratios as specified in the documents governing the Company’s credit facilities) and other operating liabilities (primarily corporate allocations discussed below) of $8.8 million.</w:t>
      </w:r>
    </w:p>
    <w:p>
      <w:pPr>
        <w:spacing w:after="0" w:line="11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Immediately prior to the opening of Wynn Las Vegas, the Company settled amounts due to affiliates through equity transactions. Subsequent to opening Wynn Las Vegas on April 28, 2005, the Company periodically settles amounts due to affiliates with cash receipts and payments, except for the management fee, which is payable upon meeting certain leverage ratios specified in the documents governing the Company’s credit facilities.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The allocation methods include specific identification, relative cost, square footage and headcount. However, Wynn Resorts maintains corporate offices at Wynn Las Vegas without charge from the Company. The Company settles these corporate allocation charges with Wynn Resorts on a periodic basis as discussed in “Amounts Due to Affiliates” above. During the three months ended March 31, 2006 approximately $3.3 million was charged to the Company for such corporate allocations.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of Wynn Resorts, including the personal use of corporate aircraft and household employees, construction work and other personal services. The Company charges Wynn Resorts for such services. Mr. Wynn and these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other officers have amounts on deposit with Wynn Resorts to prepay any such items, which are replenished on an ongoing basis as needed. At March 31, 2006 and December 31, 2005, Wynn Resorts owed Mr. Wynn and the other officers approximately $325,000 and $412,000, respectively.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Effective July 1, 2005, Mr. Wynn and his wife, Elaine P. Wynn (“Mrs. Wynn”), who is also a director of Wynn Resorts, lease from year to year a villa suite in the Wynn Las Vegas resort as their personal residence. Rent is determined each year by the Audit Committee of the Board of Directors of Wynn Resorts (the “Audit Committee”), and is based on the fair market value of the use of the suite accommodations. Based on a third-party appraisal, the Audit Committee set the rental for the first lease year at $580,000. All services for, and maintenance of, the suite are included in the rental, with certain exceptions.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At the opening of the Wynn Las Vegas, the resort included an art gallery that displayed rare paintings from The Wynn Collection, a private collection of fine art owned by Mr. and Mrs. Wynn. Prior to June 30, 2005, the Company leased The Wynn Collection from Mr. and Mrs. Wynn for an annual fee of one dollar ($1), and the Company was entitled to retain all revenues from the public display of The Wynn Collection and the related merchandising revenues. The Company was responsible for all expenses incurred in exhibiting and safeguarding The Wynn Collection, including the cost of insurance (including terrorism insurance) and taxes relating to the rental of The Wynn Collection. On June 30, 2005, this lease arrangement was restructured at the request of the Company. However, the material economic terms of the leasing relationship applicable to Mr. and Mrs. Wynn remained unchanged. In February 2006, the Company closed the art gallery and is converting the gallery location into additional retail stores. The artwork in the gallery has been relocated to different venues within Wynn Las Vegas. The Company continues to be responsible for all expenses in exhibiting and safeguarding The Wynn Collection.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Charges and 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charges and other consist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8"/>
          </w:tcPr>
          <w:p>
            <w:pPr>
              <w:jc w:val="right"/>
              <w:ind w:right="34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2006</w:t>
            </w: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Loss on assets retired for remodels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$4,949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9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Loss from incidental operations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ind w:left="440"/>
              <w:spacing w:after="0"/>
              <w:rPr>
                <w:sz w:val="20"/>
                <w:szCs w:val="20"/>
                <w:color w:val="auto"/>
              </w:rPr>
            </w:pPr>
            <w:r>
              <w:rPr>
                <w:rFonts w:ascii="Arial" w:cs="Arial" w:eastAsia="Arial" w:hAnsi="Arial"/>
                <w:sz w:val="18"/>
                <w:szCs w:val="18"/>
                <w:color w:val="auto"/>
              </w:rPr>
              <w:t>Total property charges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4,949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Receivables, net</w:t>
            </w: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40" w:type="dxa"/>
            <w:vAlign w:val="bottom"/>
            <w:gridSpan w:val="2"/>
          </w:tcPr>
          <w:p>
            <w:pPr>
              <w:ind w:left="460"/>
              <w:spacing w:after="0"/>
              <w:rPr>
                <w:sz w:val="20"/>
                <w:szCs w:val="20"/>
                <w:color w:val="auto"/>
              </w:rPr>
            </w:pPr>
            <w:r>
              <w:rPr>
                <w:rFonts w:ascii="Arial" w:cs="Arial" w:eastAsia="Arial" w:hAnsi="Arial"/>
                <w:sz w:val="18"/>
                <w:szCs w:val="18"/>
                <w:color w:val="auto"/>
              </w:rPr>
              <w:t>Receivables, net consist of the following (amounts in thousands):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March 31,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$ 67,748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83,936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Hotel</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10,696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6,296</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84,740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104,179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(18,358)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$ 66,382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88,367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w:t>
            </w: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6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 of the following (amounts in thousands):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March 31,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42"/>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62"/>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   599,376</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599,278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1,166,499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97"/>
              </w:rPr>
              <w:t>1,159,363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594,744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581,977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30,388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2,435,261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97"/>
              </w:rPr>
              <w:t>2,415,868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340" w:type="dxa"/>
            <w:vAlign w:val="bottom"/>
            <w:gridSpan w:val="5"/>
            <w:shd w:val="clear" w:color="auto" w:fill="CCEEFF"/>
          </w:tcPr>
          <w:p>
            <w:pPr>
              <w:jc w:val="right"/>
              <w:ind w:right="340"/>
              <w:spacing w:after="0"/>
              <w:rPr>
                <w:sz w:val="20"/>
                <w:szCs w:val="20"/>
                <w:color w:val="auto"/>
              </w:rPr>
            </w:pPr>
            <w:r>
              <w:rPr>
                <w:rFonts w:ascii="Arial" w:cs="Arial" w:eastAsia="Arial" w:hAnsi="Arial"/>
                <w:sz w:val="18"/>
                <w:szCs w:val="18"/>
                <w:color w:val="auto"/>
              </w:rPr>
              <w:t>(124,420)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(91,074)</w:t>
            </w: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$ 2,310,841</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7"/>
              </w:rPr>
              <w:t>2,324,794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left="340" w:right="360"/>
        <w:spacing w:after="0" w:line="440" w:lineRule="auto"/>
        <w:rPr>
          <w:sz w:val="20"/>
          <w:szCs w:val="20"/>
          <w:color w:val="auto"/>
        </w:rPr>
      </w:pPr>
      <w:r>
        <w:rPr>
          <w:rFonts w:ascii="Arial" w:cs="Arial" w:eastAsia="Arial" w:hAnsi="Arial"/>
          <w:sz w:val="18"/>
          <w:szCs w:val="18"/>
          <w:color w:val="auto"/>
        </w:rPr>
        <w:t>As of March 31, 2006 and December 31, 2005, construction in progress includes interest and other costs capitalized in conjunction with Encore. 12</w:t>
      </w:r>
    </w:p>
    <w:p>
      <w:pPr>
        <w:sectPr>
          <w:pgSz w:w="11900" w:h="16838" w:orient="portrait"/>
          <w:cols w:equalWidth="0" w:num="1">
            <w:col w:w="10960"/>
          </w:cols>
          <w:pgMar w:left="240" w:top="459"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9240" w:type="dxa"/>
            <w:vAlign w:val="bottom"/>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6-5/8% First Mortgage Notes, due December 1, 2014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$ 1,300,000</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$ 1,300,000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w w:val="98"/>
              </w:rPr>
              <w:t>$600.0 million Revolving Credit Facility; due December 14, 2009; interest at LIBOR plus 2.25% (approximately 6.67%)</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10,000</w:t>
            </w:r>
          </w:p>
        </w:tc>
      </w:tr>
      <w:tr>
        <w:trPr>
          <w:trHeight w:val="20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8"/>
              </w:rPr>
              <w:t>$400.0 million Delay Draw Term Loan Facility; due December 14, 2011 interest at LIBOR plus 2.125% (approximately</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6.975% and 6.525%)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400,000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w w:val="98"/>
              </w:rPr>
              <w:t>$44.75 million note payable; due March 31, 2010; interest at LIBOR plus 2.375% (approximately 7.225% and 6.902%)</w:t>
            </w:r>
          </w:p>
        </w:tc>
        <w:tc>
          <w:tcPr>
            <w:tcW w:w="840" w:type="dxa"/>
            <w:vAlign w:val="bottom"/>
          </w:tcPr>
          <w:p>
            <w:pPr>
              <w:jc w:val="right"/>
              <w:spacing w:after="0"/>
              <w:rPr>
                <w:sz w:val="20"/>
                <w:szCs w:val="20"/>
                <w:color w:val="auto"/>
              </w:rPr>
            </w:pPr>
            <w:r>
              <w:rPr>
                <w:rFonts w:ascii="Arial" w:cs="Arial" w:eastAsia="Arial" w:hAnsi="Arial"/>
                <w:sz w:val="18"/>
                <w:szCs w:val="18"/>
                <w:color w:val="auto"/>
              </w:rPr>
              <w:t>42,305</w:t>
            </w:r>
          </w:p>
        </w:tc>
        <w:tc>
          <w:tcPr>
            <w:tcW w:w="2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43,536</w:t>
            </w:r>
          </w:p>
        </w:tc>
      </w:tr>
      <w:tr>
        <w:trPr>
          <w:trHeight w:val="20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7"/>
              </w:rPr>
              <w:t>12% Second Mortgage Notes, net of original issue discount of approximately $417,000 and $440,000, respectively due</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November 1, 2010; effective interest at approximately 12.9%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80" w:type="dxa"/>
            <w:vAlign w:val="bottom"/>
            <w:shd w:val="clear" w:color="auto" w:fill="CCEEFF"/>
          </w:tcPr>
          <w:p>
            <w:pPr>
              <w:spacing w:after="0"/>
              <w:rPr>
                <w:sz w:val="19"/>
                <w:szCs w:val="19"/>
                <w:color w:val="auto"/>
              </w:rPr>
            </w:pPr>
          </w:p>
        </w:tc>
      </w:tr>
      <w:tr>
        <w:trPr>
          <w:trHeight w:val="222"/>
        </w:trPr>
        <w:tc>
          <w:tcPr>
            <w:tcW w:w="9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1,752,030</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1,763,238</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(14,821)</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(14,728)</w:t>
            </w:r>
          </w:p>
        </w:tc>
      </w:tr>
      <w:tr>
        <w:trPr>
          <w:trHeight w:val="222"/>
        </w:trPr>
        <w:tc>
          <w:tcPr>
            <w:tcW w:w="9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$ 1,737,209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$ 1,748,510</w:t>
            </w:r>
          </w:p>
        </w:tc>
        <w:tc>
          <w:tcPr>
            <w:tcW w:w="8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March 15, 2006, the Company amended its $600 million Revolving Credit Facility and its $400 million Delay Draw Term Loan Facility (together, the “Credit Facilities”) to (a) allow the Company to issue up to $100.0 million of additional 6-5/8% First Mortgage Notes due December 1, 2014 (the “First Mortgage Notes”); (b) simplify draw procedures under the Disbursement Agreement; (c) consolidate certain accounts under the Disbursement Agreement; (d) amend and clarify certain of the conditions for the approval of the budget, plans and specifications of Encore; (e) extend the outside opening date for Encore and the outside completion date for Encore to June 30, 2009 and September 30, 2009, respectively; and (f) permit expenditures of up to $150.0 million on Encore prior to the execution of a guaranteed maximum price contract.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2006, the Company was in compliance with all covenants governing the Company’s debt facilities.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Interest Rate Swaps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has entered into interest rate swap arrangements to effectively fix the interest on floating-rate debt borrowings. The following table presents the historical asset fair values (reflected in deposits and other assets) as of March 31, 2006 and 2005 and as of December 31, 2005 and 2004 (amounts in thousands):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fair value at March 31, 2006</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13,878</w:t>
            </w: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w w:val="88"/>
              </w:rPr>
              <w:t>Asset fair value at December 31,</w:t>
            </w:r>
          </w:p>
        </w:tc>
        <w:tc>
          <w:tcPr>
            <w:tcW w:w="3520" w:type="dxa"/>
            <w:vAlign w:val="bottom"/>
          </w:tcPr>
          <w:p>
            <w:pPr>
              <w:jc w:val="right"/>
              <w:ind w:right="3052"/>
              <w:spacing w:after="0"/>
              <w:rPr>
                <w:sz w:val="20"/>
                <w:szCs w:val="20"/>
                <w:color w:val="auto"/>
              </w:rPr>
            </w:pPr>
            <w:r>
              <w:rPr>
                <w:rFonts w:ascii="Arial" w:cs="Arial" w:eastAsia="Arial" w:hAnsi="Arial"/>
                <w:sz w:val="18"/>
                <w:szCs w:val="18"/>
                <w:color w:val="auto"/>
                <w:w w:val="89"/>
              </w:rPr>
              <w:t>2005</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10,523</w:t>
            </w: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89"/>
              </w:rPr>
              <w:t>Asset fair value at March 31,</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2005</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w:t>
            </w:r>
          </w:p>
        </w:tc>
      </w:tr>
      <w:tr>
        <w:trPr>
          <w:trHeight w:val="222"/>
        </w:trPr>
        <w:tc>
          <w:tcPr>
            <w:tcW w:w="2060" w:type="dxa"/>
            <w:vAlign w:val="bottom"/>
          </w:tcPr>
          <w:p>
            <w:pPr>
              <w:spacing w:after="0"/>
              <w:rPr>
                <w:sz w:val="20"/>
                <w:szCs w:val="20"/>
                <w:color w:val="auto"/>
              </w:rPr>
            </w:pPr>
            <w:r>
              <w:rPr>
                <w:rFonts w:ascii="Arial" w:cs="Arial" w:eastAsia="Arial" w:hAnsi="Arial"/>
                <w:sz w:val="18"/>
                <w:szCs w:val="18"/>
                <w:color w:val="auto"/>
                <w:w w:val="88"/>
              </w:rPr>
              <w:t>Asset fair value at December</w:t>
            </w:r>
          </w:p>
        </w:tc>
        <w:tc>
          <w:tcPr>
            <w:tcW w:w="260" w:type="dxa"/>
            <w:vAlign w:val="bottom"/>
          </w:tcPr>
          <w:p>
            <w:pPr>
              <w:ind w:left="20"/>
              <w:spacing w:after="0"/>
              <w:rPr>
                <w:sz w:val="20"/>
                <w:szCs w:val="20"/>
                <w:color w:val="auto"/>
              </w:rPr>
            </w:pPr>
            <w:r>
              <w:rPr>
                <w:rFonts w:ascii="Arial" w:cs="Arial" w:eastAsia="Arial" w:hAnsi="Arial"/>
                <w:sz w:val="18"/>
                <w:szCs w:val="18"/>
                <w:color w:val="auto"/>
                <w:w w:val="87"/>
              </w:rPr>
              <w:t>31,</w:t>
            </w:r>
          </w:p>
        </w:tc>
        <w:tc>
          <w:tcPr>
            <w:tcW w:w="3520" w:type="dxa"/>
            <w:vAlign w:val="bottom"/>
          </w:tcPr>
          <w:p>
            <w:pPr>
              <w:jc w:val="right"/>
              <w:ind w:right="3052"/>
              <w:spacing w:after="0"/>
              <w:rPr>
                <w:sz w:val="20"/>
                <w:szCs w:val="20"/>
                <w:color w:val="auto"/>
              </w:rPr>
            </w:pPr>
            <w:r>
              <w:rPr>
                <w:rFonts w:ascii="Arial" w:cs="Arial" w:eastAsia="Arial" w:hAnsi="Arial"/>
                <w:sz w:val="18"/>
                <w:szCs w:val="18"/>
                <w:color w:val="auto"/>
                <w:w w:val="89"/>
              </w:rPr>
              <w:t>2004</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583</w:t>
            </w:r>
          </w:p>
        </w:tc>
      </w:tr>
    </w:tbl>
    <w:p>
      <w:pPr>
        <w:spacing w:after="0" w:line="14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approximates the amount the Company would receive if these contracts were settled at the respective valuation dates. Fair value is estimated based upon current, and predictions of future, interest rate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levels along a yield curve, the remaining duration of the instruments and other market conditions, and therefore, is subject to significant estimation and a high degree of variability of fluctuation between periods.</w:t>
      </w:r>
    </w:p>
    <w:p>
      <w:pPr>
        <w:spacing w:after="0" w:line="132"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 xml:space="preserve">The Company accounts for these interest rate swaps in accordance with Statement of Financial Accounting Standards No. 133, </w:t>
      </w:r>
      <w:r>
        <w:rPr>
          <w:rFonts w:ascii="Arial" w:cs="Arial" w:eastAsia="Arial" w:hAnsi="Arial"/>
          <w:sz w:val="15"/>
          <w:szCs w:val="15"/>
          <w:i w:val="1"/>
          <w:iCs w:val="1"/>
          <w:color w:val="auto"/>
        </w:rPr>
        <w:t>Accounting for Derivative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Instruments and Hedging Activities </w:t>
      </w:r>
      <w:r>
        <w:rPr>
          <w:rFonts w:ascii="Arial" w:cs="Arial" w:eastAsia="Arial" w:hAnsi="Arial"/>
          <w:sz w:val="15"/>
          <w:szCs w:val="15"/>
          <w:color w:val="auto"/>
        </w:rPr>
        <w:t>(“SFAS No. 133”), and its related interpretations. Accordingly, during the three months ended March 31, 2006 and 2005,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recorded approximately $3.4 million and $7.7 million, respectively, as an increase to swap fair value, a component of other income (expense), net.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(“ISO”),</w:t>
      </w:r>
    </w:p>
    <w:p>
      <w:pPr>
        <w:spacing w:after="0" w:line="38" w:lineRule="exact"/>
        <w:rPr>
          <w:sz w:val="20"/>
          <w:szCs w:val="20"/>
          <w:color w:val="auto"/>
        </w:rPr>
      </w:pPr>
    </w:p>
    <w:p>
      <w:pPr>
        <w:ind w:right="220" w:firstLine="8"/>
        <w:spacing w:after="0" w:line="255" w:lineRule="auto"/>
        <w:tabs>
          <w:tab w:leader="none" w:pos="258"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compensatory (i.e. non qualified) stock options (“NQSO”),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14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maximum of 9,750,000 shares of Wynn Resorts’ common stock has been reserved for issuance under the Stock Plan. As of March 31, 2006, 4,616,712 shares remain available for the grant of stock options or nonvested shares of Wynn Resorts common stock.</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Options are generally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4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fair value per option was estimated on the date of grant using the Black-Scholes option-pricing method using the following weighted-average assumptions: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13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18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2"/>
                <w:szCs w:val="12"/>
                <w:color w:val="auto"/>
              </w:rPr>
            </w:pPr>
          </w:p>
        </w:tc>
      </w:tr>
      <w:tr>
        <w:trPr>
          <w:trHeight w:val="210"/>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32.5%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35.3%</w:t>
            </w: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2"/>
        </w:trPr>
        <w:tc>
          <w:tcPr>
            <w:tcW w:w="918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c>
          <w:tcPr>
            <w:tcW w:w="5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summary of option activity under the Stock Plan relating to employees of Wynn Las Vegas as of March 31, 2006, and the changes during the three months then ended is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54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Options</w:t>
            </w:r>
          </w:p>
        </w:tc>
        <w:tc>
          <w:tcPr>
            <w:tcW w:w="6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54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Contractual Term</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1,705,300</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$ 39.67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Granted</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143,500</w:t>
            </w:r>
          </w:p>
        </w:tc>
        <w:tc>
          <w:tcPr>
            <w:tcW w:w="6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$ 68.24</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39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(83,750)</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$ 21.75</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420"/>
              <w:spacing w:after="0"/>
              <w:rPr>
                <w:sz w:val="20"/>
                <w:szCs w:val="20"/>
                <w:color w:val="auto"/>
              </w:rPr>
            </w:pPr>
            <w:r>
              <w:rPr>
                <w:rFonts w:ascii="Arial" w:cs="Arial" w:eastAsia="Arial" w:hAnsi="Arial"/>
                <w:sz w:val="18"/>
                <w:szCs w:val="18"/>
                <w:color w:val="auto"/>
              </w:rPr>
              <w:t>Canceled</w:t>
            </w:r>
          </w:p>
        </w:tc>
        <w:tc>
          <w:tcPr>
            <w:tcW w:w="2620" w:type="dxa"/>
            <w:vAlign w:val="bottom"/>
          </w:tcPr>
          <w:p>
            <w:pPr>
              <w:spacing w:after="0"/>
              <w:rPr>
                <w:sz w:val="19"/>
                <w:szCs w:val="19"/>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(52,550)</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$ 40.08</w:t>
            </w: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2006</w:t>
            </w:r>
          </w:p>
        </w:tc>
        <w:tc>
          <w:tcPr>
            <w:tcW w:w="26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1,712,500</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$ 42.93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44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89"/>
              </w:rPr>
              <w:t>$58,089,200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Exercisable at March 31, 2006</w:t>
            </w:r>
          </w:p>
        </w:tc>
        <w:tc>
          <w:tcPr>
            <w:tcW w:w="2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vMerge w:val="restart"/>
          </w:tcPr>
          <w:p>
            <w:pPr>
              <w:jc w:val="center"/>
              <w:spacing w:after="0"/>
              <w:rPr>
                <w:sz w:val="20"/>
                <w:szCs w:val="20"/>
                <w:color w:val="auto"/>
              </w:rPr>
            </w:pPr>
            <w:r>
              <w:rPr>
                <w:rFonts w:ascii="Arial" w:cs="Arial" w:eastAsia="Arial" w:hAnsi="Arial"/>
                <w:sz w:val="18"/>
                <w:szCs w:val="18"/>
                <w:color w:val="auto"/>
                <w:w w:val="89"/>
              </w:rPr>
              <w:t>$ 27.53</w:t>
            </w:r>
          </w:p>
        </w:tc>
        <w:tc>
          <w:tcPr>
            <w:tcW w:w="1580" w:type="dxa"/>
            <w:vAlign w:val="bottom"/>
            <w:gridSpan w:val="2"/>
            <w:vMerge w:val="restart"/>
          </w:tcPr>
          <w:p>
            <w:pPr>
              <w:jc w:val="right"/>
              <w:spacing w:after="0"/>
              <w:rPr>
                <w:sz w:val="20"/>
                <w:szCs w:val="20"/>
                <w:color w:val="auto"/>
              </w:rPr>
            </w:pPr>
            <w:r>
              <w:rPr>
                <w:rFonts w:ascii="Arial" w:cs="Arial" w:eastAsia="Arial" w:hAnsi="Arial"/>
                <w:sz w:val="18"/>
                <w:szCs w:val="18"/>
                <w:color w:val="auto"/>
              </w:rPr>
              <w:t>7.49</w:t>
            </w:r>
          </w:p>
        </w:tc>
        <w:tc>
          <w:tcPr>
            <w:tcW w:w="1460" w:type="dxa"/>
            <w:vAlign w:val="bottom"/>
            <w:gridSpan w:val="3"/>
            <w:vMerge w:val="restart"/>
          </w:tcPr>
          <w:p>
            <w:pPr>
              <w:jc w:val="center"/>
              <w:ind w:left="432"/>
              <w:spacing w:after="0"/>
              <w:rPr>
                <w:sz w:val="20"/>
                <w:szCs w:val="20"/>
                <w:color w:val="auto"/>
              </w:rPr>
            </w:pPr>
            <w:r>
              <w:rPr>
                <w:rFonts w:ascii="Arial" w:cs="Arial" w:eastAsia="Arial" w:hAnsi="Arial"/>
                <w:sz w:val="18"/>
                <w:szCs w:val="18"/>
                <w:color w:val="auto"/>
                <w:w w:val="89"/>
              </w:rPr>
              <w:t>$21,561,181</w:t>
            </w:r>
          </w:p>
        </w:tc>
        <w:tc>
          <w:tcPr>
            <w:tcW w:w="0" w:type="dxa"/>
            <w:vAlign w:val="bottom"/>
          </w:tcPr>
          <w:p>
            <w:pPr>
              <w:spacing w:after="0" w:line="20" w:lineRule="exact"/>
              <w:rPr>
                <w:sz w:val="1"/>
                <w:szCs w:val="1"/>
                <w:color w:val="auto"/>
              </w:rPr>
            </w:pPr>
          </w:p>
        </w:tc>
      </w:tr>
      <w:tr>
        <w:trPr>
          <w:trHeight w:val="208"/>
        </w:trPr>
        <w:tc>
          <w:tcPr>
            <w:tcW w:w="3920" w:type="dxa"/>
            <w:vAlign w:val="bottom"/>
            <w:gridSpan w:val="2"/>
            <w:vMerge w:val="continue"/>
          </w:tcPr>
          <w:p>
            <w:pPr>
              <w:spacing w:after="0"/>
              <w:rPr>
                <w:sz w:val="18"/>
                <w:szCs w:val="18"/>
                <w:color w:val="auto"/>
              </w:rPr>
            </w:pP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437,125</w:t>
            </w:r>
          </w:p>
        </w:tc>
        <w:tc>
          <w:tcPr>
            <w:tcW w:w="62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20" w:type="dxa"/>
            <w:vAlign w:val="bottom"/>
            <w:vMerge w:val="restart"/>
          </w:tcPr>
          <w:p>
            <w:pPr>
              <w:jc w:val="right"/>
              <w:ind w:right="652"/>
              <w:spacing w:after="0"/>
              <w:rPr>
                <w:sz w:val="20"/>
                <w:szCs w:val="20"/>
                <w:color w:val="auto"/>
              </w:rPr>
            </w:pPr>
            <w:r>
              <w:rPr>
                <w:rFonts w:ascii="Arial" w:cs="Arial" w:eastAsia="Arial" w:hAnsi="Arial"/>
                <w:sz w:val="18"/>
                <w:szCs w:val="18"/>
                <w:color w:val="auto"/>
              </w:rPr>
              <w:t>14</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weighted average fair value of options granted during the three months ended March 31, 2006 and 2005 was $30.65 and $27.03, respectively. The total intrinsic value of the options exercised for the three months ended March 31, 2006 and 2005 was $3.9 million and $1.4 million, respectively. Since all deferred tax assets are fully reserved, these amounts did not create any tax benefit.</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 summary of the status of the Stock Plan’s non-vested options as of March 31, 2006 and changes during the three months ended March 31, 2006, is presented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9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9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9520" w:type="dxa"/>
            <w:vAlign w:val="bottom"/>
          </w:tcPr>
          <w:p>
            <w:pPr>
              <w:spacing w:after="0"/>
              <w:rPr>
                <w:sz w:val="14"/>
                <w:szCs w:val="14"/>
                <w:color w:val="auto"/>
              </w:rPr>
            </w:pPr>
          </w:p>
        </w:tc>
        <w:tc>
          <w:tcPr>
            <w:tcW w:w="7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1,303,250</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143,500</w:t>
            </w:r>
          </w:p>
        </w:tc>
        <w:tc>
          <w:tcPr>
            <w:tcW w:w="3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30.65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(118,825)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20" w:type="dxa"/>
            <w:vAlign w:val="bottom"/>
          </w:tcPr>
          <w:p>
            <w:pPr>
              <w:ind w:left="420"/>
              <w:spacing w:after="0"/>
              <w:rPr>
                <w:sz w:val="20"/>
                <w:szCs w:val="20"/>
                <w:color w:val="auto"/>
              </w:rPr>
            </w:pPr>
            <w:r>
              <w:rPr>
                <w:rFonts w:ascii="Arial" w:cs="Arial" w:eastAsia="Arial" w:hAnsi="Arial"/>
                <w:sz w:val="18"/>
                <w:szCs w:val="18"/>
                <w:color w:val="auto"/>
              </w:rPr>
              <w:t>Canceled</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(52,550)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16.60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2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2006</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1,275,375</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As of March 31, 2006, there was $25.6 million of total unrecognized compensation cost related to stock options granted under the plan. That cost is expected to be recognized on a straight-line basis over a weighted average of 3.82 years.</w:t>
      </w:r>
    </w:p>
    <w:p>
      <w:pPr>
        <w:spacing w:after="0" w:line="132"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Stock-based compensation related to employees of affiliates dedicated to the construction or enhancement of Wynn Las Vegas and the development of Encore that was capitalized into construction in progress for the three months ended March 31, 2006 and 2005 totaled approximately $539,000 and $539,000, respectively.</w:t>
      </w:r>
    </w:p>
    <w:p>
      <w:pPr>
        <w:spacing w:after="0" w:line="215" w:lineRule="exact"/>
        <w:rPr>
          <w:sz w:val="20"/>
          <w:szCs w:val="20"/>
          <w:color w:val="auto"/>
        </w:rPr>
      </w:pPr>
    </w:p>
    <w:p>
      <w:pPr>
        <w:ind w:left="240" w:right="8680" w:hanging="232"/>
        <w:spacing w:after="0" w:line="391" w:lineRule="auto"/>
        <w:tabs>
          <w:tab w:leader="none" w:pos="266"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Wynn Las Vegas</w:t>
      </w:r>
    </w:p>
    <w:p>
      <w:pPr>
        <w:spacing w:after="0" w:line="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 xml:space="preserve">Construction and Remodeling. </w:t>
      </w:r>
      <w:r>
        <w:rPr>
          <w:rFonts w:ascii="Arial" w:cs="Arial" w:eastAsia="Arial" w:hAnsi="Arial"/>
          <w:sz w:val="16"/>
          <w:szCs w:val="16"/>
          <w:color w:val="auto"/>
        </w:rPr>
        <w:t>As of March 31, 2006, approximately $15.5 million of budgeted project costs and retention amounts remained to be paid in</w:t>
      </w:r>
      <w:r>
        <w:rPr>
          <w:rFonts w:ascii="Arial" w:cs="Arial" w:eastAsia="Arial" w:hAnsi="Arial"/>
          <w:sz w:val="16"/>
          <w:szCs w:val="16"/>
          <w:i w:val="1"/>
          <w:iCs w:val="1"/>
          <w:color w:val="auto"/>
        </w:rPr>
        <w:t xml:space="preserve"> </w:t>
      </w:r>
      <w:r>
        <w:rPr>
          <w:rFonts w:ascii="Arial" w:cs="Arial" w:eastAsia="Arial" w:hAnsi="Arial"/>
          <w:sz w:val="16"/>
          <w:szCs w:val="16"/>
          <w:color w:val="auto"/>
        </w:rPr>
        <w:t>order to close out the Wynn Las Vegas project. The Company expects these final costs to be paid in the second quarter of 2006.</w:t>
      </w:r>
    </w:p>
    <w:p>
      <w:pPr>
        <w:spacing w:after="0" w:line="85"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In the third quarter of 2005, the Company began to make certain enhancements and refinements to Wynn Las Vegas. As a result, the Company has incurred and will continue to incur capital expenditures relating to these enhancements and refinements. Under the terms of the Wynn Las Vegas, LLC credit facilities, the Company is permitted up to $80.0 million of capital expenditures in 2006, of which approximately $6.3 million was spent during the first quarter of 2006. These spending limits do not apply to any funds that may be contributed to Wynn Las Vegas, LLC by Wynn Resorts.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Encore Development</w:t>
      </w:r>
      <w:r>
        <w:rPr>
          <w:rFonts w:ascii="Arial" w:cs="Arial" w:eastAsia="Arial" w:hAnsi="Arial"/>
          <w:sz w:val="16"/>
          <w:szCs w:val="16"/>
          <w:color w:val="auto"/>
        </w:rPr>
        <w:t>. As a result of the strong demand for the amenities and services offered by Wynn Las Vegas, the continued strength of the Las Vegas</w:t>
      </w:r>
      <w:r>
        <w:rPr>
          <w:rFonts w:ascii="Arial" w:cs="Arial" w:eastAsia="Arial" w:hAnsi="Arial"/>
          <w:sz w:val="16"/>
          <w:szCs w:val="16"/>
          <w:i w:val="1"/>
          <w:iCs w:val="1"/>
          <w:color w:val="auto"/>
        </w:rPr>
        <w:t xml:space="preserve"> </w:t>
      </w:r>
      <w:r>
        <w:rPr>
          <w:rFonts w:ascii="Arial" w:cs="Arial" w:eastAsia="Arial" w:hAnsi="Arial"/>
          <w:sz w:val="16"/>
          <w:szCs w:val="16"/>
          <w:color w:val="auto"/>
        </w:rPr>
        <w:t>market, and the Company’s desire to maximize the potential of its substantial real estate assets, the Company is developing Encore on approximately 20 acres on Las Vegas Boulevard (the “Las Vegas Strip,” or the “Strip”), immediately adjacent to Wynn Las Vegas. On March 31, 2006, the Company’s lenders approved the $1.74 billion project budget and the related plans and specifications for Encore. Encore’s design features a 2,054-room hotel tower fully integrated with Wynn Las Vegas, consisting of 144 suites and 1,910 guest rooms, as well as an approximately 54,000 square foot casino, additional convention and meeting space, along with restaurants, nightclubs, swimming pools, a spa and salon and retail</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outlets. The Company commenced construction of Encore on April 28, 2006 and expects to open Encore to the public by the end of 2008. The project budget for Encore includes approximately $70.0 million to be incurred for construction of a new employee parking garage on our Koval property, a related pedestrian bridge, and costs to be incurred in connection with preparing the Broadway Theater to host “Monty Python’s Spamalot.”</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Through March 31, 2006, the Company has spent approximately $76.2 million on Encore. These costs have been funded from the Credit Facilities and the First Mortgage Notes. The Company expects that the remaining proceeds from the First Mortgage Notes, together with availability under the credit facilities, and cash flow from operations, will be sufficient to pay for expenditures of up to $1.52 billion on the Encore project without incurring additional debt or receiving additional capital contributions from Wynn Resorts. Project costs exceeding $1.52 billion are expected to be funded by the issuance of up to $100.0 million of additional First Mortgage Notes and/or contributions from Wynn Resorts.</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Entertainment Productions</w:t>
      </w:r>
      <w:r>
        <w:rPr>
          <w:rFonts w:ascii="Arial" w:cs="Arial" w:eastAsia="Arial" w:hAnsi="Arial"/>
          <w:sz w:val="16"/>
          <w:szCs w:val="16"/>
          <w:color w:val="auto"/>
        </w:rPr>
        <w:t>. The Company entered into long-term agreements for the licensing, creation, development and production of “Le Rêve, A Small</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Collection of Imperfect Dreams,” the water-based production show, which opened concurrently with Wynn Las Vegas on April 28, 2005.</w:t>
      </w:r>
    </w:p>
    <w:p>
      <w:pPr>
        <w:spacing w:after="0" w:line="85" w:lineRule="exact"/>
        <w:rPr>
          <w:sz w:val="20"/>
          <w:szCs w:val="20"/>
          <w:color w:val="auto"/>
        </w:rPr>
      </w:pPr>
    </w:p>
    <w:p>
      <w:pPr>
        <w:jc w:val="both"/>
        <w:ind w:right="740" w:firstLine="456"/>
        <w:spacing w:after="0" w:line="259" w:lineRule="auto"/>
        <w:rPr>
          <w:sz w:val="20"/>
          <w:szCs w:val="20"/>
          <w:color w:val="auto"/>
        </w:rPr>
      </w:pPr>
      <w:r>
        <w:rPr>
          <w:rFonts w:ascii="Arial" w:cs="Arial" w:eastAsia="Arial" w:hAnsi="Arial"/>
          <w:sz w:val="18"/>
          <w:szCs w:val="18"/>
          <w:color w:val="auto"/>
        </w:rPr>
        <w:t>The Company also purchased the rights to stage “Avenue Q,” the Tony Award-winning musical production and entered into a production services agreement for all production services related to the show. In August 2005, “Avenue Q” opened to the public in Wynn Las Vegas’ second showroom, the Broadway Theater.</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Under the agreements relating to “Le Rêve” and “Avenue Q,” the Company is required to make payments to the creators and producers of each show based upon certain criteria including net ticket sales or profits.</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February 2006, the Company agreed with the producers of “Avenue Q” to end Avenue Q’s exclusive run at Wynn Las Vegas at the end of May 2006. To terminate the contract, the Company incurred a contract termination fee of $5.0 million. This fee has been recorded in the current quarter in accordance with the liability recognition provisions of Statement of Financial Accounting Standards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(“SFAS 146”). The Company intends to remodel the Broadway Theater, which currently presents “Avenue Q,” and adjacent areas to accommodate “Monty Python’s Spamalot.”</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On July 20, 2005, the Company entered into an agreement with Spamalot, LLC to produce and present “Monty Python’s Spamalot” at Wynn Las Vegas. The production is expected to be accompanied by a retail store, food and beverage facilities and a themed “Spamalot Environment.” The production costs, showroom renovation costs, production completion date, and opening date have not yet been determined.</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Completion Guarantee and Liquidity Reserve</w:t>
      </w:r>
      <w:r>
        <w:rPr>
          <w:rFonts w:ascii="Arial" w:cs="Arial" w:eastAsia="Arial" w:hAnsi="Arial"/>
          <w:sz w:val="18"/>
          <w:szCs w:val="18"/>
          <w:color w:val="auto"/>
        </w:rPr>
        <w:t>. As part of the original Wynn Las Vegas financing, the Company contributed $50.0 million of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the initial public offering of Wynn Resorts’ common stock to Wynn Completion Guarantor, LLC, a special purpose subsidiary of Wynn Las Vegas, LLC formed in October 2002 to secure completion of Wynn Las Vegas.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addition, the Company deposited $30.0 million from the net proceeds of the initial public offering of Wynn Resorts’ common stock into a liquidity reserve account to secure the completion and opening of Wynn Las Vegas.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liquidity reserve is solely for use of the Wynn Las Vegas project, which will be finally closed out in the second quarter of 2006. The $50.0 million completion guarantee will be reduced to $30.0 million in connection with the construction of Encore.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i w:val="1"/>
          <w:iCs w:val="1"/>
          <w:color w:val="auto"/>
        </w:rPr>
        <w:t xml:space="preserve">Lessor </w:t>
      </w:r>
      <w:r>
        <w:rPr>
          <w:rFonts w:ascii="Arial" w:cs="Arial" w:eastAsia="Arial" w:hAnsi="Arial"/>
          <w:sz w:val="16"/>
          <w:szCs w:val="16"/>
          <w:color w:val="auto"/>
        </w:rPr>
        <w:t>– The Company is the lessor under six leases for retail operations at Wynn Las Vegas and has entered into license and distribution agreements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five additional retail outlets in Wynn Las Vegas. The Company also is a party to joint venture agreements for the operation of one other retail outlet and the Ferrari and Maserati automobile dealership at Wynn Las Vegas. Each of these retail outlets opened concurrently with the opening of Wynn Las Vegas.</w:t>
      </w:r>
    </w:p>
    <w:p>
      <w:pPr>
        <w:spacing w:after="0" w:line="10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 In addition, the Company is the lessee under several leases for office space, warehouse facilities, the land underlying the Company’s aircraft</w:t>
      </w:r>
      <w:r>
        <w:rPr>
          <w:rFonts w:ascii="Arial" w:cs="Arial" w:eastAsia="Arial" w:hAnsi="Arial"/>
          <w:sz w:val="18"/>
          <w:szCs w:val="18"/>
          <w:i w:val="1"/>
          <w:iCs w:val="1"/>
          <w:color w:val="auto"/>
        </w:rPr>
        <w:t xml:space="preserve"> </w:t>
      </w:r>
      <w:r>
        <w:rPr>
          <w:rFonts w:ascii="Arial" w:cs="Arial" w:eastAsia="Arial" w:hAnsi="Arial"/>
          <w:sz w:val="18"/>
          <w:szCs w:val="18"/>
          <w:color w:val="auto"/>
        </w:rPr>
        <w:t>hangar and certain office equipment.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$200,000 per year for each insured person. Amounts in excess of this threshold are covered by the Company’s insurance programs, subject to customary policy limits.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five-year terms and indicate a base salary. Certain agreements also contain provisions for guaranteed bonuses. A limited number of the executives are also entitled to a separation payment if terminated without “cause” or upon voluntary termination of employment for “good reason” following a “change of control” (as these terms are defined in the employment contracts).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March 31,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Restatement</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Subsequent to the issuance of the Company’s condensed consolidated financial statements for the three months ended March 31, 2005, the Company determined that its interest rate swap arrangements relating to certain of its floating-rate debt facilities did not qualify for hedge accounting under Statement of Financial Accounting Standards No. 133 and its related interpretations. The Company’s hedge documentation includes, among other items, the assumption that the repricing dates for its debt and swaps match. The documentation required to assess ineffectiveness resulting from having different repricing dates was not in place at the inception of the hedge, nor during the periods for which an assessment was required, and the Company recently determined that the repricing dates on the swap instruments did not match exactly the repricing dates on the floating-rate debt. Documentation deficiencies cannot be corrected, and quarterly testing cannot be performed, retrospectively. As a result of the documentation deficiencies, hedge accounting should not have been used. Accordingly, the Company restated its condensed consolidated financial statements for the three months ended March 31, 2005 to eliminate the application of hedge accounting. Eliminating the application of hedge accounting resulted in recording the mark to market adjustments for the interest rate swaps as increase in swap fair value, a component of other income (expense), net and not in comprehensive income, as was previously reported.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 summary of the significant effects of the restatement on the March 31, 2005 condensed consolidated financial statements is as follows (amounts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For the 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Ended March 31, 2005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13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As Previously</w:t>
            </w: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As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7"/>
              </w:rPr>
              <w:t>Reported</w:t>
            </w:r>
          </w:p>
        </w:tc>
        <w:tc>
          <w:tcPr>
            <w:tcW w:w="7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4"/>
              </w:rPr>
              <w:t>Restated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 of Operations: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Increase in swap fair value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11,451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(26,908)</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(19,208)</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Statement of Cash Flows: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(26,908)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(19,208)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Increase in swap fair value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May 3, 2006, the Audit Committee confirmed the rent to be paid by Mr. and Mrs. Wynn for their villa at Wynn Las Vegas at $580,000 per year and provided that the next rent adjustment would be July 1,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Consolidating Financial Information of Guarantors and Issuers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March 31, 2006 and December 31, 2005, and for the three months ended March 31, 2006 and 2005.</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form provided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they do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123,346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32,460</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66,375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47,317</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47,317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16,697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286,195</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286,534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280,002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51,940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331,942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Note Receivable from Wynn Resorts, Limited</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83,767</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2,142,195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168,646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2,310,841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12,769</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57,929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66,355</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4,263</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2,933,475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179,800</w:t>
            </w:r>
          </w:p>
        </w:tc>
        <w:tc>
          <w:tcPr>
            <w:tcW w:w="260" w:type="dxa"/>
            <w:vAlign w:val="bottom"/>
          </w:tcPr>
          <w:p>
            <w:pPr>
              <w:spacing w:after="0"/>
              <w:rPr>
                <w:sz w:val="19"/>
                <w:szCs w:val="19"/>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51,940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(4,263)</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3,160,952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 term debt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Accounts and construction payable</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25,207</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29,615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24,862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30,050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Customer deposits and other related liabilities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38,348</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affiliates,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(151,131)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135,970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6,676</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141,715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196,944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1,700,000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37,209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1,737,209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Due to affiliates, net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1,707,267</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178,924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1,934,744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00"/>
              <w:spacing w:after="0"/>
              <w:rPr>
                <w:sz w:val="20"/>
                <w:szCs w:val="20"/>
                <w:color w:val="auto"/>
              </w:rPr>
            </w:pPr>
            <w:r>
              <w:rPr>
                <w:rFonts w:ascii="Arial" w:cs="Arial" w:eastAsia="Arial" w:hAnsi="Arial"/>
                <w:sz w:val="18"/>
                <w:szCs w:val="18"/>
                <w:color w:val="auto"/>
              </w:rPr>
              <w:t>Contributed capital</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1,447,572</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1,447,572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(221,364)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(11,654)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3,387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(221,364)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420"/>
              <w:spacing w:after="0"/>
              <w:rPr>
                <w:sz w:val="20"/>
                <w:szCs w:val="20"/>
                <w:color w:val="auto"/>
              </w:rPr>
            </w:pPr>
            <w:r>
              <w:rPr>
                <w:rFonts w:ascii="Arial" w:cs="Arial" w:eastAsia="Arial" w:hAnsi="Arial"/>
                <w:sz w:val="18"/>
                <w:szCs w:val="18"/>
                <w:color w:val="auto"/>
              </w:rPr>
              <w:t>Total member’s equity</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1,226,208</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3,387</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(4,263)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1,226,208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2,933,475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179,800</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51,940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3,160,952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7"/>
              </w:rPr>
              <w:t>Issuers</w:t>
            </w:r>
          </w:p>
        </w:tc>
        <w:tc>
          <w:tcPr>
            <w:tcW w:w="2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8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6"/>
              </w:rPr>
              <w:t>Subsidiary</w:t>
            </w:r>
          </w:p>
        </w:tc>
        <w:tc>
          <w:tcPr>
            <w:tcW w:w="12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8"/>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44,498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39,884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420"/>
              <w:spacing w:after="0"/>
              <w:rPr>
                <w:sz w:val="20"/>
                <w:szCs w:val="20"/>
                <w:color w:val="auto"/>
              </w:rPr>
            </w:pPr>
            <w:r>
              <w:rPr>
                <w:rFonts w:ascii="Arial" w:cs="Arial" w:eastAsia="Arial" w:hAnsi="Arial"/>
                <w:sz w:val="18"/>
                <w:szCs w:val="18"/>
                <w:color w:val="auto"/>
              </w:rPr>
              <w:t>Total current assets</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278,788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278,907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investments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51,433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Note Receivable from Wynn Resorts Ltd.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82,267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82,267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2,157,169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167,625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2,324,794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15,019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6,144</w:t>
            </w: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73,559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73,559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4,349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420"/>
              <w:spacing w:after="0"/>
              <w:rPr>
                <w:sz w:val="20"/>
                <w:szCs w:val="20"/>
                <w:color w:val="auto"/>
              </w:rPr>
            </w:pPr>
            <w:r>
              <w:rPr>
                <w:rFonts w:ascii="Arial" w:cs="Arial" w:eastAsia="Arial" w:hAnsi="Arial"/>
                <w:sz w:val="18"/>
                <w:szCs w:val="18"/>
                <w:color w:val="auto"/>
              </w:rPr>
              <w:t>Total assets</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2,971,071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178,734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51,433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(5,410)</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3,195,828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 term debt</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5,026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Accounts and construction payables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27,661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23,892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Customer deposits and other related liabilities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66,120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to/(from) affiliates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(125,448)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132,258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420"/>
              <w:spacing w:after="0"/>
              <w:rPr>
                <w:sz w:val="20"/>
                <w:szCs w:val="20"/>
                <w:color w:val="auto"/>
              </w:rPr>
            </w:pPr>
            <w:r>
              <w:rPr>
                <w:rFonts w:ascii="Arial" w:cs="Arial" w:eastAsia="Arial" w:hAnsi="Arial"/>
                <w:sz w:val="18"/>
                <w:szCs w:val="18"/>
                <w:color w:val="auto"/>
              </w:rPr>
              <w:t>Total current liabilities</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35,485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137,969</w:t>
            </w:r>
          </w:p>
        </w:tc>
        <w:tc>
          <w:tcPr>
            <w:tcW w:w="8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221,732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1,710,000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38,510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1,748,510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Due to affiliates</w:t>
            </w:r>
          </w:p>
        </w:tc>
        <w:tc>
          <w:tcPr>
            <w:tcW w:w="10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1,746,242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176,479</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48,553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1,970,999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Contributed capital</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1,445,785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12,530</w:t>
            </w:r>
          </w:p>
        </w:tc>
        <w:tc>
          <w:tcPr>
            <w:tcW w:w="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(12,530)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1,445,785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(220,956)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(10,275)</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2,880</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7,395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(220,956)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420"/>
              <w:spacing w:after="0"/>
              <w:rPr>
                <w:sz w:val="20"/>
                <w:szCs w:val="20"/>
                <w:color w:val="auto"/>
              </w:rPr>
            </w:pPr>
            <w:r>
              <w:rPr>
                <w:rFonts w:ascii="Arial" w:cs="Arial" w:eastAsia="Arial" w:hAnsi="Arial"/>
                <w:sz w:val="18"/>
                <w:szCs w:val="18"/>
                <w:color w:val="auto"/>
              </w:rPr>
              <w:t>Total member’s equity</w:t>
            </w:r>
          </w:p>
        </w:tc>
        <w:tc>
          <w:tcPr>
            <w:tcW w:w="1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1,224,829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2,255</w:t>
            </w:r>
          </w:p>
        </w:tc>
        <w:tc>
          <w:tcPr>
            <w:tcW w:w="8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2,880</w:t>
            </w:r>
          </w:p>
        </w:tc>
        <w:tc>
          <w:tcPr>
            <w:tcW w:w="1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(5,135)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1,224,829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2,971,071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178,734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51,433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3,195,828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880" w:type="dxa"/>
            <w:vAlign w:val="bottom"/>
            <w:gridSpan w:val="3"/>
          </w:tcPr>
          <w:p>
            <w:pPr>
              <w:ind w:left="108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4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Issuers</w:t>
            </w:r>
          </w:p>
        </w:tc>
        <w:tc>
          <w:tcPr>
            <w:tcW w:w="24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Casino</w:t>
            </w:r>
          </w:p>
        </w:tc>
        <w:tc>
          <w:tcPr>
            <w:tcW w:w="1520" w:type="dxa"/>
            <w:vAlign w:val="bottom"/>
            <w:gridSpan w:val="2"/>
          </w:tcPr>
          <w:p>
            <w:pPr>
              <w:jc w:val="center"/>
              <w:ind w:left="131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126,514</w:t>
            </w:r>
          </w:p>
        </w:tc>
        <w:tc>
          <w:tcPr>
            <w:tcW w:w="30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74,634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318,781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318,418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promotional allowances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(41,057)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(41,057)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277,724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277,361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Casino</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42,996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42,210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Management fees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1,401</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termination fee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254,861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255,476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Equity in income (loss) from subsidiaries</w:t>
            </w: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gridSpan w:val="2"/>
            <w:vMerge w:val="continue"/>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(872)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28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426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1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507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(31,229)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(31,993)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1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(22,399)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507</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(22,656)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(408)</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507</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100" w:type="dxa"/>
            <w:vAlign w:val="bottom"/>
            <w:gridSpan w:val="3"/>
          </w:tcPr>
          <w:p>
            <w:pPr>
              <w:jc w:val="center"/>
              <w:ind w:left="712"/>
              <w:spacing w:after="0"/>
              <w:rPr>
                <w:sz w:val="20"/>
                <w:szCs w:val="20"/>
                <w:color w:val="auto"/>
              </w:rPr>
            </w:pPr>
            <w:r>
              <w:rPr>
                <w:rFonts w:ascii="Arial" w:cs="Arial" w:eastAsia="Arial" w:hAnsi="Arial"/>
                <w:sz w:val="18"/>
                <w:szCs w:val="18"/>
                <w:color w:val="auto"/>
                <w:w w:val="89"/>
              </w:rPr>
              <w:t>21</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THREE MONTHS ENDED MARCH 31, 2005 (As Restated—see Note 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5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7"/>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Issuers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Casino</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15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Gross revenues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promotional allowances</w:t>
            </w:r>
          </w:p>
        </w:tc>
        <w:tc>
          <w:tcPr>
            <w:tcW w:w="1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Net revenues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2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Casino</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28,237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w w:val="86"/>
              </w:rPr>
              <w:t>854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884</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6"/>
              </w:rPr>
              <w:t>627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1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29,198</w:t>
            </w:r>
          </w:p>
        </w:tc>
        <w:tc>
          <w:tcPr>
            <w:tcW w:w="5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30,659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Equity in income (loss) from subsidiaries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(1,218)</w:t>
            </w:r>
          </w:p>
        </w:tc>
        <w:tc>
          <w:tcPr>
            <w:tcW w:w="180" w:type="dxa"/>
            <w:vAlign w:val="bottom"/>
          </w:tcPr>
          <w:p>
            <w:pPr>
              <w:spacing w:after="0"/>
              <w:rPr>
                <w:sz w:val="19"/>
                <w:szCs w:val="19"/>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center"/>
              <w:ind w:left="93"/>
              <w:spacing w:after="0"/>
              <w:rPr>
                <w:sz w:val="20"/>
                <w:szCs w:val="20"/>
                <w:color w:val="auto"/>
              </w:rPr>
            </w:pPr>
            <w:r>
              <w:rPr>
                <w:rFonts w:ascii="Arial" w:cs="Arial" w:eastAsia="Arial" w:hAnsi="Arial"/>
                <w:sz w:val="18"/>
                <w:szCs w:val="18"/>
                <w:color w:val="auto"/>
                <w:w w:val="88"/>
              </w:rPr>
              <w:t>1,218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(30,416)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(1,461)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88"/>
              </w:rPr>
              <w:t>1,218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(30,659)</w:t>
            </w:r>
          </w:p>
        </w:tc>
        <w:tc>
          <w:tcPr>
            <w:tcW w:w="0" w:type="dxa"/>
            <w:vAlign w:val="bottom"/>
          </w:tcPr>
          <w:p>
            <w:pPr>
              <w:spacing w:after="0"/>
              <w:rPr>
                <w:sz w:val="1"/>
                <w:szCs w:val="1"/>
                <w:color w:val="auto"/>
              </w:rPr>
            </w:pPr>
          </w:p>
        </w:tc>
      </w:tr>
      <w:tr>
        <w:trPr>
          <w:trHeight w:val="290"/>
        </w:trPr>
        <w:tc>
          <w:tcPr>
            <w:tcW w:w="4260" w:type="dxa"/>
            <w:vAlign w:val="bottom"/>
            <w:gridSpan w:val="2"/>
          </w:tcPr>
          <w:p>
            <w:pPr>
              <w:spacing w:after="0"/>
              <w:rPr>
                <w:sz w:val="20"/>
                <w:szCs w:val="20"/>
                <w:color w:val="auto"/>
              </w:rPr>
            </w:pPr>
            <w:r>
              <w:rPr>
                <w:rFonts w:ascii="Arial" w:cs="Arial" w:eastAsia="Arial" w:hAnsi="Arial"/>
                <w:sz w:val="18"/>
                <w:szCs w:val="18"/>
                <w:color w:val="auto"/>
              </w:rPr>
              <w:t>Other income/(expense):</w:t>
            </w:r>
          </w:p>
        </w:tc>
        <w:tc>
          <w:tcPr>
            <w:tcW w:w="1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1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11,208</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242</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center"/>
              <w:ind w:left="153"/>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(19,208)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(1,460)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242</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center"/>
              <w:ind w:left="93"/>
              <w:spacing w:after="0"/>
              <w:rPr>
                <w:sz w:val="20"/>
                <w:szCs w:val="20"/>
                <w:color w:val="auto"/>
              </w:rPr>
            </w:pPr>
            <w:r>
              <w:rPr>
                <w:rFonts w:ascii="Arial" w:cs="Arial" w:eastAsia="Arial" w:hAnsi="Arial"/>
                <w:sz w:val="18"/>
                <w:szCs w:val="18"/>
                <w:color w:val="auto"/>
                <w:w w:val="88"/>
              </w:rPr>
              <w:t>1,218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60" w:type="dxa"/>
            <w:vAlign w:val="bottom"/>
            <w:gridSpan w:val="3"/>
          </w:tcPr>
          <w:p>
            <w:pPr>
              <w:jc w:val="right"/>
              <w:ind w:right="433"/>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0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guarantor</w:t>
            </w:r>
          </w:p>
        </w:tc>
        <w:tc>
          <w:tcPr>
            <w:tcW w:w="30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Issuers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(408)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(1,379)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507</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872</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to net cash (used in)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provided by operating activities: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37,548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1,401</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w w:val="96"/>
              </w:rPr>
              <w:t>Amortization and writeoff of deferred financing costs and other</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3,231</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subsidiaries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(3,355)</w:t>
            </w:r>
          </w:p>
        </w:tc>
        <w:tc>
          <w:tcPr>
            <w:tcW w:w="18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17,811</w:t>
            </w: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(6,143)</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(3,149)</w:t>
            </w: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275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60,249</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507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60,707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(35,082)</w:t>
            </w: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(2,422)</w:t>
            </w:r>
          </w:p>
        </w:tc>
        <w:tc>
          <w:tcPr>
            <w:tcW w:w="16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(37,504)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Intangibles and other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from affiliates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(17,095)</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(14,690)</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1,290</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ind w:left="240"/>
              <w:spacing w:after="0"/>
              <w:rPr>
                <w:sz w:val="20"/>
                <w:szCs w:val="20"/>
                <w:color w:val="auto"/>
              </w:rPr>
            </w:pPr>
            <w:r>
              <w:rPr>
                <w:rFonts w:ascii="Arial" w:cs="Arial" w:eastAsia="Arial" w:hAnsi="Arial"/>
                <w:sz w:val="18"/>
                <w:szCs w:val="18"/>
                <w:color w:val="auto"/>
              </w:rPr>
              <w:t>(507)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(13,907)</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(10,000)</w:t>
            </w:r>
          </w:p>
        </w:tc>
        <w:tc>
          <w:tcPr>
            <w:tcW w:w="18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(1,231)</w:t>
            </w:r>
          </w:p>
        </w:tc>
        <w:tc>
          <w:tcPr>
            <w:tcW w:w="160" w:type="dxa"/>
            <w:vAlign w:val="bottom"/>
          </w:tcPr>
          <w:p>
            <w:pPr>
              <w:spacing w:after="0"/>
              <w:rPr>
                <w:sz w:val="18"/>
                <w:szCs w:val="18"/>
                <w:color w:val="auto"/>
              </w:rPr>
            </w:pPr>
          </w:p>
        </w:tc>
        <w:tc>
          <w:tcPr>
            <w:tcW w:w="9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(11,231)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(10,000)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(1,231)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(11,231)</w:t>
            </w:r>
          </w:p>
        </w:tc>
        <w:tc>
          <w:tcPr>
            <w:tcW w:w="0" w:type="dxa"/>
            <w:vAlign w:val="bottom"/>
          </w:tcPr>
          <w:p>
            <w:pPr>
              <w:spacing w:after="0"/>
              <w:rPr>
                <w:sz w:val="1"/>
                <w:szCs w:val="1"/>
                <w:color w:val="auto"/>
              </w:rPr>
            </w:pPr>
          </w:p>
        </w:tc>
      </w:tr>
      <w:tr>
        <w:trPr>
          <w:trHeight w:val="290"/>
        </w:trPr>
        <w:tc>
          <w:tcPr>
            <w:tcW w:w="50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cash and cash equivalents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Balance, beginning of period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87,787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123,346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53"/>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SUBSIDIARY OF WYNN RESORTS, LIMITED)</w:t>
      </w:r>
    </w:p>
    <w:p>
      <w:pPr>
        <w:spacing w:after="0" w:line="78"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THREE MONTHS ENDED MARCH 31, 2005 (As Restated—See Note 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4"/>
              </w:rPr>
              <w:t>Guarantor</w:t>
            </w:r>
          </w:p>
        </w:tc>
        <w:tc>
          <w:tcPr>
            <w:tcW w:w="28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3"/>
              </w:rPr>
              <w:t>Issuers</w:t>
            </w:r>
          </w:p>
        </w:tc>
        <w:tc>
          <w:tcPr>
            <w:tcW w:w="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(19,208)</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(1,460)</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1,218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(19,208)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provided by 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financing costs and other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Equity in loss from subsidiaries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(576)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(6,042)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Accounts payable and other current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(267,032)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(268,894)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(48,463)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(48,705)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other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(20,954)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 from affiliates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(12,582)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(349,031)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ind w:left="48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(348,739)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373,436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373,436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373,436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This discussion gives effect to the restatement described in Note 12 to these condensed consolidated financial statements. Unless the context otherwise requires, all references herein to the “Company,” “we,” “us” or “our,” or similar terms, refer to Wynn Las Vegas, LLC, a Nevada limited liability company and its consolidated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conditions precedent to funding under the agreements governing the disbursement of the proceeds of certain of our debt offerings and borrowings under our credit facilities; competition in the casino/hotel and resort industries; our intention to fund a substantial portion of the development and construction costs of Encore at Wynn Las Vegas with anticipated cash flows generated at Wynn Las Vegas; new development and construction activities of competitors; our limited operating history; our dependence on Stephen A. Wynn and existing management; our dependence on one property for all of our cash flow;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avian flu, or the impact of a natural disaster, such as the tsunami which struck southeast Asia in December 2004, may have on the travel and leisure industry; and the consequences of the war in Iraq and other military conflicts in the Middle East and any future security alerts and/or terrorist attacks. Further information on potential factors that could affect our financial condition, results of operations and business are included in this report and our other filings with the Securities and Exchange Commission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own and operate Wynn Las Vegas, a destination casino resort in Las Vegas, Nevada, which opened on April 28, 2005. In addition, on April 28, 2006, we commenced construction on “Encore at Wynn Las Vegas” (“Encore”), a hotel and casino resort fully integrated with Wynn Las Vegas. Until the opening of Wynn Las Vegas, we were solely a development stage company.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90" w:lineRule="exact"/>
        <w:rPr>
          <w:sz w:val="20"/>
          <w:szCs w:val="20"/>
          <w:color w:val="auto"/>
        </w:rPr>
      </w:pPr>
    </w:p>
    <w:p>
      <w:pPr>
        <w:ind w:left="780" w:right="32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a full range of games, including private baccarat salons,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Casual and fine dining in 18 outlets featuring signature chefs, including the Five Diamond award-winning restaurant, Alex;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Approximately 76,000 square feet of high-end, brand-name retail shopping, including stores and boutiques featuring Brioni, Chanel, Dior, Graff, Louis Vuitton, Jean-Paul Gaultier and Manolo Blahnik;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Two showrooms, a nightclub and lounge entertainment.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Strip and utilizes approximately 18 additional acres across Sands Avenue for employee parking.</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its opening, we have enhanced and refined Wynn Las Vegas in response to market demands and customer preferences. We expect to continue these efforts, in each case, investing in projects designed to maximize the performance of Wynn Las Vegas. In the first quarter of 2006, we began remodeling the six North Fairway Villas (the six South Fairway Villas were remodeled in 2005), closed the Wynn art gallery to begin remodeling that area to accommodate high-end retail outlets, and began certain enhancements to our spa and salon. In February, we also agreed with the producers of “Avenue Q” to end Avenue Q’s exclusive run at Wynn Las Vegas at the end of May 2006. We intend to remodel the Broadway Theater and adjacent areas to accommodate “Monty Python’s Spamalot,” winner of the 2005 Tony Award for best musical. We have not yet determined the total costs of remodeling the theater and adjacent areas, nor have we determined the opening date for “Monty Python’s Spamalot.”</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a result of the strong demand for the amenities and services offered by Wynn Las Vegas, the continued strength of the Las Vegas market, and our desire to maximize the potential of our substantial real estate assets, we are constructing Encore on approximately 20 acres on the Strip, immediately adjacent to Wynn Las Vegas. On March 31, 2006, our lenders approved the $1.74 billion project budget and the related plans and specifications for Encore (the “Encore Budget, Plans and Specs”). Encore currently includes a 2,054-room hotel tower fully integrated with Wynn Las Vegas, consisting of 144 suites and 1,910 guest rooms, as well as an approximately 54,000 square foot casino, additional convention and meeting space, as well as restaurants, nightclubs, swimming pools, a spa and salon and retail outlets. We commenced construction of Encore on April 28, 2006, and expect to open it to the public by the end of 2008. The project budget for Encore includes approximately $70.0 million to be incurred for construction of a new employee parking garage on our Koval property, a related pedestrian bridge and costs to be incurred in connection with preparing the Broadway Theater to host “Monty Python’s Spamalot.”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In the first quarter of 2006, Wynn Las Vegas generated net revenues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$277.4 million, which are comprised of $126.5 million in net gaming revenues (45.6% of total net revenues) and $150.8 million of net non-gaming revenues (54.4% of total net revenues). The quality of the resort’s non-gaming amenities, combined with providing guests with an unparalleled total resort experience, has driven a premium in Wynn Las Vegas’ average daily room rates and other non-gaming revenues. Consequently, we believe that revenues from Wynn Las Vegas’ non-gaming activities comprise a higher percentage of total revenues than that of many of its competitors.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currently reliant solely upon the operations of Wynn Las Vegas for our operating cash flow. Concentration of our cash flow in one property exposes us to certain risks that competitors, whose operations are more diversified, may be better able to control. In addition to the concentration of operations in a single property, many of our customers are high-end gaming customers who wager on credit, thus exposing us to increased credit risk. High-end gaming also increases the potential for variability in our results.</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incurred a net loss for the three months ended March 31, 2006 of $408,000, which represents a $18.8 million or 98% decrease from the net loss of $19.2 million for the three months ended March 31, 2005. During the first quarter of 2005, we were solely a development stage enterprise and pre-opening expenses increased significantly as Wynn Las Vegas approached opening. In contrast, we operated Wynn Las Vegas during the entire quarter ended March 31, 2006. Since construction of Encore is accelerating, we expect that our pre-opening expenses in future periods will exceed those in the three months ended March 31, 2006. However, we no longer incur pre-opening expenses related to Wynn Las Vegas, which were a significant contributor to the net loss incurred for the three months ended March 31, 2005. We expect that pre-opening expenses in future periods will be less than those incurred during the first quarter of 2005, before opening Wynn Las Vegas.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three months ended March 31, 2006 compared to the three months ended March 31, 2005.</w:t>
      </w:r>
    </w:p>
    <w:p>
      <w:pPr>
        <w:spacing w:after="0" w:line="90"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We opened Wynn Las Vegas on April 28, 2005. Prior to opening Wynn Las Vegas, we had not commenced operations, nor generated any significant revenues. Because Wynn Las Vegas was not open during the quarter ended March 31, 2005, there is no adequate comparison between the quarters ended March 31, 2006 and March 31, 2005.</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Net gaming revenues were $126.5 million for the three months ended March 31, 2006. During that period, the average table games win percentage (before discounts) was within the expected range of 19% to 22%, and the slot win percentage was within the expected range of 5% to 6% of handle.</w:t>
      </w:r>
    </w:p>
    <w:p>
      <w:pPr>
        <w:spacing w:after="0" w:line="8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For the three months ended March 31, 2006, Wynn Las Vegas’ gross room revenues were approximately $68.2 million. Average daily rate (“ADR”) and occupancy for that period were $293 and 95.5%, respectively, generating revenues per available room (“REVPAR”) of $279. Other non-gaming revenues included food and beverage revenues of approximately $74.6 million, retail revenues of approximately $17.2 million, entertainment revenues of approximately $20.3 million, and other revenues from outlets, including the spa and salon, of approximately $11.5 million.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Operating expenses during the three months ended March 31, 2006 include direct departmental expenses not present in the corresponding 2005 quarter. During 2006, these departmental expenses included casino expenses of $63.2 million, rooms expenses of $17.0 million, food and beverage expenses of $44.8 million, and entertainment, retail and other expenses of $32.3 million. Also included are general and administrative expenses of approximately $42.2 million and approximately $2.9 million charged as a provision for doubtful accounts receivable. At opening, Wynn Las Vegas employed approximately 9,200 persons to accommodate increased opening needs. Natural staffing attrition has reduced the number of current employees to approximately 8,900 persons, reflecting a more normalized staffing level of approximately 7,900 full-time equivalents.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expenses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Las Vegas’ pre-opening expenses decreased by $29.1 million for the first three months of 2006 compared to the same period in 2005. Once it opened for business in April 2005, Wynn Las Vegas no longer incurred pre-opening expenses; however, $18,000 of pre-opening expenses relating to Encore were incurred by Wynn Las Vegas during the three months ended March 31, 2006. There also was a substantial increase in staffing immediately preceding the opening of Wynn Las Vegas, which contributed to the increased level of pre-opening expenses in the first quarter of 2005. As the Encore development progresses in 2006, we expect associated pre-opening expenses to increase, but not to the same level as we experienced with Wynn Las Vegas.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Wynn Las Vegas’ depreciation and amortization expense increased by $37.4 million for the first quarter of 2006 compared to the first quarter of 2005, as a result of the opening of Wynn Las Vegas. During the construction of Wynn Las Vegas, costs incurred in the construction of the buildings, improvements to land and the purchases of assets for use in operations were capitalized. Once Wynn Las Vegas opened and these assets were placed into service,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response to our evaluation of the finished product and in response to the reactions of our guests, we began to make enhancements and refinements to Wynn Las Vegas in the third quarter of 2005 and continued enhancing Wynn Las Vegas in the first quarter of 2006. The $4.9 million of costs relating to assets retired as a result of these enhancement and remodel efforts for the first quarter of 2006 have been expensed as property charges. In the first quarter of 2006, we began remodeling the six North Fairway Villas (the six South Fairway Villas were remodeled in 2005), closed the Wynn art gallery to begin remodeling that area to accommodate high-end retail outlets, and began certain enhancements to our spa and salon. There were no comparable Wynn Las Vegas property charges incurred during the first quarter of 2005. Property charges in the first quarter of 2005 instead reflect losses on the incidental operations of approximately $65,000, net of a gain on ordinary asset sales of approximately $12,000.</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 and allocations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Since opening Wynn Las Vegas, management fees payable to Wynn Resorts for certain corporate management services have been charged and accrued at 1.5% of revenues. For the three months ended March 31, 2006, the management fee amounted to $4.2 million. These fees will be paid upon Wynn Las Vegas, LLC meeting certain leverage ratios and satisfying certain other criteria set forth in a management agreement we entered into in connection with our credit facilities. Other allocations include certain corporate overhead charged to Wynn Las Vegas.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Avenue Q Contract Termination</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February 2006, we agreed with the producers of “Avenue Q” to end Avenue Q’s exclusive run at Wynn Las Vegas at the end of May 2006. To terminate the contract, we will pay a contract termination fee of $5.0 million. This fee has been recorded in the current quarter in accordance with the liability recognition provisions of Statement of Financial Accounting Standards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(“SFAS 146”). We intend to remodel the Broadway Theater, which presents “Avenue Q,” and adjacent areas to accommodate “Monty Python’s Spamalot.” We have not yet determined the total costs of remodeling the theater and adjacent areas, nor have we determined the opening date for “Monty Python’s Spamalot.”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Interest income increased by $2.2 million for the first quarter of 2006 compared to the first quarter of 2005. This increase is due primarily to higher interest rates earned on cash balances.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Interest expense increased by $32.0 million for the first quarter of 2006 compared to the first quarter of 2005, due primarily to the significant decrease in the amount of interest capitalized once Wynn Las Vegas opened.</w:t>
      </w:r>
    </w:p>
    <w:p>
      <w:pPr>
        <w:spacing w:after="0" w:line="132"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seek to manage the interest rate risk associated with our variable rate borrowings through balancing fixed-rate and variable-rate borrowings supplemented by the use of derivative financial instruments as required or considered necessary. We were required to, and did obtain through interest rate swap arrangements, interest rate protection for portions of our borrowings under our credit facilities. These interest rate swaps are accounted for in accordance with Statement of Financial Accounting Standards No. 133, Accounting for Derivative Instruments and Hedging Activities, as amended (“SFAS 133”). The fair value of the interest rate swaps are recorded as either assets or liabilities. Changes in the fair value of these interest rate swaps are recorded as non-operating income or expense in each period. During the first quarter of 2006, we recognized $3.4 million of income resulting from the increase in the fair value of our interest rate swaps from December 31, 2005 to March 31, 2006. The first quarter of 2005 includes income of $7.7 million resulting from the increase in the fair value of interest rate swaps between December 31, 2004 and March 31, 2005.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flows from operations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operating cash flows are primarily affected by our operating income, interest paid, and non-cash charges included in operating income. During the first quarter of 2005, we were solely a development stage company without material operations. During this period, net cash provided by operations was $6.9 million. On April 28, 2005, we opened Wynn Las Vegas. Net cash from operations in the first quarter of 2006 was $60.7 million.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At March 31, 2006, we had approximately $123.3 million of cash and cash equivalents available for use without restriction, including for new development activities, enhancements to Wynn Las Vegas, or to support the development and construction of Encore.</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require a certain amount of cash on hand for operations. Otherwise we attempt to minimize the amount of cash held in banks. Accordingly, excess funds are swept from accounts into overnight investments or to repay borrowings under our credit facilities.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March 31, 2006, we had approximately $364.4 million in cash and investments from the proceeds of our debt and equity financings, all of which is restricted for the remaining costs of Wynn Las Vegas and the construction, development and pre-opening expenses of Encore, including $80.0 million restricted for the Wynn Las Vegas liquidity reserve and completion guarantee ($30.0 million of which must be retained for Encore). Cash equivalents include investments in overnight money market funds. Restricted investments are kept in money market funds or relatively short-term, government-backed, marketable debt securities as required by agreements governing the our debt facilities.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Development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March 31, 2006, approximately $15.5 million of budgeted project costs and retention amounts remained to be paid in order to close out the Wynn Las Vegas project. We expect these final costs to be paid in the second quarter of 2006.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third quarter of 2005, we began to make certain enhancements and refinements to Wynn Las Vegas. As a result, we have incurred and will continue to incur capital expenditures relating to these enhancements and refinements. Under the terms of the Wynn Las Vegas credit facilities, we are permitted to make up to $80.0 million of capital expenditures in 2006, of which we have expended approximately $6.3 million in the first quarter of 2006. The spending limit will be increased to the extent funds are contributed to Wynn Las Vegas by Wynn Resorts, Limited.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Encore at Wynn Las Vegas</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Our lenders approved the Encore budget, plans and specifications on March 31, 2006. On April 28, 2006, one year after opening Wynn Las Vegas, we broke ground and commenced construction on Encore. We expect to open Encore to the public by the end of 2008.</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Activity</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final accounting for Wynn Las Vegas is expected in the second quarter of 2006. Wynn Las Vegas’ estimated $2.74 billion total project cost has been, and will be, funded from a combination of contributed capital from the original shareholders of Valvino Lamore, LLC (the predecessor of Wynn Resorts), proceeds from sales of our common stock, proceeds from the issuance of the 12% Second Mortgage Notes due 2010 (the “Second Mortgage Notes”) (which were discharged in connection with the December 2004 refinancing), proceeds from the issuance of the 6-5/8% First Mortgage Notes due 2014 (the “First Mortgage Notes”), and a portion of Wynn Las Vegas, LLC’s $1.0 billion credit facilities (the “Credit Facilities”), which consist of a $400 million term loan facility (the “Term Loan”) and a $600 million revolving facility (the “Revolver”).</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Revolver is available for Wynn Las Vegas’ general corporate purposes and for Encore, and any amounts repaid may be re-borrowed. In the second quarter of 2005, we borrowed $80.0 million under the Revolver and loaned it to Wynn Macau, S.A. as subordinated debt. This borrowing was repaid by Wynn Las Vegas, LLC in the third quarter of 2005; consequently, as of March 31, 2006, the entire $600.0 million Revolver was available for future borrowings for the construction of Encore or for other uses as necessary.</w:t>
      </w:r>
    </w:p>
    <w:p>
      <w:pPr>
        <w:spacing w:after="0" w:line="14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have designated, and expect to continue to designate, borrowings under the Credit Facilities as Eurodollar Loans. These Eurodollar Loans bear interest at the London Interbank Offered Rate (“LIBOR”) plus 2.25% for the Revolver loans and LIBOR plus 2.125% for the Term Loan. Interest on Eurodollar Loans is payable at the end of the applicable interest period in the case of interest periods of one, two or three months, and every three months in the case of interest periods of six months. After the opening of Encore, the applicable borrowing margins for Eurodollar revolving loans will range from 1.25% to 2.5% per annum depending on Wynn Las Vegas, LLC’s leverage ratio. In addition to interest, we also pay quarterly in arrears, 0.75% per annum on the daily average of unborrowed availability under the Revolver. After the opening of Encore, the annual fee that we will be required to pay for unborrowed availability under the Revolver will be based on Wynn Las Vegas, LLC’s leverage ratio and will range from 0.25% to 0.50% per annum.</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Credit Facilities are obligations of Wynn Las Vegas, LLC and are guaranteed by each of its subsidiaries (other than Wynn Completion Guarantor, LLC). The obligations and guarantees are secured by: (1) a first priority security interest on a $30.0 million liquidity reserve account; (2) a $50.0 million completion guarantee deposit account held by Wynn Completion Guarantor, LLC; (3) the remaining previously funded proceeds of the Credit Facilities; (4) a first priority pledge of all member’s interests owned by Wynn Las Vegas, LLC in its subsidiaries (other than Wynn Completion Guarantor, LLC) and Wynn Resorts Holdings, LLC’s 100% member’s interest in Wynn Las Vegas, LLC; (5) first mortgages on all real property constituting Wynn Las Vegas, its golf course and Encore; and (6) a first priority security interest in substantially all other existing and future assets of Wynn Las Vegas, LLC and the guarantors, excluding a corporate aircraft owned by World Travel, LLC, a subsidiary of Wynn Las Vegas, LLC.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Revolver will terminate and be payable in full on December 14, 2009, and the Term Loan will mature on December 14, 2011.</w:t>
      </w:r>
    </w:p>
    <w:p>
      <w:pPr>
        <w:spacing w:after="0" w:line="17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have spent approximately $76.2 million on Encore through March 31, 2006. These costs have been funded from the Credit Facilities and the First Mortgage Notes. We expect that the available remaining proceeds from the First Mortgage Notes, together with availability under the Credit Facilities, and cash flow from operations, will be sufficient to pay for expenditures of up to $1.52 billion on the Encore project without incurring additional debt or receiving additional capital contributions from Wynn Resorts. Project costs exceeding $1.52 billion are expected to be funded by the issuance of up to $100.0 million of additional First Mortgage Notes and/or contributions from Wynn Resorts, Limited. On March 31, 2006, Wynn Resorts, Limited delivered an equity commitment agreement to the lenders under the Credit Facilities. Under this agreement, Wynn Resorts has committed to pay up to $215.3 million of Encore project costs if Wynn Las Vegas, LLC is unable to do so.</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15, 2006, we amended the Credit Facilities to (a) allow us to issue up to $100.0 million of additional First Mortgage Notes; (b) simplify draw procedures under the agreement governing our access to proceeds from our borrowings (the “Disbursement Agreement”); (c) consolidate certain accounts under the Disbursement Agreement; (d) amend and clarify certain of the conditions for the approval of the Encore budget, plans and specifications; (e) extend the outside opening date for Encore and the outside completion date for Encore to June 30, 2009 and September 30, 2009, respectively; and (f) permit expenditures of up to $150.0 million on Encore prior to the execution of a guaranteed maximum price contract.</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final costs of Wynn Las Vegas will be paid from previously funded amounts under the First Mortgage Notes and the Term Loan and the ongoing costs of Encore will be paid with funds from the following sources and in the following order of priority:</w:t>
      </w:r>
    </w:p>
    <w:p>
      <w:pPr>
        <w:spacing w:after="0" w:line="51"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First, by using agreed excess cash flow from the operations of Wynn Las Vegas and any equity contributions from Wynn Resorts;</w:t>
      </w:r>
    </w:p>
    <w:p>
      <w:pPr>
        <w:spacing w:after="0" w:line="90"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Second, by using any proceeds from the First Mortgage Notes (including any additional First Mortgage Notes that may be issued in the future), and the proceeds of borrowings under the Credit Facilities, until exhaustion of the First Mortgage Notes proceeds, with amounts funded 66.67% from notes proceeds and 33.33% from the Credit Facilities;</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by using proceeds of additional borrowings under the Credit Facilities;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Fourth, by using the funds from the completion guarantee deposit account.</w:t>
      </w:r>
    </w:p>
    <w:p>
      <w:pPr>
        <w:spacing w:after="0" w:line="171"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have two interest rate swap agreements to hedge a portion of the underlying interest rate risk on borrowings under the Wynn Las Vegas Credit Facilities. See Item 3. “Quantitative and Qualitative Disclosures About Market Risk.”</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We also have outstanding at March 31, 2006 approximately $42.3 million of an original $44.75 million borrowing secured by our aircraft. This loan matures on May 24, 2010. Principal and interest are payable quarterly, and interest is calculated at LIBOR plus a margin of 2.375%. In addition to scheduled amortization payments, we are required to prepay the loans if certain events of loss with respect to the aircraft occur. Beginning December 31, 2006, we may prepay all or any portion of the loan, subject to a minimum prepayment of $10.0 million.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We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until Wynn Las Vegas has been completed and certain other financial and non-financial criteria have been satisfied. In addition the Credit Facilities contain similar restrictions.</w:t>
      </w:r>
    </w:p>
    <w:p>
      <w:pPr>
        <w:spacing w:after="0" w:line="143"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If completion of Encore is delayed, then our debt service obligations accruing prior to the actual opening of Encore will increase correspondingly. We intend to fund the operations and capital requirements of Wynn Las Vegas from operating cash flow and remaining availability under the Credit Facilities. We cannot assure you, however, that Wynn Las Vegas will generate sufficient cash flow from operations or that future borrowings available to us under the Credit Facilities will be sufficient to enable us to service and repay our indebtedness and to fund its other liquidity needs. We may refinance all or a portion of our indebtedness on or before maturity. We cannot assure you that we will be able to refinance any of the indebtedness on acceptable terms or at all.</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Furthermore, new business developments or other unforeseen events may occur, resulting in the need to raise additional funds. We continue to explore opportunities to develop additional gaming or related businesses utilizing our substantial real estate holdings in Las Vegas. There can be no assurances regarding the business prospects with respect to any other opportunity. Any such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Wynn Las Vegas, significant start-up costs were incurred and charged to pre-opening expenses through the second quarter of 2005, as anticipated. Once Wynn Las Vegas opened to the public, expenses associated with the opening of the resort were no longer charged as pre-opening expenses. However, start-up costs relating to the Encore project will continue to be charged to pre-opening expenses.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construction and development stage, direct costs such as those incurred for the design and construction of Wynn Las Vegas and Encore, including applicable portions of interest, are capitalized. Accordingly, the recorded amounts of property and equipment increase significantly during construction periods. Depreciation expense related to capitalized construction costs is recognized when the related assets are put in service. Accordingly, upon opening of Wynn Las Vegas, we began recognizing depreciation expense on the resort’s fixed assets. Depreciation expense is recognized in our financial statements based on the straight-line method over the estimated useful lives of the corresponding assets as follows:</w:t>
      </w:r>
    </w:p>
    <w:p>
      <w:pPr>
        <w:sectPr>
          <w:pgSz w:w="11900" w:h="16838" w:orient="portrait"/>
          <w:cols w:equalWidth="0" w:num="1">
            <w:col w:w="11380"/>
          </w:cols>
          <w:pgMar w:left="240" w:top="459" w:right="279" w:bottom="1440" w:gutter="0" w:footer="0" w:header="0"/>
        </w:sectPr>
      </w:pPr>
    </w:p>
    <w:p>
      <w:pPr>
        <w:spacing w:after="0" w:line="15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Buildings and improvements</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Land improvements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Airplane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Furniture, fixtures and equipment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10 to 45 years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10 to 45 years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 to 20 years</w:t>
      </w:r>
    </w:p>
    <w:p>
      <w:pPr>
        <w:spacing w:after="0" w:line="174" w:lineRule="exact"/>
        <w:rPr>
          <w:sz w:val="20"/>
          <w:szCs w:val="20"/>
          <w:color w:val="auto"/>
        </w:rPr>
      </w:pPr>
    </w:p>
    <w:p>
      <w:pPr>
        <w:sectPr>
          <w:pgSz w:w="11900" w:h="16838" w:orient="portrait"/>
          <w:cols w:equalWidth="0" w:num="2">
            <w:col w:w="8340" w:space="720"/>
            <w:col w:w="232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80"/>
          </w:cols>
          <w:pgMar w:left="240" w:top="459" w:right="27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estimated useful lives of assets are periodically reviewed for continued applicability.</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Costs relating to improvements are capitalized, while costs of building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Statement of Financial Accounting Standards No. 144, “Accounting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We then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Black-Scholes stock option valuation</w:t>
      </w:r>
    </w:p>
    <w:p>
      <w:pPr>
        <w:spacing w:after="0" w:line="90" w:lineRule="exact"/>
        <w:rPr>
          <w:sz w:val="20"/>
          <w:szCs w:val="20"/>
          <w:color w:val="auto"/>
        </w:rPr>
      </w:pPr>
    </w:p>
    <w:p>
      <w:pPr>
        <w:ind w:right="240" w:firstLine="456"/>
        <w:spacing w:after="0" w:line="318" w:lineRule="auto"/>
        <w:rPr>
          <w:sz w:val="20"/>
          <w:szCs w:val="20"/>
          <w:color w:val="auto"/>
        </w:rPr>
      </w:pPr>
      <w:r>
        <w:rPr>
          <w:rFonts w:ascii="Arial" w:cs="Arial" w:eastAsia="Arial" w:hAnsi="Arial"/>
          <w:sz w:val="15"/>
          <w:szCs w:val="15"/>
          <w:color w:val="auto"/>
        </w:rPr>
        <w:t>In December 2004, the Financial Accounting Standards Board (“FASB”) issued Statement of Financial Accounting Standards (“SFAS”) No. 123(R), “Share Based Payment.” See further discussion below under “Recently Issued Accounting Standards.” We adopted this statement on January 1, 2006 under the modified prospective method and use the Black-Scholes valuation model to measure the fair value of equity instruments issued.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evaluate our reserve for bad debts based on a specific review of customer accounts as well as management’s prior experience with collection trends in the casino industry and current economic and business conditions.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substantial portion of our outstanding receivables relates to casino credit play. Credit play represents a significant portion of the table games volume at Wynn Las Vegas. We maintain strict controls over the issuance of markers and aggressively pursue collection from those customers who fail to pay their marker balances timely.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March 31, 2006, approximately 60% of our casino accounts receivable were owed by customers from foreign countries. The collectibility of markers given by foreign customers is affected by a number of factors including changes in currency exchange rates and economic conditions in the customers’ home countries.</w:t>
      </w:r>
    </w:p>
    <w:p>
      <w:pPr>
        <w:spacing w:after="0" w:line="11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December 2004, the FASB issued SFAS No. 123(R). This statement is a revision of SFAS No. 123, “Accounting for Stock-Based Compensation” and supercedes APB Opinion No. 25, “Accounting for Stock Issued to Employees,”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on January 1, 2006 under the modified prospective method and use the Black-Scholes valuation model to value the equity instruments issued. In applying the modified prospective method, financial statements of prior periods presented do not reflect any adjusted amounts (i.e. prior periods do not include compensation cost calculated under the fair value method).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2005, the SEC issued Staff Accounting Bulleting (“SAB”) No. 107, “Share-Based Payment” to provide interpretive guidance on SFAS</w:t>
      </w:r>
    </w:p>
    <w:p>
      <w:pPr>
        <w:spacing w:after="0" w:line="3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No. 123(R) valuation methods, assumptions used in valuation models, and the interaction of SFAS No. 123(R) with existing SEC guidance. SAB No. 107 also requires the classification of stock compensation expense in the same financial statement line items as cash compensation, and will therefore impact our departmental expenses (and related operating margins), pre-opening costs and construction in progress for our development projects, and our general and administrative expenses.</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adoption of SFAS No. 123(R) and the related interpretations resulted in the Company’s recognition of approximately $1.8 million of compensation cost related to stock options in the following divisions (amounts in thousands):</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Rooms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Food &amp; Beverage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22"/>
        </w:trPr>
        <w:tc>
          <w:tcPr>
            <w:tcW w:w="908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1,787</w:t>
            </w:r>
          </w:p>
        </w:tc>
      </w:tr>
      <w:tr>
        <w:trPr>
          <w:trHeight w:val="20"/>
        </w:trPr>
        <w:tc>
          <w:tcPr>
            <w:tcW w:w="9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See Note 2. Summary of Significant Accounting Policies in the notes to the condensed consolidated financial statements, for a description of other recently issued accounting pronouncements which are relevant to the Company but which we believe will not have a material impact on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We attempt to manage interest rate risk by managing the mix of long-term fixed rate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2003 and 2004, we entered into interest rate swap arrangements relating to certain of our floating-rate debt facilities. We account for these swaps under Statement of Financial Accounting Standards No. 133, Accounting for Derivative Instruments and Hedging Activities (“SFAS No. 133”), and its related interpretations.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2003, we entered into two interest rate swap arrangements to hedge the underlying interest rate risk on a total of $825.0 million of borrowings under our previous credit facilities. On December 14, 2004, concurrent with the refinancing of our debt structure, we terminated these two interest rate swaps. As a result of the termination, we received a cash payment of approximately $9.6 million in settlement of the related asset.</w:t>
      </w:r>
    </w:p>
    <w:p>
      <w:pPr>
        <w:spacing w:after="0" w:line="10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Concurrent with the refinancing, we entered into two new interest rate swap arrangements to hedge the underlying interest rate risk on a total of $400.0 million of borrowings under the current Wynn Las Vegas, LLC term loan facility, which bears interest at LIBOR plus 2.125%. Under each of these two interest rate swap arrangements, we receive payments at a variable rate of LIBOR and pay a fixed rate of 3.793% on the $200.0 million notional amount set forth in each of the swap instruments from February and March 2005, respectively, through December 2008. Although these interest rate swaps are highly effective economically in fixing the interest rate on these borrowings under the new term loan facility at approximately 5.9%, changes in fair value of these interest rate swaps for each reporting period are, and will continue to be, recorded as a component of other income (expense), net as the swaps do not qualify for hedge accounting.</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historical asset fair values of our interest rate swap arrangements (reflected in deposits and other assets) as of March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2006 and 2005 and as of December 31, 2005 and 2004 (amounts in thousands):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fair value at March 31, 2006</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13,878</w:t>
            </w:r>
          </w:p>
        </w:tc>
      </w:tr>
      <w:tr>
        <w:trPr>
          <w:trHeight w:val="216"/>
        </w:trPr>
        <w:tc>
          <w:tcPr>
            <w:tcW w:w="2320" w:type="dxa"/>
            <w:vAlign w:val="bottom"/>
            <w:gridSpan w:val="2"/>
          </w:tcPr>
          <w:p>
            <w:pPr>
              <w:spacing w:after="0"/>
              <w:rPr>
                <w:sz w:val="20"/>
                <w:szCs w:val="20"/>
                <w:color w:val="auto"/>
              </w:rPr>
            </w:pPr>
            <w:r>
              <w:rPr>
                <w:rFonts w:ascii="Arial" w:cs="Arial" w:eastAsia="Arial" w:hAnsi="Arial"/>
                <w:sz w:val="18"/>
                <w:szCs w:val="18"/>
                <w:color w:val="auto"/>
                <w:w w:val="88"/>
              </w:rPr>
              <w:t>Asset fair value at December 31,</w:t>
            </w:r>
          </w:p>
        </w:tc>
        <w:tc>
          <w:tcPr>
            <w:tcW w:w="3520" w:type="dxa"/>
            <w:vAlign w:val="bottom"/>
          </w:tcPr>
          <w:p>
            <w:pPr>
              <w:jc w:val="right"/>
              <w:ind w:right="3052"/>
              <w:spacing w:after="0"/>
              <w:rPr>
                <w:sz w:val="20"/>
                <w:szCs w:val="20"/>
                <w:color w:val="auto"/>
              </w:rPr>
            </w:pPr>
            <w:r>
              <w:rPr>
                <w:rFonts w:ascii="Arial" w:cs="Arial" w:eastAsia="Arial" w:hAnsi="Arial"/>
                <w:sz w:val="18"/>
                <w:szCs w:val="18"/>
                <w:color w:val="auto"/>
                <w:w w:val="89"/>
              </w:rPr>
              <w:t>2005</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10,523</w:t>
            </w: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w w:val="89"/>
              </w:rPr>
              <w:t>Asset fair value at March 31,</w:t>
            </w: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2005</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w:t>
            </w:r>
          </w:p>
        </w:tc>
      </w:tr>
      <w:tr>
        <w:trPr>
          <w:trHeight w:val="222"/>
        </w:trPr>
        <w:tc>
          <w:tcPr>
            <w:tcW w:w="2060" w:type="dxa"/>
            <w:vAlign w:val="bottom"/>
          </w:tcPr>
          <w:p>
            <w:pPr>
              <w:spacing w:after="0"/>
              <w:rPr>
                <w:sz w:val="20"/>
                <w:szCs w:val="20"/>
                <w:color w:val="auto"/>
              </w:rPr>
            </w:pPr>
            <w:r>
              <w:rPr>
                <w:rFonts w:ascii="Arial" w:cs="Arial" w:eastAsia="Arial" w:hAnsi="Arial"/>
                <w:sz w:val="18"/>
                <w:szCs w:val="18"/>
                <w:color w:val="auto"/>
                <w:w w:val="88"/>
              </w:rPr>
              <w:t>Asset fair value at December</w:t>
            </w:r>
          </w:p>
        </w:tc>
        <w:tc>
          <w:tcPr>
            <w:tcW w:w="260" w:type="dxa"/>
            <w:vAlign w:val="bottom"/>
          </w:tcPr>
          <w:p>
            <w:pPr>
              <w:ind w:left="20"/>
              <w:spacing w:after="0"/>
              <w:rPr>
                <w:sz w:val="20"/>
                <w:szCs w:val="20"/>
                <w:color w:val="auto"/>
              </w:rPr>
            </w:pPr>
            <w:r>
              <w:rPr>
                <w:rFonts w:ascii="Arial" w:cs="Arial" w:eastAsia="Arial" w:hAnsi="Arial"/>
                <w:sz w:val="18"/>
                <w:szCs w:val="18"/>
                <w:color w:val="auto"/>
                <w:w w:val="87"/>
              </w:rPr>
              <w:t>31,</w:t>
            </w:r>
          </w:p>
        </w:tc>
        <w:tc>
          <w:tcPr>
            <w:tcW w:w="3520" w:type="dxa"/>
            <w:vAlign w:val="bottom"/>
          </w:tcPr>
          <w:p>
            <w:pPr>
              <w:jc w:val="right"/>
              <w:ind w:right="3052"/>
              <w:spacing w:after="0"/>
              <w:rPr>
                <w:sz w:val="20"/>
                <w:szCs w:val="20"/>
                <w:color w:val="auto"/>
              </w:rPr>
            </w:pPr>
            <w:r>
              <w:rPr>
                <w:rFonts w:ascii="Arial" w:cs="Arial" w:eastAsia="Arial" w:hAnsi="Arial"/>
                <w:sz w:val="18"/>
                <w:szCs w:val="18"/>
                <w:color w:val="auto"/>
                <w:w w:val="89"/>
              </w:rPr>
              <w:t>2004</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583</w:t>
            </w:r>
          </w:p>
        </w:tc>
      </w:tr>
    </w:tbl>
    <w:p>
      <w:pPr>
        <w:spacing w:after="0" w:line="14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months ended March 31, 2006, we incurred approximately $32.3 million in interest. Certain amounts of our outstanding indebtedness for the period was based upon a variable, LIBOR or HIBOR rates plus a premium. A 1% increase in the variable rates would have increased our interest cost for the three months ended March 31, 2006 by approximately $117,000.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20" w:firstLine="464"/>
        <w:spacing w:after="0" w:line="289"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18" w:lineRule="exact"/>
        <w:rPr>
          <w:rFonts w:ascii="Arial" w:cs="Arial" w:eastAsia="Arial" w:hAnsi="Arial"/>
          <w:sz w:val="16"/>
          <w:szCs w:val="16"/>
          <w:color w:val="auto"/>
        </w:rPr>
      </w:pPr>
    </w:p>
    <w:p>
      <w:pPr>
        <w:ind w:firstLine="464"/>
        <w:spacing w:after="0" w:line="289" w:lineRule="auto"/>
        <w:tabs>
          <w:tab w:leader="none" w:pos="705"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At December 31, 2005, the Company’s controls over the formal designation, documentation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continual evaluation and assessment of its derivative instruments were not adequately designed to determine that derivative instruments were not appropriately documented or accounted for in accordance with Statement of Financial Accounting Standards No. 133: </w:t>
      </w:r>
      <w:r>
        <w:rPr>
          <w:rFonts w:ascii="Arial" w:cs="Arial" w:eastAsia="Arial" w:hAnsi="Arial"/>
          <w:sz w:val="16"/>
          <w:szCs w:val="16"/>
          <w:i w:val="1"/>
          <w:iCs w:val="1"/>
          <w:color w:val="auto"/>
        </w:rPr>
        <w:t>Accounting for Derivative Instruments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Activities </w:t>
      </w:r>
      <w:r>
        <w:rPr>
          <w:rFonts w:ascii="Arial" w:cs="Arial" w:eastAsia="Arial" w:hAnsi="Arial"/>
          <w:sz w:val="16"/>
          <w:szCs w:val="16"/>
          <w:color w:val="auto"/>
        </w:rPr>
        <w:t>(“SFAS 133”) in order to have hedge accounting treatment. Consequently, during the quarter ended March 31, 2006, the Company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additional consultation and review policies and procedures intended to ensure that derivative instruments, when entered into, are properly documented and accounted for in accordance with SFAS 133. Other than to address this issue, 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Restrictions imposed by our debt instruments significantly restrict us, subject to certain exceptions for allocable corporate overhead and management fees, from declaring or paying dividends or distributions. Specifically, we and certain of our subsidiaries are restricted under the indenture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4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Exhibit No.</w:t>
            </w:r>
          </w:p>
        </w:tc>
        <w:tc>
          <w:tcPr>
            <w:tcW w:w="460" w:type="dxa"/>
            <w:vAlign w:val="bottom"/>
          </w:tcPr>
          <w:p>
            <w:pPr>
              <w:spacing w:after="0"/>
              <w:rPr>
                <w:sz w:val="24"/>
                <w:szCs w:val="24"/>
                <w:color w:val="auto"/>
              </w:rPr>
            </w:pPr>
          </w:p>
        </w:tc>
        <w:tc>
          <w:tcPr>
            <w:tcW w:w="10040" w:type="dxa"/>
            <w:vAlign w:val="bottom"/>
            <w:tcBorders>
              <w:bottom w:val="single" w:sz="8" w:color="auto"/>
            </w:tcBorders>
          </w:tcPr>
          <w:p>
            <w:pPr>
              <w:ind w:left="4680"/>
              <w:spacing w:after="0"/>
              <w:rPr>
                <w:sz w:val="20"/>
                <w:szCs w:val="20"/>
                <w:color w:val="auto"/>
              </w:rPr>
            </w:pPr>
            <w:r>
              <w:rPr>
                <w:rFonts w:ascii="Arial" w:cs="Arial" w:eastAsia="Arial" w:hAnsi="Arial"/>
                <w:sz w:val="14"/>
                <w:szCs w:val="14"/>
                <w:b w:val="1"/>
                <w:bCs w:val="1"/>
                <w:color w:val="auto"/>
              </w:rPr>
              <w:t>Description</w:t>
            </w:r>
          </w:p>
        </w:tc>
      </w:tr>
      <w:tr>
        <w:trPr>
          <w:trHeight w:val="221"/>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3.2</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10.1</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5"/>
              </w:rPr>
              <w:t>First Amendment to Employment Agreement, dated as of February 3, 2006, between Wynn Las Vegas, LLC and Andrew Pascal. (2)</w:t>
            </w:r>
          </w:p>
        </w:tc>
      </w:tr>
      <w:tr>
        <w:trPr>
          <w:trHeight w:val="324"/>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Employment Agreement, dated as of October 1, 2005, between Wynn Las Vegas, LLC and Matt Maddox. (3)</w:t>
            </w:r>
          </w:p>
        </w:tc>
      </w:tr>
      <w:tr>
        <w:trPr>
          <w:trHeight w:val="318"/>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Third Amendment to Credit Agreement, dated as of March 15, 2006, among Wynn Las Vegas, LLC, the Wynn Amendment Parties (as defined</w:t>
            </w: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8"/>
              </w:rPr>
              <w:t>therein) and Deutsche Bank Trust Company Americas, as administrative Agent on behalf of the lenders (as defined therein). (4)</w:t>
            </w:r>
          </w:p>
        </w:tc>
      </w:tr>
      <w:tr>
        <w:trPr>
          <w:trHeight w:val="318"/>
        </w:trPr>
        <w:tc>
          <w:tcPr>
            <w:tcW w:w="920" w:type="dxa"/>
            <w:vAlign w:val="bottom"/>
          </w:tcPr>
          <w:p>
            <w:pPr>
              <w:jc w:val="right"/>
              <w:ind w:right="254"/>
              <w:spacing w:after="0"/>
              <w:rPr>
                <w:sz w:val="20"/>
                <w:szCs w:val="20"/>
                <w:color w:val="auto"/>
              </w:rPr>
            </w:pPr>
            <w:r>
              <w:rPr>
                <w:rFonts w:ascii="Arial" w:cs="Arial" w:eastAsia="Arial" w:hAnsi="Arial"/>
                <w:sz w:val="18"/>
                <w:szCs w:val="18"/>
                <w:color w:val="auto"/>
              </w:rPr>
              <w:t>10.4</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88"/>
              </w:rPr>
              <w:t>Third Amendment to Master Disbursement Agreement, dated as of March 13, 2006, between Wynn Las Vegas, LLC and Deutsche Bank Trust</w:t>
            </w:r>
          </w:p>
        </w:tc>
      </w:tr>
      <w:tr>
        <w:trPr>
          <w:trHeight w:val="222"/>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Company Americas. (4)</w:t>
            </w:r>
          </w:p>
        </w:tc>
      </w:tr>
      <w:tr>
        <w:trPr>
          <w:trHeight w:val="324"/>
        </w:trPr>
        <w:tc>
          <w:tcPr>
            <w:tcW w:w="920" w:type="dxa"/>
            <w:vAlign w:val="bottom"/>
          </w:tcPr>
          <w:p>
            <w:pPr>
              <w:jc w:val="right"/>
              <w:ind w:right="174"/>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920" w:type="dxa"/>
            <w:vAlign w:val="bottom"/>
          </w:tcPr>
          <w:p>
            <w:pPr>
              <w:jc w:val="right"/>
              <w:ind w:right="174"/>
              <w:spacing w:after="0"/>
              <w:rPr>
                <w:sz w:val="20"/>
                <w:szCs w:val="20"/>
                <w:color w:val="auto"/>
              </w:rPr>
            </w:pPr>
            <w:r>
              <w:rPr>
                <w:rFonts w:ascii="Arial" w:cs="Arial" w:eastAsia="Arial" w:hAnsi="Arial"/>
                <w:sz w:val="18"/>
                <w:szCs w:val="18"/>
                <w:color w:val="auto"/>
              </w:rPr>
              <w:t>31.2*</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920" w:type="dxa"/>
            <w:vAlign w:val="bottom"/>
          </w:tcPr>
          <w:p>
            <w:pPr>
              <w:jc w:val="right"/>
              <w:ind w:right="174"/>
              <w:spacing w:after="0"/>
              <w:rPr>
                <w:sz w:val="20"/>
                <w:szCs w:val="20"/>
                <w:color w:val="auto"/>
              </w:rPr>
            </w:pPr>
            <w:r>
              <w:rPr>
                <w:rFonts w:ascii="Arial" w:cs="Arial" w:eastAsia="Arial" w:hAnsi="Arial"/>
                <w:sz w:val="18"/>
                <w:szCs w:val="18"/>
                <w:color w:val="auto"/>
              </w:rPr>
              <w:t>32.1*</w:t>
            </w:r>
          </w:p>
        </w:tc>
        <w:tc>
          <w:tcPr>
            <w:tcW w:w="46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08"/>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20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 and incorporated herein by reference.</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February 9, 2006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Limited on May 10, 2006.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Limited on March 16, 2006.</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WYNN LAS VEGAS, LLC</w:t>
      </w:r>
    </w:p>
    <w:p>
      <w:pPr>
        <w:spacing w:after="0" w:line="225"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WYNN RESORTS HOLDINGS, LLC</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its sole member</w:t>
      </w:r>
    </w:p>
    <w:p>
      <w:pPr>
        <w:spacing w:after="0" w:line="213" w:lineRule="exact"/>
        <w:rPr>
          <w:sz w:val="20"/>
          <w:szCs w:val="20"/>
          <w:color w:val="auto"/>
        </w:rPr>
      </w:pPr>
    </w:p>
    <w:p>
      <w:pPr>
        <w:ind w:left="608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WYNN RESORTS, LIMITED</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its sole member</w:t>
      </w:r>
    </w:p>
    <w:p>
      <w:pPr>
        <w:spacing w:after="0" w:line="219" w:lineRule="exact"/>
        <w:rPr>
          <w:sz w:val="20"/>
          <w:szCs w:val="20"/>
          <w:color w:val="auto"/>
        </w:rPr>
      </w:pPr>
    </w:p>
    <w:p>
      <w:pPr>
        <w:spacing w:after="0"/>
        <w:tabs>
          <w:tab w:leader="none" w:pos="6060" w:val="left"/>
          <w:tab w:leader="none" w:pos="8360" w:val="left"/>
        </w:tabs>
        <w:rPr>
          <w:sz w:val="20"/>
          <w:szCs w:val="20"/>
          <w:color w:val="auto"/>
        </w:rPr>
      </w:pPr>
      <w:r>
        <w:rPr>
          <w:rFonts w:ascii="Arial" w:cs="Arial" w:eastAsia="Arial" w:hAnsi="Arial"/>
          <w:sz w:val="18"/>
          <w:szCs w:val="18"/>
          <w:color w:val="auto"/>
        </w:rPr>
        <w:t>Dated: May 12,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0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6500"/>
        <w:spacing w:after="0"/>
        <w:rPr>
          <w:sz w:val="20"/>
          <w:szCs w:val="20"/>
          <w:color w:val="auto"/>
        </w:rPr>
      </w:pPr>
      <w:r>
        <w:rPr>
          <w:rFonts w:ascii="Arial" w:cs="Arial" w:eastAsia="Arial" w:hAnsi="Arial"/>
          <w:sz w:val="12"/>
          <w:szCs w:val="12"/>
          <w:b w:val="1"/>
          <w:bCs w:val="1"/>
          <w:color w:val="auto"/>
        </w:rPr>
        <w:t>Executive Vice President and Chief Financial Officer</w:t>
      </w:r>
    </w:p>
    <w:p>
      <w:pPr>
        <w:spacing w:after="0" w:line="10"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of Wynn Resorts, Limited</w:t>
      </w:r>
    </w:p>
    <w:p>
      <w:pPr>
        <w:spacing w:after="0" w:line="1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40"/>
          </w:cols>
          <w:pgMar w:left="240" w:top="459" w:right="11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Andrew Pascal, certify that:</w:t>
      </w:r>
    </w:p>
    <w:p>
      <w:pPr>
        <w:spacing w:after="0" w:line="9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12, 2006</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Operating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David R. Sisk,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12, 2006</w:t>
      </w:r>
    </w:p>
    <w:p>
      <w:pPr>
        <w:spacing w:after="0" w:line="200" w:lineRule="exact"/>
        <w:rPr>
          <w:sz w:val="20"/>
          <w:szCs w:val="20"/>
          <w:color w:val="auto"/>
        </w:rPr>
      </w:pP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 Sisk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 Sisk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March 31, 2006 as filed with the Securities and Exchange Commission on the date hereof (the “Report”), Andrew Pascal, as Chief Operating Officer of the Company and David R. Sisk,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Andrew Pascal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rPr>
              <w:t>Name:</w:t>
            </w:r>
          </w:p>
        </w:tc>
        <w:tc>
          <w:tcPr>
            <w:tcW w:w="4280" w:type="dxa"/>
            <w:vAlign w:val="bottom"/>
            <w:tcBorders>
              <w:top w:val="single" w:sz="8" w:color="auto"/>
            </w:tcBorders>
          </w:tcPr>
          <w:p>
            <w:pPr>
              <w:ind w:left="160"/>
              <w:spacing w:after="0" w:line="203" w:lineRule="exact"/>
              <w:rPr>
                <w:sz w:val="20"/>
                <w:szCs w:val="20"/>
                <w:color w:val="auto"/>
              </w:rPr>
            </w:pPr>
            <w:r>
              <w:rPr>
                <w:rFonts w:ascii="Arial" w:cs="Arial" w:eastAsia="Arial" w:hAnsi="Arial"/>
                <w:sz w:val="18"/>
                <w:szCs w:val="18"/>
                <w:color w:val="auto"/>
              </w:rPr>
              <w:t>Andrew Pascal</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6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64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Pr>
          <w:p>
            <w:pPr>
              <w:ind w:left="160"/>
              <w:spacing w:after="0"/>
              <w:rPr>
                <w:sz w:val="20"/>
                <w:szCs w:val="20"/>
                <w:color w:val="auto"/>
              </w:rPr>
            </w:pPr>
            <w:r>
              <w:rPr>
                <w:rFonts w:ascii="Arial" w:cs="Arial" w:eastAsia="Arial" w:hAnsi="Arial"/>
                <w:sz w:val="18"/>
                <w:szCs w:val="18"/>
                <w:color w:val="auto"/>
              </w:rPr>
              <w:t>May 12, 2006</w:t>
            </w:r>
          </w:p>
        </w:tc>
      </w:tr>
      <w:tr>
        <w:trPr>
          <w:trHeight w:val="636"/>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R. Sisk</w:t>
            </w:r>
          </w:p>
        </w:tc>
      </w:tr>
      <w:tr>
        <w:trPr>
          <w:trHeight w:val="202"/>
        </w:trPr>
        <w:tc>
          <w:tcPr>
            <w:tcW w:w="640" w:type="dxa"/>
            <w:vAlign w:val="bottom"/>
          </w:tcPr>
          <w:p>
            <w:pPr>
              <w:spacing w:after="0" w:line="202" w:lineRule="exact"/>
              <w:rPr>
                <w:sz w:val="20"/>
                <w:szCs w:val="20"/>
                <w:color w:val="auto"/>
              </w:rPr>
            </w:pPr>
            <w:r>
              <w:rPr>
                <w:rFonts w:ascii="Arial" w:cs="Arial" w:eastAsia="Arial" w:hAnsi="Arial"/>
                <w:sz w:val="18"/>
                <w:szCs w:val="18"/>
                <w:color w:val="auto"/>
              </w:rPr>
              <w:t>Name:</w:t>
            </w:r>
          </w:p>
        </w:tc>
        <w:tc>
          <w:tcPr>
            <w:tcW w:w="4280" w:type="dxa"/>
            <w:vAlign w:val="bottom"/>
          </w:tcPr>
          <w:p>
            <w:pPr>
              <w:ind w:left="160"/>
              <w:spacing w:after="0" w:line="202" w:lineRule="exact"/>
              <w:rPr>
                <w:sz w:val="20"/>
                <w:szCs w:val="20"/>
                <w:color w:val="auto"/>
              </w:rPr>
            </w:pPr>
            <w:r>
              <w:rPr>
                <w:rFonts w:ascii="Arial" w:cs="Arial" w:eastAsia="Arial" w:hAnsi="Arial"/>
                <w:sz w:val="18"/>
                <w:szCs w:val="18"/>
                <w:color w:val="auto"/>
              </w:rPr>
              <w:t>David R. Sisk</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28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64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280" w:type="dxa"/>
            <w:vAlign w:val="bottom"/>
          </w:tcPr>
          <w:p>
            <w:pPr>
              <w:ind w:left="160"/>
              <w:spacing w:after="0"/>
              <w:rPr>
                <w:sz w:val="20"/>
                <w:szCs w:val="20"/>
                <w:color w:val="auto"/>
              </w:rPr>
            </w:pPr>
            <w:r>
              <w:rPr>
                <w:rFonts w:ascii="Arial" w:cs="Arial" w:eastAsia="Arial" w:hAnsi="Arial"/>
                <w:sz w:val="18"/>
                <w:szCs w:val="18"/>
                <w:color w:val="auto"/>
              </w:rPr>
              <w:t>May 12, 2006</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1)"/>
      <w:numFmt w:val="lowerRoman"/>
      <w:start w:val="2"/>
    </w:lvl>
  </w:abstractNum>
  <w:abstractNum w:abstractNumId="6">
    <w:nsid w:val="1F16E9E8"/>
    <w:multiLevelType w:val="hybridMultilevel"/>
    <w:lvl w:ilvl="0">
      <w:lvlJc w:val="left"/>
      <w:lvlText w:val="%1."/>
      <w:numFmt w:val="decimal"/>
      <w:start w:val="1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2019-12-15T08:18:49Z</dcterms:created>
  <dcterms:modified xsi:type="dcterms:W3CDTF">2019-12-15T08:18:49Z</dcterms:modified>
</cp:coreProperties>
</file>