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February 25, 2010</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620" w:type="dxa"/>
            <w:vAlign w:val="bottom"/>
          </w:tcPr>
          <w:p>
            <w:pPr>
              <w:jc w:val="center"/>
              <w:spacing w:after="0"/>
              <w:rPr>
                <w:sz w:val="20"/>
                <w:szCs w:val="20"/>
                <w:color w:val="auto"/>
              </w:rPr>
            </w:pPr>
            <w:r>
              <w:rPr>
                <w:rFonts w:ascii="Arial" w:cs="Arial" w:eastAsia="Arial" w:hAnsi="Arial"/>
                <w:sz w:val="22"/>
                <w:szCs w:val="22"/>
                <w:b w:val="1"/>
                <w:bCs w:val="1"/>
                <w:color w:val="auto"/>
                <w:w w:val="89"/>
              </w:rPr>
              <w:t>Nevada</w:t>
            </w:r>
          </w:p>
        </w:tc>
        <w:tc>
          <w:tcPr>
            <w:tcW w:w="4200" w:type="dxa"/>
            <w:vAlign w:val="bottom"/>
          </w:tcPr>
          <w:p>
            <w:pPr>
              <w:jc w:val="right"/>
              <w:ind w:right="1578"/>
              <w:spacing w:after="0"/>
              <w:rPr>
                <w:sz w:val="20"/>
                <w:szCs w:val="20"/>
                <w:color w:val="auto"/>
              </w:rPr>
            </w:pPr>
            <w:r>
              <w:rPr>
                <w:rFonts w:ascii="Arial" w:cs="Arial" w:eastAsia="Arial" w:hAnsi="Arial"/>
                <w:sz w:val="22"/>
                <w:szCs w:val="22"/>
                <w:b w:val="1"/>
                <w:bCs w:val="1"/>
                <w:color w:val="auto"/>
              </w:rPr>
              <w:t>000-50028</w:t>
            </w:r>
          </w:p>
        </w:tc>
        <w:tc>
          <w:tcPr>
            <w:tcW w:w="3260" w:type="dxa"/>
            <w:vAlign w:val="bottom"/>
          </w:tcPr>
          <w:p>
            <w:pPr>
              <w:jc w:val="center"/>
              <w:spacing w:after="0"/>
              <w:rPr>
                <w:sz w:val="20"/>
                <w:szCs w:val="20"/>
                <w:color w:val="auto"/>
              </w:rPr>
            </w:pPr>
            <w:r>
              <w:rPr>
                <w:rFonts w:ascii="Arial" w:cs="Arial" w:eastAsia="Arial" w:hAnsi="Arial"/>
                <w:sz w:val="22"/>
                <w:szCs w:val="22"/>
                <w:b w:val="1"/>
                <w:bCs w:val="1"/>
                <w:color w:val="auto"/>
                <w:w w:val="88"/>
              </w:rPr>
              <w:t>46-0484987</w:t>
            </w:r>
          </w:p>
        </w:tc>
      </w:tr>
      <w:tr>
        <w:trPr>
          <w:trHeight w:val="243"/>
        </w:trPr>
        <w:tc>
          <w:tcPr>
            <w:tcW w:w="3620" w:type="dxa"/>
            <w:vAlign w:val="bottom"/>
          </w:tcPr>
          <w:p>
            <w:pPr>
              <w:jc w:val="center"/>
              <w:spacing w:after="0" w:line="243" w:lineRule="exact"/>
              <w:rPr>
                <w:sz w:val="20"/>
                <w:szCs w:val="20"/>
                <w:color w:val="auto"/>
              </w:rPr>
            </w:pPr>
            <w:r>
              <w:rPr>
                <w:rFonts w:ascii="Arial" w:cs="Arial" w:eastAsia="Arial" w:hAnsi="Arial"/>
                <w:sz w:val="22"/>
                <w:szCs w:val="22"/>
                <w:color w:val="auto"/>
                <w:w w:val="90"/>
              </w:rPr>
              <w:t>(State or other jurisdiction of</w:t>
            </w:r>
          </w:p>
        </w:tc>
        <w:tc>
          <w:tcPr>
            <w:tcW w:w="4200" w:type="dxa"/>
            <w:vAlign w:val="bottom"/>
          </w:tcPr>
          <w:p>
            <w:pPr>
              <w:jc w:val="center"/>
              <w:spacing w:after="0" w:line="243" w:lineRule="exact"/>
              <w:rPr>
                <w:sz w:val="20"/>
                <w:szCs w:val="20"/>
                <w:color w:val="auto"/>
              </w:rPr>
            </w:pPr>
            <w:r>
              <w:rPr>
                <w:rFonts w:ascii="Arial" w:cs="Arial" w:eastAsia="Arial" w:hAnsi="Arial"/>
                <w:sz w:val="22"/>
                <w:szCs w:val="22"/>
                <w:color w:val="auto"/>
                <w:w w:val="91"/>
              </w:rPr>
              <w:t>(Commission File Number)</w:t>
            </w:r>
          </w:p>
        </w:tc>
        <w:tc>
          <w:tcPr>
            <w:tcW w:w="3260" w:type="dxa"/>
            <w:vAlign w:val="bottom"/>
          </w:tcPr>
          <w:p>
            <w:pPr>
              <w:jc w:val="center"/>
              <w:ind w:left="15"/>
              <w:spacing w:after="0" w:line="243" w:lineRule="exact"/>
              <w:rPr>
                <w:sz w:val="20"/>
                <w:szCs w:val="20"/>
                <w:color w:val="auto"/>
              </w:rPr>
            </w:pPr>
            <w:r>
              <w:rPr>
                <w:rFonts w:ascii="Arial" w:cs="Arial" w:eastAsia="Arial" w:hAnsi="Arial"/>
                <w:sz w:val="22"/>
                <w:szCs w:val="22"/>
                <w:color w:val="auto"/>
                <w:w w:val="92"/>
              </w:rPr>
              <w:t>(I.R.S. Employer Identification No.)</w:t>
            </w:r>
          </w:p>
        </w:tc>
      </w:tr>
      <w:tr>
        <w:trPr>
          <w:trHeight w:val="275"/>
        </w:trPr>
        <w:tc>
          <w:tcPr>
            <w:tcW w:w="3620" w:type="dxa"/>
            <w:vAlign w:val="bottom"/>
          </w:tcPr>
          <w:p>
            <w:pPr>
              <w:jc w:val="center"/>
              <w:spacing w:after="0"/>
              <w:rPr>
                <w:sz w:val="20"/>
                <w:szCs w:val="20"/>
                <w:color w:val="auto"/>
              </w:rPr>
            </w:pPr>
            <w:r>
              <w:rPr>
                <w:rFonts w:ascii="Arial" w:cs="Arial" w:eastAsia="Arial" w:hAnsi="Arial"/>
                <w:sz w:val="22"/>
                <w:szCs w:val="22"/>
                <w:color w:val="auto"/>
                <w:w w:val="92"/>
              </w:rPr>
              <w:t>incorporation)</w:t>
            </w:r>
          </w:p>
        </w:tc>
        <w:tc>
          <w:tcPr>
            <w:tcW w:w="420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419"/>
        </w:trPr>
        <w:tc>
          <w:tcPr>
            <w:tcW w:w="3620" w:type="dxa"/>
            <w:vAlign w:val="bottom"/>
          </w:tcPr>
          <w:p>
            <w:pPr>
              <w:spacing w:after="0"/>
              <w:rPr>
                <w:sz w:val="24"/>
                <w:szCs w:val="24"/>
                <w:color w:val="auto"/>
              </w:rPr>
            </w:pPr>
          </w:p>
        </w:tc>
        <w:tc>
          <w:tcPr>
            <w:tcW w:w="4200" w:type="dxa"/>
            <w:vAlign w:val="bottom"/>
          </w:tcPr>
          <w:p>
            <w:pPr>
              <w:jc w:val="center"/>
              <w:spacing w:after="0"/>
              <w:rPr>
                <w:sz w:val="20"/>
                <w:szCs w:val="20"/>
                <w:color w:val="auto"/>
              </w:rPr>
            </w:pPr>
            <w:r>
              <w:rPr>
                <w:rFonts w:ascii="Arial" w:cs="Arial" w:eastAsia="Arial" w:hAnsi="Arial"/>
                <w:sz w:val="20"/>
                <w:szCs w:val="20"/>
                <w:b w:val="1"/>
                <w:bCs w:val="1"/>
                <w:color w:val="auto"/>
                <w:w w:val="99"/>
              </w:rPr>
              <w:t>WYNN LAS VEGAS, LLC</w:t>
            </w:r>
          </w:p>
        </w:tc>
        <w:tc>
          <w:tcPr>
            <w:tcW w:w="3260" w:type="dxa"/>
            <w:vAlign w:val="bottom"/>
          </w:tcPr>
          <w:p>
            <w:pPr>
              <w:spacing w:after="0"/>
              <w:rPr>
                <w:sz w:val="24"/>
                <w:szCs w:val="24"/>
                <w:color w:val="auto"/>
              </w:rPr>
            </w:pPr>
          </w:p>
        </w:tc>
      </w:tr>
      <w:tr>
        <w:trPr>
          <w:trHeight w:val="250"/>
        </w:trPr>
        <w:tc>
          <w:tcPr>
            <w:tcW w:w="3620" w:type="dxa"/>
            <w:vAlign w:val="bottom"/>
          </w:tcPr>
          <w:p>
            <w:pPr>
              <w:spacing w:after="0"/>
              <w:rPr>
                <w:sz w:val="21"/>
                <w:szCs w:val="21"/>
                <w:color w:val="auto"/>
              </w:rPr>
            </w:pPr>
          </w:p>
        </w:tc>
        <w:tc>
          <w:tcPr>
            <w:tcW w:w="4200" w:type="dxa"/>
            <w:vAlign w:val="bottom"/>
          </w:tcPr>
          <w:p>
            <w:pPr>
              <w:jc w:val="center"/>
              <w:spacing w:after="0"/>
              <w:rPr>
                <w:sz w:val="20"/>
                <w:szCs w:val="20"/>
                <w:color w:val="auto"/>
              </w:rPr>
            </w:pPr>
            <w:r>
              <w:rPr>
                <w:rFonts w:ascii="Arial" w:cs="Arial" w:eastAsia="Arial" w:hAnsi="Arial"/>
                <w:sz w:val="20"/>
                <w:szCs w:val="20"/>
                <w:color w:val="auto"/>
                <w:w w:val="89"/>
              </w:rPr>
              <w:t>(Exact name of registrant as specified in its charter)</w:t>
            </w:r>
          </w:p>
        </w:tc>
        <w:tc>
          <w:tcPr>
            <w:tcW w:w="3260" w:type="dxa"/>
            <w:vAlign w:val="bottom"/>
          </w:tcPr>
          <w:p>
            <w:pPr>
              <w:spacing w:after="0"/>
              <w:rPr>
                <w:sz w:val="21"/>
                <w:szCs w:val="21"/>
                <w:color w:val="auto"/>
              </w:rPr>
            </w:pPr>
          </w:p>
        </w:tc>
      </w:tr>
      <w:tr>
        <w:trPr>
          <w:trHeight w:val="425"/>
        </w:trPr>
        <w:tc>
          <w:tcPr>
            <w:tcW w:w="362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200" w:type="dxa"/>
            <w:vAlign w:val="bottom"/>
          </w:tcPr>
          <w:p>
            <w:pPr>
              <w:jc w:val="right"/>
              <w:ind w:right="1558"/>
              <w:spacing w:after="0"/>
              <w:rPr>
                <w:sz w:val="20"/>
                <w:szCs w:val="20"/>
                <w:color w:val="auto"/>
              </w:rPr>
            </w:pPr>
            <w:r>
              <w:rPr>
                <w:rFonts w:ascii="Arial" w:cs="Arial" w:eastAsia="Arial" w:hAnsi="Arial"/>
                <w:sz w:val="20"/>
                <w:szCs w:val="20"/>
                <w:b w:val="1"/>
                <w:bCs w:val="1"/>
                <w:color w:val="auto"/>
              </w:rPr>
              <w:t>333-100768</w:t>
            </w:r>
          </w:p>
        </w:tc>
        <w:tc>
          <w:tcPr>
            <w:tcW w:w="3260" w:type="dxa"/>
            <w:vAlign w:val="bottom"/>
          </w:tcPr>
          <w:p>
            <w:pPr>
              <w:jc w:val="center"/>
              <w:spacing w:after="0"/>
              <w:rPr>
                <w:sz w:val="20"/>
                <w:szCs w:val="20"/>
                <w:color w:val="auto"/>
              </w:rPr>
            </w:pPr>
            <w:r>
              <w:rPr>
                <w:rFonts w:ascii="Arial" w:cs="Arial" w:eastAsia="Arial" w:hAnsi="Arial"/>
                <w:sz w:val="20"/>
                <w:szCs w:val="20"/>
                <w:b w:val="1"/>
                <w:bCs w:val="1"/>
                <w:color w:val="auto"/>
                <w:w w:val="89"/>
              </w:rPr>
              <w:t>88-0494875</w:t>
            </w:r>
          </w:p>
        </w:tc>
      </w:tr>
      <w:tr>
        <w:trPr>
          <w:trHeight w:val="250"/>
        </w:trPr>
        <w:tc>
          <w:tcPr>
            <w:tcW w:w="3620" w:type="dxa"/>
            <w:vAlign w:val="bottom"/>
          </w:tcPr>
          <w:p>
            <w:pPr>
              <w:jc w:val="center"/>
              <w:spacing w:after="0"/>
              <w:rPr>
                <w:sz w:val="20"/>
                <w:szCs w:val="20"/>
                <w:color w:val="auto"/>
              </w:rPr>
            </w:pPr>
            <w:r>
              <w:rPr>
                <w:rFonts w:ascii="Arial" w:cs="Arial" w:eastAsia="Arial" w:hAnsi="Arial"/>
                <w:sz w:val="20"/>
                <w:szCs w:val="20"/>
                <w:color w:val="auto"/>
                <w:w w:val="92"/>
              </w:rPr>
              <w:t>(State or other jurisdiction of incorporation)</w:t>
            </w:r>
          </w:p>
        </w:tc>
        <w:tc>
          <w:tcPr>
            <w:tcW w:w="4200" w:type="dxa"/>
            <w:vAlign w:val="bottom"/>
          </w:tcPr>
          <w:p>
            <w:pPr>
              <w:jc w:val="center"/>
              <w:spacing w:after="0"/>
              <w:rPr>
                <w:sz w:val="20"/>
                <w:szCs w:val="20"/>
                <w:color w:val="auto"/>
              </w:rPr>
            </w:pPr>
            <w:r>
              <w:rPr>
                <w:rFonts w:ascii="Arial" w:cs="Arial" w:eastAsia="Arial" w:hAnsi="Arial"/>
                <w:sz w:val="20"/>
                <w:szCs w:val="20"/>
                <w:color w:val="auto"/>
                <w:w w:val="92"/>
              </w:rPr>
              <w:t>(Commission File Number)</w:t>
            </w:r>
          </w:p>
        </w:tc>
        <w:tc>
          <w:tcPr>
            <w:tcW w:w="3260" w:type="dxa"/>
            <w:vAlign w:val="bottom"/>
          </w:tcPr>
          <w:p>
            <w:pPr>
              <w:jc w:val="center"/>
              <w:spacing w:after="0"/>
              <w:rPr>
                <w:sz w:val="20"/>
                <w:szCs w:val="20"/>
                <w:color w:val="auto"/>
              </w:rPr>
            </w:pPr>
            <w:r>
              <w:rPr>
                <w:rFonts w:ascii="Arial" w:cs="Arial" w:eastAsia="Arial" w:hAnsi="Arial"/>
                <w:sz w:val="20"/>
                <w:szCs w:val="20"/>
                <w:color w:val="auto"/>
                <w:w w:val="93"/>
              </w:rPr>
              <w:t>(I.R.S. Employer Identification No.)</w:t>
            </w:r>
          </w:p>
        </w:tc>
      </w:tr>
      <w:tr>
        <w:trPr>
          <w:trHeight w:val="644"/>
        </w:trPr>
        <w:tc>
          <w:tcPr>
            <w:tcW w:w="3620" w:type="dxa"/>
            <w:vAlign w:val="bottom"/>
          </w:tcPr>
          <w:p>
            <w:pPr>
              <w:jc w:val="center"/>
              <w:ind w:left="334"/>
              <w:spacing w:after="0"/>
              <w:rPr>
                <w:sz w:val="20"/>
                <w:szCs w:val="20"/>
                <w:color w:val="auto"/>
              </w:rPr>
            </w:pPr>
            <w:r>
              <w:rPr>
                <w:rFonts w:ascii="Arial" w:cs="Arial" w:eastAsia="Arial" w:hAnsi="Arial"/>
                <w:sz w:val="22"/>
                <w:szCs w:val="22"/>
                <w:b w:val="1"/>
                <w:bCs w:val="1"/>
                <w:color w:val="auto"/>
                <w:w w:val="87"/>
              </w:rPr>
              <w:t>3131 Las Vegas Boulevard South</w:t>
            </w:r>
          </w:p>
        </w:tc>
        <w:tc>
          <w:tcPr>
            <w:tcW w:w="42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49"/>
        </w:trPr>
        <w:tc>
          <w:tcPr>
            <w:tcW w:w="3620" w:type="dxa"/>
            <w:vAlign w:val="bottom"/>
          </w:tcPr>
          <w:p>
            <w:pPr>
              <w:ind w:left="1400"/>
              <w:spacing w:after="0" w:line="249" w:lineRule="exact"/>
              <w:rPr>
                <w:sz w:val="20"/>
                <w:szCs w:val="20"/>
                <w:color w:val="auto"/>
              </w:rPr>
            </w:pPr>
            <w:r>
              <w:rPr>
                <w:rFonts w:ascii="Arial" w:cs="Arial" w:eastAsia="Arial" w:hAnsi="Arial"/>
                <w:sz w:val="22"/>
                <w:szCs w:val="22"/>
                <w:b w:val="1"/>
                <w:bCs w:val="1"/>
                <w:color w:val="auto"/>
              </w:rPr>
              <w:t>Las Vegas, Nevada</w:t>
            </w:r>
          </w:p>
        </w:tc>
        <w:tc>
          <w:tcPr>
            <w:tcW w:w="4200" w:type="dxa"/>
            <w:vAlign w:val="bottom"/>
          </w:tcPr>
          <w:p>
            <w:pPr>
              <w:spacing w:after="0"/>
              <w:rPr>
                <w:sz w:val="21"/>
                <w:szCs w:val="21"/>
                <w:color w:val="auto"/>
              </w:rPr>
            </w:pPr>
          </w:p>
        </w:tc>
        <w:tc>
          <w:tcPr>
            <w:tcW w:w="3260" w:type="dxa"/>
            <w:vAlign w:val="bottom"/>
          </w:tcPr>
          <w:p>
            <w:pPr>
              <w:jc w:val="center"/>
              <w:ind w:left="15"/>
              <w:spacing w:after="0" w:line="249" w:lineRule="exact"/>
              <w:rPr>
                <w:sz w:val="20"/>
                <w:szCs w:val="20"/>
                <w:color w:val="auto"/>
              </w:rPr>
            </w:pPr>
            <w:r>
              <w:rPr>
                <w:rFonts w:ascii="Arial" w:cs="Arial" w:eastAsia="Arial" w:hAnsi="Arial"/>
                <w:sz w:val="22"/>
                <w:szCs w:val="22"/>
                <w:b w:val="1"/>
                <w:bCs w:val="1"/>
                <w:color w:val="auto"/>
                <w:w w:val="88"/>
              </w:rPr>
              <w:t>89109</w:t>
            </w:r>
          </w:p>
        </w:tc>
      </w:tr>
      <w:tr>
        <w:trPr>
          <w:trHeight w:val="243"/>
        </w:trPr>
        <w:tc>
          <w:tcPr>
            <w:tcW w:w="7820" w:type="dxa"/>
            <w:vAlign w:val="bottom"/>
            <w:gridSpan w:val="2"/>
          </w:tcPr>
          <w:p>
            <w:pPr>
              <w:jc w:val="center"/>
              <w:ind w:right="3678"/>
              <w:spacing w:after="0" w:line="243" w:lineRule="exact"/>
              <w:rPr>
                <w:sz w:val="20"/>
                <w:szCs w:val="20"/>
                <w:color w:val="auto"/>
              </w:rPr>
            </w:pPr>
            <w:r>
              <w:rPr>
                <w:rFonts w:ascii="Arial" w:cs="Arial" w:eastAsia="Arial" w:hAnsi="Arial"/>
                <w:sz w:val="22"/>
                <w:szCs w:val="22"/>
                <w:color w:val="auto"/>
                <w:w w:val="90"/>
              </w:rPr>
              <w:t>(Address of principal executive offices of each</w:t>
            </w:r>
          </w:p>
        </w:tc>
        <w:tc>
          <w:tcPr>
            <w:tcW w:w="3260" w:type="dxa"/>
            <w:vAlign w:val="bottom"/>
          </w:tcPr>
          <w:p>
            <w:pPr>
              <w:jc w:val="center"/>
              <w:spacing w:after="0" w:line="243" w:lineRule="exact"/>
              <w:rPr>
                <w:sz w:val="20"/>
                <w:szCs w:val="20"/>
                <w:color w:val="auto"/>
              </w:rPr>
            </w:pPr>
            <w:r>
              <w:rPr>
                <w:rFonts w:ascii="Arial" w:cs="Arial" w:eastAsia="Arial" w:hAnsi="Arial"/>
                <w:sz w:val="22"/>
                <w:szCs w:val="22"/>
                <w:color w:val="auto"/>
                <w:w w:val="92"/>
              </w:rPr>
              <w:t>(Zip Code)</w:t>
            </w:r>
          </w:p>
        </w:tc>
      </w:tr>
      <w:tr>
        <w:trPr>
          <w:trHeight w:val="275"/>
        </w:trPr>
        <w:tc>
          <w:tcPr>
            <w:tcW w:w="3620" w:type="dxa"/>
            <w:vAlign w:val="bottom"/>
          </w:tcPr>
          <w:p>
            <w:pPr>
              <w:jc w:val="center"/>
              <w:ind w:left="334"/>
              <w:spacing w:after="0"/>
              <w:rPr>
                <w:sz w:val="20"/>
                <w:szCs w:val="20"/>
                <w:color w:val="auto"/>
              </w:rPr>
            </w:pPr>
            <w:r>
              <w:rPr>
                <w:rFonts w:ascii="Arial" w:cs="Arial" w:eastAsia="Arial" w:hAnsi="Arial"/>
                <w:sz w:val="22"/>
                <w:szCs w:val="22"/>
                <w:color w:val="auto"/>
                <w:w w:val="90"/>
              </w:rPr>
              <w:t>registrant)</w:t>
            </w:r>
          </w:p>
        </w:tc>
        <w:tc>
          <w:tcPr>
            <w:tcW w:w="4200" w:type="dxa"/>
            <w:vAlign w:val="bottom"/>
          </w:tcPr>
          <w:p>
            <w:pPr>
              <w:spacing w:after="0"/>
              <w:rPr>
                <w:sz w:val="23"/>
                <w:szCs w:val="23"/>
                <w:color w:val="auto"/>
              </w:rPr>
            </w:pPr>
          </w:p>
        </w:tc>
        <w:tc>
          <w:tcPr>
            <w:tcW w:w="3260" w:type="dxa"/>
            <w:vAlign w:val="bottom"/>
          </w:tcPr>
          <w:p>
            <w:pPr>
              <w:spacing w:after="0"/>
              <w:rPr>
                <w:sz w:val="23"/>
                <w:szCs w:val="23"/>
                <w:color w:val="auto"/>
              </w:rPr>
            </w:pP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 pursuant to Rule 425 under the Securities Act (17 CFR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On February 25, 2010, Wynn Resorts, Limited issued a press release announcing its results of operations for the fourth quarter and year ended December 31, 2009.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300" w:hanging="830"/>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spacing w:after="0"/>
        <w:tabs>
          <w:tab w:leader="none" w:pos="280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215"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February 25, 2010, of Wynn Resorts,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February 25, 2010</w:t>
      </w:r>
    </w:p>
    <w:p>
      <w:pPr>
        <w:spacing w:after="0" w:line="233"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2238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Matt Maddox</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Chief Financial Officer and</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February 25, 2010</w:t>
      </w:r>
    </w:p>
    <w:p>
      <w:pPr>
        <w:spacing w:after="0" w:line="233"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WYNN LAS VEGAS, LLC</w:t>
      </w:r>
    </w:p>
    <w:p>
      <w:pPr>
        <w:spacing w:after="0" w:line="206"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By: Wynn Resorts Holdings, LLC, its sole member</w:t>
      </w:r>
    </w:p>
    <w:p>
      <w:pPr>
        <w:spacing w:after="0" w:line="206"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By: Wynn Resorts, Limited, its sole member</w:t>
      </w:r>
    </w:p>
    <w:p>
      <w:pPr>
        <w:spacing w:after="0" w:line="206" w:lineRule="exact"/>
        <w:rPr>
          <w:sz w:val="20"/>
          <w:szCs w:val="20"/>
          <w:color w:val="auto"/>
        </w:rPr>
      </w:pPr>
    </w:p>
    <w:p>
      <w:pPr>
        <w:ind w:left="6520"/>
        <w:spacing w:after="0"/>
        <w:tabs>
          <w:tab w:leader="none" w:pos="704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2238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Matt Maddox</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Chief Financial Officer and</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Limited Reports Fourth Quarter and Year End 2009 Results</w:t>
      </w:r>
    </w:p>
    <w:p>
      <w:pPr>
        <w:spacing w:after="0" w:line="2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LAS VEGAS, February 25, 2010 (BUSINESS WIRE) -- Wynn Resorts, Limited (Nasdaq: WYNN) today reported financial results for the fourth quarter and year ended December 31, 2009.</w:t>
      </w:r>
    </w:p>
    <w:p>
      <w:pPr>
        <w:spacing w:after="0" w:line="22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Net revenues for the fourth quarter of 2009 were $809.3 million, compared to $614.3 million in the fourth quarter of 2008. The revenue increase was driven by a 29.6% increase in revenues at Wynn Macau and a 35.7% revenue increase from our Las Vegas operations as the 2009 fourth quarter included a full quarter contribution from Encore. Adjusted property EBITDA was $196.8 million for the fourth quarter of 2009, compared to $127.5 million in the fourth quarter of 2008.</w:t>
      </w:r>
    </w:p>
    <w:p>
      <w:pPr>
        <w:spacing w:after="0" w:line="22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a US GAAP (Generally Accepted Accounting Principles) basis, net loss attributable to Wynn Resorts for the fourth quarter of 2009 was $5.2 million, or ($0.04) per diluted share, compared to a net loss attributable to Wynn Resorts of $159.6 million, or ($1.49) per diluted share in the fourth quarter of 2008. Adjusted net income attributable to Wynn Resorts in the fourth quarter of 2009 was $10.3 million, or $0.08 per diluted share (adjusted EPS)(2) compared to an adjusted net income attributable to Wynn Resorts of $7.7 million, or $0.07 per diluted share in the fourth quarter of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Fourth Quarter Results</w:t>
      </w:r>
    </w:p>
    <w:p>
      <w:pPr>
        <w:spacing w:after="0" w:line="261"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In the fourth quarter of 2009 net revenues were $508.4 million compared to $392.2 million in the fourth quarter of 2008. Wynn Macau generated adjusted property EBITDA of $142.1 million compared to $95.0 million in the fourth quarter of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are segregated into two distinct reporting categories, the VIP segment and the mass market segment.</w:t>
      </w:r>
    </w:p>
    <w:p>
      <w:pPr>
        <w:spacing w:after="0" w:line="239"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Table games turnover in the VIP segment was $16.9 billion for the period, compared to $11.0 billion for the fourth quarter of 2008. VIP table games win as a percentage of turnover (calculated before discounts and commissions) for the quarter was 2.7%, at the low end of the expected range of 2.7% to 3.0% and below the 2.9% experienced in the 2008 quarter.</w:t>
      </w:r>
    </w:p>
    <w:p>
      <w:pPr>
        <w:spacing w:after="0" w:line="23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Table games drop in the mass market category was $512.2 million during the period, a 5.1% increase from $487.2 million in the fourth quarter of 2008. Mass market table games win percentage (calculated before discounts) of 22.9% was above our expected range of 19% to 21% and higher than the 19.5% experienced in the fourth quarter of 2008.</w:t>
      </w:r>
    </w:p>
    <w:p>
      <w:pPr>
        <w:spacing w:after="0" w:line="200" w:lineRule="exact"/>
        <w:rPr>
          <w:sz w:val="20"/>
          <w:szCs w:val="20"/>
          <w:color w:val="auto"/>
        </w:rPr>
      </w:pPr>
    </w:p>
    <w:p>
      <w:pPr>
        <w:spacing w:after="0" w:line="27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Slot machine handle increased 9.4% to $843.5 million while win decreased 2.7% compared to the fourth quarter of 2008 due to a decrease in hold percentage from 5.2% last year to 4.6% in 2009. Win per unit per day was 1.5% higher at $353 compared to $348 in the fourth quarter 2008 as we reconfigured the slot floor and removed approximately 50 machines.</w:t>
      </w:r>
    </w:p>
    <w:p>
      <w:pPr>
        <w:spacing w:after="0" w:line="23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Wynn Macau achieved an Average Daily Rate (ADR) of $271 for the fourth quarter of 2009, compared to $273 in the 2008 quarter. The property’s occupancy was 90.6%, compared to 86.8% during the prior year period, generating revenue per available room (REVPAR) of $246 in the 2009 period, 3.6% above 2008 levels of $237.</w:t>
      </w:r>
    </w:p>
    <w:p>
      <w:pPr>
        <w:spacing w:after="0" w:line="23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On September 30, 2009, we added a new high-limit gaming salon containing approximately 40 slot machines. In November 2009 we added two new private gaming salons with 29 VIP tables. We currently have 404 tables (including 11 poker tables) and 1,199 slot machines.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Year 2009 Operating Results</w:t>
      </w:r>
    </w:p>
    <w:p>
      <w:pPr>
        <w:spacing w:after="0" w:line="26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For the full year 2009, net revenues were $1.8 billion, 3.8% below 2008. Wynn Macau generated adjusted property EBITDA of $502.1 million, a 3.3% increase over the previous year primarily due to the cost savings initiatives implemented throughout the year.</w:t>
      </w:r>
    </w:p>
    <w:p>
      <w:pPr>
        <w:spacing w:after="0" w:line="224"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Table games turnover in the VIP segment of $54.3 billion was 2.0% lower than in 2008 and VIP table games win as a percentage of turnover (calculated before discounts and commissions) was 2.9%, within the expected range of 2.7% to 3.0%, but lower than the 3.0% generated in 2008.</w:t>
      </w:r>
    </w:p>
    <w:p>
      <w:pPr>
        <w:spacing w:after="0" w:line="23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Table games drop in the mass market category decreased 12.2% to $2.0 billion, and mass market table games win percentage (calculated before discounts) of 21.9% was above the expected range of 19% to 21% and higher than the 19.6% generated in 2008.</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 w:name="page6"/>
    <w:bookmarkEnd w:id="5"/>
    <w:p>
      <w:pPr>
        <w:ind w:right="80"/>
        <w:spacing w:after="0" w:line="246" w:lineRule="auto"/>
        <w:rPr>
          <w:sz w:val="20"/>
          <w:szCs w:val="20"/>
          <w:color w:val="auto"/>
        </w:rPr>
      </w:pPr>
      <w:r>
        <w:rPr>
          <w:rFonts w:ascii="Arial" w:cs="Arial" w:eastAsia="Arial" w:hAnsi="Arial"/>
          <w:sz w:val="18"/>
          <w:szCs w:val="18"/>
          <w:color w:val="auto"/>
        </w:rPr>
        <w:t>Slot machine handle of $3.4 billion was 12.7% higher than the $ 3.0 billion generated in 2008 primarily due to the increase in handle associated with high-end slot customers. Slot machine win per unit per day was $386.</w:t>
      </w:r>
    </w:p>
    <w:p>
      <w:pPr>
        <w:spacing w:after="0" w:line="22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Wynn Macau achieved an Average Daily Rate (ADR) of $266 for the year, compared to $275 in 2008. The property’s occupancy was 87.5%, compared to 87.3% during the prior year period, generating revenue per available room (REVPAR) of $233 in the 2009 period, 2.9% below 2008 levels.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Macau</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completing construction of Encore at Wynn Macau, a further expansion of Wynn Macau. Encore at Wynn Macau will add a fully-integrated resort hotel to Wynn Macau, planned to include approximately 410 luxury suites and four villas along with restaurants, additional retail space and additional gaming space including 37 VIP table games, 33 premium slot machines, 24 mass market table games and 39 mass market slot machines. We expect Encore at Wynn Macau to open in April 2010 and the total costs to be approximately $600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we have spent approximately $454.9 million related to the development and construction of Encore at Wynn Macau.</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and Encore Fourth Quarter Results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quarter ended December 31, 2009, our Las Vegas operations generated adjusted property EBITDA of $54.7 million (with an 18.2% EBITDA margin on net revenue), up significantly when compared to the $32.6 million generated in the fourth quarter of 2008 as the 2009 fourth quarter included Encore for the full period.</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casino revenues in the fourth quarter of 2009 were $ 120.0 million, up 32.2% from the fourth quarter of 2008. Table games drop was $548.5 million compared to drop of $498.3 million in the fourth quarter of 2008 and table games win percentage of 18.7% was below the property’s expected range of 21% to 24%. Slot machine handle of $741.6 million was 10.6% below the comparable period of 2008 primarily due to weakness in the domestic business and slot win percentage was within the expected range of 4.5% to 5.5%.</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Gross non-casino revenues for the quarter were $225.0 million, a 30.9% increase from the fourth quarter of 2008, driven primarily by incremental hotel and food and beverage revenues from Encore. Hotel revenues were up 28.5% to $ 77.7 million during the quarter, versus $60.5 million in the fourth quarter of 2008 due to the addition of 2,034 suites at Encore. Our Las Vegas operations achieved an Average Daily Rate (ADR) of $219 for the quarter, compared to $281 in the 2008 quarter. Our occupancy was 81.0%, compared to 79.7% during the prior year period, generating revenue per available room (REVPAR) of $178 in the 2009 period (20.6% below the fourth quarter of 2008 of $224).</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Food and beverage revenues increased 32.3% to $92.1 million in the quarter as a result of the additional 12 food and beverage outlets located in Encore. Retail revenues were $23.2 million in the quarter, 25.6% above last year’s levels and entertainment revenues increased 27.7% to $15.5 million from the fourth quarter of 2008 primarily due to the increase in the number of Le Rêve shows and the Garth Brooks performances during the quarter.</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fourth quarter, we started construction of the Encore Beach Club, which will replace Encore’s porte-cochere on Las Vegas Boulevard. The Beach Club will feature pools, food and beverage, and nightlife offerings and is expected to open in the second quarter of 2010.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and Encore Full Year 2009 Operating Results</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full year 2009, our Las Vegas properties generated adjusted property EBITDA of $244.1 million and Net Revenues increased 11.8% due to the full year contribution from Encore. The top line increase was offset by additional costs associated with operating Encore and as a result, EBITDA declined 3.5%. Our results of operations for the periods presented are not comparable as the year ended December 31, 2009 includes a full year of operations for Encore, whereas in 2008, Encore was open for only 10 days.</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Net casino revenues for the year were $505.8 million, a 5.4% increase from 2008 despite the addition of approximately 90 table games and 800 slot machines with the opening of Encore. For the year ended December 31, 2009, we experienced a 1.2% increase in drop and our average table games win percentage (before discounts) of 20.2% was below the expected range of 21% to 24% and in-line with the 20.0% hold percentage we experienced in 2008. Slot handle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6" w:name="page7"/>
    <w:bookmarkEnd w:id="6"/>
    <w:p>
      <w:pPr>
        <w:ind w:right="120"/>
        <w:spacing w:after="0" w:line="246" w:lineRule="auto"/>
        <w:rPr>
          <w:sz w:val="20"/>
          <w:szCs w:val="20"/>
          <w:color w:val="auto"/>
        </w:rPr>
      </w:pPr>
      <w:r>
        <w:rPr>
          <w:rFonts w:ascii="Arial" w:cs="Arial" w:eastAsia="Arial" w:hAnsi="Arial"/>
          <w:sz w:val="18"/>
          <w:szCs w:val="18"/>
          <w:color w:val="auto"/>
        </w:rPr>
        <w:t>decreased 2.5% during the year ended December 31, 2009, as compared to 2008, and the slot win percentage was within the expected range of 4.5% to 5.5%.</w:t>
      </w:r>
    </w:p>
    <w:p>
      <w:pPr>
        <w:spacing w:after="0" w:line="22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Gross non-casino revenues for 2009 were $910.3 million, a 17.3% increase from 2008. Hotel revenues were up 19.6% to $321.2 million, versus $268.5 million in 2008 as a result of the addition of 2,034 suites at Encore which opened in December 2008. We continued to experience a decrease in occupancy and room rates during the year ended December 31, 2009, compared to the year ended December 31, 2008. Average Daily Rate (ADR) was $217 for the year, compared to $288 in 2008 and occupancy was 85.2% compared to 91.8% during the prior year, generating revenue per available room (REVPAR) of $185 in 2009 (30.1% lower than in 2008).</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Food and beverage revenues increased 26.2% to $385.8 million in 2009, compared to $ 305.7 million in 2008 as a result of the additional 12 food and beverage outlets located in the Encore expansion. Although we added new retail outlets at Encore, retail revenues were $85.8 million, compared to $ 86.1 million in 2008 due to reduced consumer spending associated with the current economic environment. Entertainment revenues were approximately $57.1 million, compared to $66.2 million in 2008 due to the closure of the Spamalot production show in July 2008. This decrease was partially offset by revenue from headliner acts that performed during 2009, including Garth Brooks, who began performing in the Encore Theater in December 2009.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6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Interest expense, net of $3.5 million in capitalized interest, was $50.5 million for the fourth quarter of 2009. For the full year 2009, interest expense, net of capitalized interest of $10.7 million, was $ 211.4 million compared to $172.7 million, net of capitalized interest of $87.4 million, for the year ended December 31, 2008. Depreciation and amortization expenses were $104.4 million during the quarter compared to $70.9 million in the 2008 quarter. For the full year, depreciation and amortization expenses were $410.5 million compared to $263.2 million in 2008 as we opened Encore on December 22, 2008.</w:t>
      </w:r>
    </w:p>
    <w:p>
      <w:pPr>
        <w:spacing w:after="0" w:line="23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Corporate expense and other was $22.3 million in the fourth quarter 2009, a $19.3 million increase from last year’s quarter, primarily related to a reversal of bonus accruals in the 2008 quarter and one time payments in the 2009 quarter. Corporate expense and other was $45.9 million for the full year 2009 compared to $36.7 million in 2008.</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Property charges and other were $17.2 million in the fourth quarter, the majority of it related to a charge for the abandonment of the front porte-cochere at Encore to make way for the Beach Club. Property charges and other for the year ended 2009 included the charge mentioned above as well as a charge for the write-off of 2 aircraft deposits, and miscellaneous remodels, abandonments and loss on sale of equipment.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61"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Our total cash balances on December 31, 2009 were $2.0 billion. Total debt outstanding at the end of 2009, was $3.6 billion, including approximately $2.5 billion of Wynn Las Vegas debt and $1.1 billion of Wynn Macau debt.</w:t>
      </w:r>
    </w:p>
    <w:p>
      <w:pPr>
        <w:spacing w:after="0" w:line="224"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Capital expenditures during the fourth quarter of 2009, net of changes in construction payables and retention, totaled approximately $100 million primarily related to Encore at Wynn Macau.</w:t>
      </w:r>
    </w:p>
    <w:p>
      <w:pPr>
        <w:spacing w:after="0" w:line="22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October 2009, Wynn Macau, Limited, had its ordinary shares of common stock listed on The Stock Exchange of Hong Kong Limited and sold 1,437,500,000 (27.7%) shares of its common stock through an initial public offering. Net proceeds to the Company as a result of this transaction were approximately $1.8 billion.</w:t>
      </w:r>
    </w:p>
    <w:p>
      <w:pPr>
        <w:spacing w:after="0" w:line="23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October 2009, Wynn Las Vegas issued $500 million aggregate principal amount of 7 7/8% First Mortgage Notes due November 1, 2017 at a price of 97.823% of the principal amount. We used the proceeds of this offering to repay amounts outstanding under the Wynn Las Vegas Revolver and Wynn Las Vegas Term Loan.</w:t>
      </w:r>
    </w:p>
    <w:p>
      <w:pPr>
        <w:spacing w:after="0" w:line="23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On November 6, 2009, we declared a cash dividend of $4 per share on our outstanding common stock to shareholders of record on November 19, 2009.</w:t>
      </w:r>
    </w:p>
    <w:p>
      <w:pPr>
        <w:spacing w:after="0" w:line="22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During the fourth quarter we reduced long-term borrowings by approximately $622 million, $144 million associated with our Wynn Las Vegas facilities and $478 million in Macau.</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will hold a conference call to discuss its results on Thursday, February 25, 2010 at 1:30 p.m. PT (4:30 p.m. ET). Interested parties are invited to join the call by accessing a live audio webcast at http://www.wynnresorts.com (Investor Relations).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2008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jc w:val="both"/>
        <w:ind w:firstLine="8"/>
        <w:spacing w:after="0" w:line="235" w:lineRule="auto"/>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4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to adjusted net income attributable to Wynn Resorts, and (ii) operating income (loss) to adjusted property EBITDA and adjusted property EBITDA to net income attributable to Wynn Resorts.</w:t>
      </w:r>
    </w:p>
    <w:p>
      <w:pPr>
        <w:spacing w:after="0" w:line="230" w:lineRule="exact"/>
        <w:rPr>
          <w:sz w:val="20"/>
          <w:szCs w:val="20"/>
          <w:color w:val="auto"/>
        </w:rPr>
      </w:pPr>
    </w:p>
    <w:p>
      <w:pPr>
        <w:jc w:val="both"/>
        <w:ind w:firstLine="8"/>
        <w:spacing w:after="0" w:line="237" w:lineRule="auto"/>
        <w:tabs>
          <w:tab w:leader="none" w:pos="297"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attributable to Wynn Resorts is net income before pre-opening costs, property charges and other non-cash non-operating income and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CONSOLIDATED STATEMENTS OF INCOME</w:t>
      </w:r>
    </w:p>
    <w:p>
      <w:pPr>
        <w:jc w:val="center"/>
        <w:ind w:right="100"/>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9"/>
                <w:szCs w:val="19"/>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Casino</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591,758</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455,948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2,206,829</w:t>
            </w: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2,261,932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Rooms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92,748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74,979</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377,520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326,655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Food and beverage</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106,068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83,088</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436,361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358,715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Entertainment, retail and other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84,328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59,647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288,432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rPr>
              <w:t>Gross revenues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874,902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673,662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3,309,142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3,217,367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Less: promotional allowances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(65,573)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(59,387)</w:t>
            </w: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(263,531)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(230,043)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rPr>
              <w:t>Net revenues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809,329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614,275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3,045,611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2,987,324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Casino</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399,938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325,280</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1,462,346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1,490,927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28,891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18,178</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109,184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Food and beverage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62,985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47,878</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251,192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207,281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46,954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34,552</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166,612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101,242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69,697</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366,785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319,303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13,707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Pre-opening costs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46,320</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1,817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104,441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70,885</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410,547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263,213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Property charges and other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17,186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1,396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28,458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ind w:left="460"/>
              <w:spacing w:after="0" w:line="196" w:lineRule="exact"/>
              <w:rPr>
                <w:sz w:val="20"/>
                <w:szCs w:val="20"/>
                <w:color w:val="auto"/>
              </w:rPr>
            </w:pPr>
            <w:r>
              <w:rPr>
                <w:rFonts w:ascii="Arial" w:cs="Arial" w:eastAsia="Arial" w:hAnsi="Arial"/>
                <w:sz w:val="18"/>
                <w:szCs w:val="18"/>
                <w:color w:val="auto"/>
              </w:rPr>
              <w:t>Total operating costs and expenses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763,812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614,579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2,810,648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2,675,188</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234,963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1,402</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1,740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(50,524)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(46,180)</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(211,385)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(172,693)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Decrease in swap fair value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(36,604)</w:t>
            </w: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(2,258)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(loss) on extinguishment of debt</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22,347</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18,734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Equity in income (loss) from unconsolidated affiliates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(1,563)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Pr>
          <w:p>
            <w:pPr>
              <w:ind w:left="460"/>
              <w:spacing w:after="0" w:line="196" w:lineRule="exact"/>
              <w:rPr>
                <w:sz w:val="20"/>
                <w:szCs w:val="20"/>
                <w:color w:val="auto"/>
              </w:rPr>
            </w:pPr>
            <w:r>
              <w:rPr>
                <w:rFonts w:ascii="Arial" w:cs="Arial" w:eastAsia="Arial" w:hAnsi="Arial"/>
                <w:sz w:val="18"/>
                <w:szCs w:val="18"/>
                <w:color w:val="auto"/>
              </w:rPr>
              <w:t>Other income (expense), net</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(54,898)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(60,646)</w:t>
            </w: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(192,857)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(163,218)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(9,381)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(60,950)</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42,106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20"/>
              <w:spacing w:after="0" w:line="202" w:lineRule="exact"/>
              <w:rPr>
                <w:sz w:val="20"/>
                <w:szCs w:val="20"/>
                <w:color w:val="auto"/>
              </w:rPr>
            </w:pPr>
            <w:r>
              <w:rPr>
                <w:rFonts w:ascii="Arial" w:cs="Arial" w:eastAsia="Arial" w:hAnsi="Arial"/>
                <w:sz w:val="18"/>
                <w:szCs w:val="18"/>
                <w:color w:val="auto"/>
              </w:rPr>
              <w:t>(Provision) benefit for income taxes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22,613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(98,617)</w:t>
            </w: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61,561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13,232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(159,567)</w:t>
            </w: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39,107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210,479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6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(18,453)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(18,453)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Net income (loss) attributable to Wynn Resorts, Limited</w:t>
            </w: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(5,221)</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(159,567)</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20,654</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210,479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Basic and diluted income (loss) per common share: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Wynn Resorts, Limited:</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420"/>
              <w:spacing w:after="0" w:line="202" w:lineRule="exact"/>
              <w:rPr>
                <w:sz w:val="20"/>
                <w:szCs w:val="20"/>
                <w:color w:val="auto"/>
              </w:rPr>
            </w:pPr>
            <w:r>
              <w:rPr>
                <w:rFonts w:ascii="Arial" w:cs="Arial" w:eastAsia="Arial" w:hAnsi="Arial"/>
                <w:sz w:val="18"/>
                <w:szCs w:val="18"/>
                <w:color w:val="auto"/>
              </w:rPr>
              <w:t>Basic</w:t>
            </w: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(1.49)</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0.17</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Diluted</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122,301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106,900</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119,840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108,408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122,301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106,900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120,185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109,441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RECONCILIATION OF NET INCOME ATTRIBUTABLE TO WYNN RESORTS, LIMITED</w:t>
      </w:r>
    </w:p>
    <w:p>
      <w:pPr>
        <w:jc w:val="center"/>
        <w:ind w:right="100"/>
        <w:spacing w:after="0" w:line="234" w:lineRule="auto"/>
        <w:rPr>
          <w:sz w:val="20"/>
          <w:szCs w:val="20"/>
          <w:color w:val="auto"/>
        </w:rPr>
      </w:pPr>
      <w:r>
        <w:rPr>
          <w:rFonts w:ascii="Arial" w:cs="Arial" w:eastAsia="Arial" w:hAnsi="Arial"/>
          <w:sz w:val="18"/>
          <w:szCs w:val="18"/>
          <w:color w:val="auto"/>
        </w:rPr>
        <w:t>TO ADJUSTED NET INCOME ATTRIBUTABLE TO WYNN RESORTS, LIMITED</w:t>
      </w:r>
    </w:p>
    <w:p>
      <w:pPr>
        <w:jc w:val="center"/>
        <w:ind w:right="100"/>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Wynn Resorts, Limited</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(5,221)</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(159,567)</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20,654</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210,479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46,320</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(Gain) loss on extinguishment of debt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(22,347)</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(18,734)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(22,347)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Decrease in swap fair value</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36,604</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Property charges and other</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17,186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1,396</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28,458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Adjustment for taxes on above</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(7,486)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(17,746)</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(32,315)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Recognition of foreign tax credit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123,029</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(17,626)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Adjustment for noncontrolling interest</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net income attributable to Wynn Resorts, Limited(2</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10,340</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7,689</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31,704</w:t>
            </w: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274,635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rPr>
              <w:t>Adjusted net income attributable to Wynn Resorts, Limited per diluted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line="203" w:lineRule="exact"/>
              <w:rPr>
                <w:sz w:val="20"/>
                <w:szCs w:val="20"/>
                <w:color w:val="auto"/>
              </w:rPr>
            </w:pPr>
            <w:r>
              <w:rPr>
                <w:rFonts w:ascii="Arial" w:cs="Arial" w:eastAsia="Arial" w:hAnsi="Arial"/>
                <w:sz w:val="18"/>
                <w:szCs w:val="18"/>
                <w:color w:val="auto"/>
              </w:rPr>
              <w:t>share</w:t>
            </w: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0.08</w:t>
            </w:r>
          </w:p>
        </w:tc>
        <w:tc>
          <w:tcPr>
            <w:tcW w:w="140" w:type="dxa"/>
            <w:vAlign w:val="bottom"/>
          </w:tcPr>
          <w:p>
            <w:pPr>
              <w:spacing w:after="0"/>
              <w:rPr>
                <w:sz w:val="17"/>
                <w:szCs w:val="17"/>
                <w:color w:val="auto"/>
              </w:rPr>
            </w:pPr>
          </w:p>
        </w:tc>
        <w:tc>
          <w:tcPr>
            <w:tcW w:w="3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0.26</w:t>
            </w:r>
          </w:p>
        </w:tc>
        <w:tc>
          <w:tcPr>
            <w:tcW w:w="3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ind w:right="100"/>
        <w:spacing w:after="0" w:line="234" w:lineRule="auto"/>
        <w:rPr>
          <w:sz w:val="20"/>
          <w:szCs w:val="20"/>
          <w:color w:val="auto"/>
        </w:rPr>
      </w:pPr>
      <w:r>
        <w:rPr>
          <w:rFonts w:ascii="Arial" w:cs="Arial" w:eastAsia="Arial" w:hAnsi="Arial"/>
          <w:sz w:val="18"/>
          <w:szCs w:val="18"/>
          <w:color w:val="auto"/>
        </w:rPr>
        <w:t>AND ADJUSTED PROPERTY EBITDA TO NET INCOME ATTRIBUTABLE TO WYNN RESORTS, LIMITED</w:t>
      </w:r>
    </w:p>
    <w:p>
      <w:pPr>
        <w:jc w:val="center"/>
        <w:ind w:right="100"/>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Three Months Ended December 31, 2009</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300"/>
              <w:spacing w:after="0" w:line="173" w:lineRule="exact"/>
              <w:rPr>
                <w:sz w:val="20"/>
                <w:szCs w:val="20"/>
                <w:color w:val="auto"/>
              </w:rPr>
            </w:pPr>
            <w:r>
              <w:rPr>
                <w:rFonts w:ascii="Arial" w:cs="Arial" w:eastAsia="Arial" w:hAnsi="Arial"/>
                <w:sz w:val="18"/>
                <w:szCs w:val="18"/>
                <w:b w:val="1"/>
                <w:bCs w:val="1"/>
                <w:color w:val="auto"/>
              </w:rPr>
              <w:t>Wynn Las</w:t>
            </w:r>
          </w:p>
        </w:tc>
        <w:tc>
          <w:tcPr>
            <w:tcW w:w="1440" w:type="dxa"/>
            <w:vAlign w:val="bottom"/>
            <w:gridSpan w:val="4"/>
          </w:tcPr>
          <w:p>
            <w:pPr>
              <w:ind w:left="100"/>
              <w:spacing w:after="0" w:line="173" w:lineRule="exact"/>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15"/>
                <w:szCs w:val="15"/>
                <w:color w:val="auto"/>
              </w:rPr>
            </w:pPr>
          </w:p>
        </w:tc>
        <w:tc>
          <w:tcPr>
            <w:tcW w:w="1160" w:type="dxa"/>
            <w:vAlign w:val="bottom"/>
            <w:gridSpan w:val="2"/>
          </w:tcPr>
          <w:p>
            <w:pPr>
              <w:jc w:val="right"/>
              <w:ind w:right="280"/>
              <w:spacing w:after="0" w:line="173"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Vegas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Ltd.</w:t>
            </w: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(56,664)</w:t>
            </w:r>
          </w:p>
        </w:tc>
        <w:tc>
          <w:tcPr>
            <w:tcW w:w="3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89,403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12,778</w:t>
            </w:r>
          </w:p>
        </w:tc>
        <w:tc>
          <w:tcPr>
            <w:tcW w:w="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80,079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23,611</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Management and royalty fees</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4,563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20,279</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(24,842)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Corporate and other expenses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6,265</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7,993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1,268</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3,073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income/(loss) from</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600"/>
              <w:spacing w:after="0" w:line="202" w:lineRule="exact"/>
              <w:rPr>
                <w:sz w:val="20"/>
                <w:szCs w:val="20"/>
                <w:color w:val="auto"/>
              </w:rPr>
            </w:pPr>
            <w:r>
              <w:rPr>
                <w:rFonts w:ascii="Arial" w:cs="Arial" w:eastAsia="Arial" w:hAnsi="Arial"/>
                <w:sz w:val="18"/>
                <w:szCs w:val="18"/>
                <w:color w:val="auto"/>
              </w:rPr>
              <w:t>unconsolidated affiliates</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54,665</w:t>
            </w:r>
          </w:p>
        </w:tc>
        <w:tc>
          <w:tcPr>
            <w:tcW w:w="140" w:type="dxa"/>
            <w:vAlign w:val="bottom"/>
          </w:tcPr>
          <w:p>
            <w:pPr>
              <w:spacing w:after="0"/>
              <w:rPr>
                <w:sz w:val="17"/>
                <w:szCs w:val="17"/>
                <w:color w:val="auto"/>
              </w:rPr>
            </w:pPr>
          </w:p>
        </w:tc>
        <w:tc>
          <w:tcPr>
            <w:tcW w:w="3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142,097</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196,762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Three Months Ended December 31, 2008</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300"/>
              <w:spacing w:after="0" w:line="173" w:lineRule="exact"/>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80"/>
              <w:spacing w:after="0" w:line="173"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Vegas</w:t>
            </w:r>
          </w:p>
        </w:tc>
        <w:tc>
          <w:tcPr>
            <w:tcW w:w="10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(69,754)</w:t>
            </w:r>
          </w:p>
        </w:tc>
        <w:tc>
          <w:tcPr>
            <w:tcW w:w="4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55,592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13,858</w:t>
            </w:r>
          </w:p>
        </w:tc>
        <w:tc>
          <w:tcPr>
            <w:tcW w:w="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47,097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23,031</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Management and royalty fees</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15,143</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(18,478)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Corporate and other expenses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1,573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1,598</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2,251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income/(loss) from</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600"/>
              <w:spacing w:after="0" w:line="202" w:lineRule="exact"/>
              <w:rPr>
                <w:sz w:val="20"/>
                <w:szCs w:val="20"/>
                <w:color w:val="auto"/>
              </w:rPr>
            </w:pPr>
            <w:r>
              <w:rPr>
                <w:rFonts w:ascii="Arial" w:cs="Arial" w:eastAsia="Arial" w:hAnsi="Arial"/>
                <w:sz w:val="18"/>
                <w:szCs w:val="18"/>
                <w:color w:val="auto"/>
              </w:rPr>
              <w:t>unconsolidated affiliates</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32,560</w:t>
            </w:r>
          </w:p>
        </w:tc>
        <w:tc>
          <w:tcPr>
            <w:tcW w:w="140" w:type="dxa"/>
            <w:vAlign w:val="bottom"/>
          </w:tcPr>
          <w:p>
            <w:pPr>
              <w:spacing w:after="0"/>
              <w:rPr>
                <w:sz w:val="17"/>
                <w:szCs w:val="17"/>
                <w:color w:val="auto"/>
              </w:rPr>
            </w:pPr>
          </w:p>
        </w:tc>
        <w:tc>
          <w:tcPr>
            <w:tcW w:w="4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94,987</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127,547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8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8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4"/>
                <w:szCs w:val="24"/>
                <w:b w:val="1"/>
                <w:bCs w:val="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196,762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127,547</w:t>
            </w: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Pre-opening costs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(46,320)</w:t>
            </w: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(104,441)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(70,885)</w:t>
            </w: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charges and other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(1,396)</w:t>
            </w: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Corporate and other expenses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(22,334)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(2,961)</w:t>
            </w: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(6,337)</w:t>
            </w: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 net of capitalized interest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(46,180)</w:t>
            </w: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Decrease in swap fair value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(36,604)</w:t>
            </w: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gain on extinguishment of debt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22,347</w:t>
            </w: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(1,563)</w:t>
            </w:r>
          </w:p>
        </w:tc>
      </w:tr>
      <w:tr>
        <w:trPr>
          <w:trHeight w:val="203"/>
        </w:trPr>
        <w:tc>
          <w:tcPr>
            <w:tcW w:w="882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22,613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(98,617)</w:t>
            </w:r>
          </w:p>
        </w:tc>
      </w:tr>
      <w:tr>
        <w:trPr>
          <w:trHeight w:val="210"/>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(159,567)</w:t>
            </w: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882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(18,453)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Wynn Resorts, Limited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(159,567)</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3" w:right="239" w:bottom="822" w:gutter="0" w:footer="0" w:header="0"/>
        </w:sectPr>
      </w:pPr>
    </w:p>
    <w:bookmarkStart w:id="11" w:name="page12"/>
    <w:bookmarkEnd w:id="11"/>
    <w:p>
      <w:pPr>
        <w:jc w:val="center"/>
        <w:ind w:right="100"/>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ind w:right="100"/>
        <w:spacing w:after="0" w:line="234" w:lineRule="auto"/>
        <w:rPr>
          <w:sz w:val="20"/>
          <w:szCs w:val="20"/>
          <w:color w:val="auto"/>
        </w:rPr>
      </w:pPr>
      <w:r>
        <w:rPr>
          <w:rFonts w:ascii="Arial" w:cs="Arial" w:eastAsia="Arial" w:hAnsi="Arial"/>
          <w:sz w:val="18"/>
          <w:szCs w:val="18"/>
          <w:color w:val="auto"/>
        </w:rPr>
        <w:t>AND ADJUSTED PROPERTY EBITDA TO NET INCOME ATTRIBUTABLE TO WYNN RESORTS, LIMITED</w:t>
      </w:r>
    </w:p>
    <w:p>
      <w:pPr>
        <w:jc w:val="center"/>
        <w:ind w:right="100"/>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rPr>
              <w:t>Year Ended December 31, 2009</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40"/>
              <w:spacing w:after="0" w:line="173" w:lineRule="exact"/>
              <w:rPr>
                <w:sz w:val="20"/>
                <w:szCs w:val="20"/>
                <w:color w:val="auto"/>
              </w:rPr>
            </w:pPr>
            <w:r>
              <w:rPr>
                <w:rFonts w:ascii="Arial" w:cs="Arial" w:eastAsia="Arial" w:hAnsi="Arial"/>
                <w:sz w:val="18"/>
                <w:szCs w:val="18"/>
                <w:b w:val="1"/>
                <w:bCs w:val="1"/>
                <w:color w:val="auto"/>
              </w:rPr>
              <w:t>Wynn Las</w:t>
            </w:r>
          </w:p>
        </w:tc>
        <w:tc>
          <w:tcPr>
            <w:tcW w:w="1500" w:type="dxa"/>
            <w:vAlign w:val="bottom"/>
            <w:gridSpan w:val="4"/>
          </w:tcPr>
          <w:p>
            <w:pPr>
              <w:ind w:left="160"/>
              <w:spacing w:after="0" w:line="173" w:lineRule="exact"/>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15"/>
                <w:szCs w:val="15"/>
                <w:color w:val="auto"/>
              </w:rPr>
            </w:pPr>
          </w:p>
        </w:tc>
        <w:tc>
          <w:tcPr>
            <w:tcW w:w="1160" w:type="dxa"/>
            <w:vAlign w:val="bottom"/>
            <w:gridSpan w:val="2"/>
          </w:tcPr>
          <w:p>
            <w:pPr>
              <w:jc w:val="right"/>
              <w:ind w:right="280"/>
              <w:spacing w:after="0" w:line="173"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Vegas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Ltd.</w:t>
            </w: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(144,279)</w:t>
            </w:r>
          </w:p>
        </w:tc>
        <w:tc>
          <w:tcPr>
            <w:tcW w:w="4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315,017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64,225</w:t>
            </w: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234,963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1,471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313,759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93,794</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2,994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24,468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2,478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1,512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Management and royalty fees</w:t>
            </w:r>
          </w:p>
        </w:tc>
        <w:tc>
          <w:tcPr>
            <w:tcW w:w="12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18,434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71,538</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(89,972)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Corporate and other expenses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23,394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12,760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9,756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45,910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8,370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5,029</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10,937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income/(loss) from</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600"/>
              <w:spacing w:after="0" w:line="202" w:lineRule="exact"/>
              <w:rPr>
                <w:sz w:val="20"/>
                <w:szCs w:val="20"/>
                <w:color w:val="auto"/>
              </w:rPr>
            </w:pPr>
            <w:r>
              <w:rPr>
                <w:rFonts w:ascii="Arial" w:cs="Arial" w:eastAsia="Arial" w:hAnsi="Arial"/>
                <w:sz w:val="18"/>
                <w:szCs w:val="18"/>
                <w:color w:val="auto"/>
              </w:rPr>
              <w:t>unconsolidated affiliates</w:t>
            </w:r>
          </w:p>
        </w:tc>
        <w:tc>
          <w:tcPr>
            <w:tcW w:w="1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244,065</w:t>
            </w:r>
          </w:p>
        </w:tc>
        <w:tc>
          <w:tcPr>
            <w:tcW w:w="80" w:type="dxa"/>
            <w:vAlign w:val="bottom"/>
          </w:tcPr>
          <w:p>
            <w:pPr>
              <w:spacing w:after="0"/>
              <w:rPr>
                <w:sz w:val="17"/>
                <w:szCs w:val="17"/>
                <w:color w:val="auto"/>
              </w:rPr>
            </w:pPr>
          </w:p>
        </w:tc>
        <w:tc>
          <w:tcPr>
            <w:tcW w:w="40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502,087</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746,152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b w:val="1"/>
                <w:bCs w:val="1"/>
                <w:color w:val="auto"/>
              </w:rPr>
              <w:t>Year Ended December 31, 2008</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40"/>
              <w:spacing w:after="0" w:line="173" w:lineRule="exact"/>
              <w:rPr>
                <w:sz w:val="20"/>
                <w:szCs w:val="20"/>
                <w:color w:val="auto"/>
              </w:rPr>
            </w:pPr>
            <w:r>
              <w:rPr>
                <w:rFonts w:ascii="Arial" w:cs="Arial" w:eastAsia="Arial" w:hAnsi="Arial"/>
                <w:sz w:val="18"/>
                <w:szCs w:val="18"/>
                <w:b w:val="1"/>
                <w:bCs w:val="1"/>
                <w:color w:val="auto"/>
              </w:rPr>
              <w:t>Wynn Las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80"/>
              <w:spacing w:after="0" w:line="173"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Vegas</w:t>
            </w:r>
          </w:p>
        </w:tc>
        <w:tc>
          <w:tcPr>
            <w:tcW w:w="16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Wynn Macau</w:t>
            </w: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(58,616)</w:t>
            </w:r>
          </w:p>
        </w:tc>
        <w:tc>
          <w:tcPr>
            <w:tcW w:w="4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298,463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72,289</w:t>
            </w:r>
          </w:p>
        </w:tc>
        <w:tc>
          <w:tcPr>
            <w:tcW w:w="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72,373</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169,640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90,592</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2,981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263,213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22,406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10,015</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Management and royalty fees</w:t>
            </w:r>
          </w:p>
        </w:tc>
        <w:tc>
          <w:tcPr>
            <w:tcW w:w="12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16,505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73,423</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(89,928)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Corporate and other expense</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20,799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9,224</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6,720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40"/>
              <w:spacing w:after="0" w:line="202"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9,502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4,138</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6,688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income/(loss) from</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600"/>
              <w:spacing w:after="0" w:line="202" w:lineRule="exact"/>
              <w:rPr>
                <w:sz w:val="20"/>
                <w:szCs w:val="20"/>
                <w:color w:val="auto"/>
              </w:rPr>
            </w:pPr>
            <w:r>
              <w:rPr>
                <w:rFonts w:ascii="Arial" w:cs="Arial" w:eastAsia="Arial" w:hAnsi="Arial"/>
                <w:sz w:val="18"/>
                <w:szCs w:val="18"/>
                <w:color w:val="auto"/>
              </w:rPr>
              <w:t>unconsolidated affiliates</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1,087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252,875</w:t>
            </w:r>
          </w:p>
        </w:tc>
        <w:tc>
          <w:tcPr>
            <w:tcW w:w="80" w:type="dxa"/>
            <w:vAlign w:val="bottom"/>
          </w:tcPr>
          <w:p>
            <w:pPr>
              <w:spacing w:after="0"/>
              <w:rPr>
                <w:sz w:val="17"/>
                <w:szCs w:val="17"/>
                <w:color w:val="auto"/>
              </w:rPr>
            </w:pPr>
          </w:p>
        </w:tc>
        <w:tc>
          <w:tcPr>
            <w:tcW w:w="44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485,857</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738,732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8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88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4"/>
                <w:szCs w:val="24"/>
                <w:b w:val="1"/>
                <w:bCs w:val="1"/>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746,152</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738,732</w:t>
            </w:r>
          </w:p>
        </w:tc>
      </w:tr>
      <w:tr>
        <w:trPr>
          <w:trHeight w:val="216"/>
        </w:trPr>
        <w:tc>
          <w:tcPr>
            <w:tcW w:w="8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Pre-opening costs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(72,375)</w:t>
            </w: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(410,547)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(263,213)</w:t>
            </w: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charges and other</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(28,458)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(32,584)</w:t>
            </w: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Corporate and other expenses</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(45,910)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(36,743)</w:t>
            </w: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(24,336)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(20,328)</w:t>
            </w: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21,517</w:t>
            </w: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(211,385)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(172,693)</w:t>
            </w: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Decrease in swap fair value</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(31,485)</w:t>
            </w:r>
          </w:p>
        </w:tc>
      </w:tr>
      <w:tr>
        <w:trPr>
          <w:trHeight w:val="216"/>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extinguishment of debt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18,734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22,347</w:t>
            </w:r>
          </w:p>
        </w:tc>
      </w:tr>
      <w:tr>
        <w:trPr>
          <w:trHeight w:val="216"/>
        </w:trPr>
        <w:tc>
          <w:tcPr>
            <w:tcW w:w="8820" w:type="dxa"/>
            <w:vAlign w:val="bottom"/>
          </w:tcPr>
          <w:p>
            <w:pPr>
              <w:ind w:left="4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(4,257)</w:t>
            </w:r>
          </w:p>
        </w:tc>
      </w:tr>
      <w:tr>
        <w:trPr>
          <w:trHeight w:val="203"/>
        </w:trPr>
        <w:tc>
          <w:tcPr>
            <w:tcW w:w="882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Benefit (provision) for income taxes</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(2,999)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61,561</w:t>
            </w:r>
          </w:p>
        </w:tc>
      </w:tr>
      <w:tr>
        <w:trPr>
          <w:trHeight w:val="210"/>
        </w:trPr>
        <w:tc>
          <w:tcPr>
            <w:tcW w:w="88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39,107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210,479</w:t>
            </w:r>
          </w:p>
        </w:tc>
      </w:tr>
      <w:tr>
        <w:trPr>
          <w:trHeight w:val="216"/>
        </w:trPr>
        <w:tc>
          <w:tcPr>
            <w:tcW w:w="8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882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(18,453)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88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20,654</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210,479</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3" w:right="239" w:bottom="822"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92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270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Year Ended</w:t>
            </w:r>
          </w:p>
        </w:tc>
      </w:tr>
      <w:tr>
        <w:trPr>
          <w:trHeight w:val="173"/>
        </w:trPr>
        <w:tc>
          <w:tcPr>
            <w:tcW w:w="5800" w:type="dxa"/>
            <w:vAlign w:val="bottom"/>
          </w:tcPr>
          <w:p>
            <w:pPr>
              <w:spacing w:after="0"/>
              <w:rPr>
                <w:sz w:val="15"/>
                <w:szCs w:val="15"/>
                <w:color w:val="auto"/>
              </w:rPr>
            </w:pPr>
          </w:p>
        </w:tc>
        <w:tc>
          <w:tcPr>
            <w:tcW w:w="152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December</w:t>
            </w:r>
          </w:p>
        </w:tc>
        <w:tc>
          <w:tcPr>
            <w:tcW w:w="14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December</w:t>
            </w:r>
          </w:p>
        </w:tc>
        <w:tc>
          <w:tcPr>
            <w:tcW w:w="142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December</w:t>
            </w:r>
          </w:p>
        </w:tc>
        <w:tc>
          <w:tcPr>
            <w:tcW w:w="128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December</w:t>
            </w:r>
          </w:p>
        </w:tc>
      </w:tr>
      <w:tr>
        <w:trPr>
          <w:trHeight w:val="225"/>
        </w:trPr>
        <w:tc>
          <w:tcPr>
            <w:tcW w:w="5800" w:type="dxa"/>
            <w:vAlign w:val="bottom"/>
          </w:tcPr>
          <w:p>
            <w:pPr>
              <w:spacing w:after="0"/>
              <w:rPr>
                <w:sz w:val="19"/>
                <w:szCs w:val="19"/>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31, 2009</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31, 2008</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31, 2009</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31, 2008</w:t>
            </w:r>
          </w:p>
        </w:tc>
      </w:tr>
      <w:tr>
        <w:trPr>
          <w:trHeight w:val="210"/>
        </w:trPr>
        <w:tc>
          <w:tcPr>
            <w:tcW w:w="5800" w:type="dxa"/>
            <w:vAlign w:val="bottom"/>
          </w:tcPr>
          <w:p>
            <w:pPr>
              <w:spacing w:after="0" w:line="210" w:lineRule="exact"/>
              <w:rPr>
                <w:sz w:val="20"/>
                <w:szCs w:val="20"/>
                <w:color w:val="auto"/>
              </w:rPr>
            </w:pPr>
            <w:r>
              <w:rPr>
                <w:rFonts w:ascii="Arial" w:cs="Arial" w:eastAsia="Arial" w:hAnsi="Arial"/>
                <w:sz w:val="17"/>
                <w:szCs w:val="17"/>
                <w:color w:val="auto"/>
              </w:rPr>
              <w:t>Room Statistics for Las Vegas operations</w:t>
            </w:r>
            <w:r>
              <w:rPr>
                <w:rFonts w:ascii="Arial" w:cs="Arial" w:eastAsia="Arial" w:hAnsi="Arial"/>
                <w:sz w:val="24"/>
                <w:szCs w:val="24"/>
                <w:color w:val="auto"/>
                <w:vertAlign w:val="superscript"/>
              </w:rPr>
              <w:t>5</w:t>
            </w:r>
            <w:r>
              <w:rPr>
                <w:rFonts w:ascii="Arial" w:cs="Arial" w:eastAsia="Arial" w:hAnsi="Arial"/>
                <w:sz w:val="17"/>
                <w:szCs w:val="17"/>
                <w:color w:val="auto"/>
              </w:rPr>
              <w:t>:</w:t>
            </w: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Occupancy %</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16"/>
        </w:trPr>
        <w:tc>
          <w:tcPr>
            <w:tcW w:w="5800" w:type="dxa"/>
            <w:vAlign w:val="bottom"/>
          </w:tcPr>
          <w:p>
            <w:pPr>
              <w:ind w:left="600"/>
              <w:spacing w:after="0" w:line="216"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$219</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$281</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$217</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$288</w:t>
            </w:r>
          </w:p>
        </w:tc>
      </w:tr>
      <w:tr>
        <w:trPr>
          <w:trHeight w:val="405"/>
        </w:trPr>
        <w:tc>
          <w:tcPr>
            <w:tcW w:w="5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$178</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$224</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$185</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$265</w:t>
            </w:r>
          </w:p>
        </w:tc>
      </w:tr>
      <w:tr>
        <w:trPr>
          <w:trHeight w:val="216"/>
        </w:trPr>
        <w:tc>
          <w:tcPr>
            <w:tcW w:w="5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Other information for Las Vegas operations</w:t>
            </w:r>
            <w:r>
              <w:rPr>
                <w:rFonts w:ascii="Arial" w:cs="Arial" w:eastAsia="Arial" w:hAnsi="Arial"/>
                <w:sz w:val="25"/>
                <w:szCs w:val="25"/>
                <w:color w:val="auto"/>
                <w:vertAlign w:val="superscript"/>
              </w:rPr>
              <w:t>5</w:t>
            </w: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800" w:type="dxa"/>
            <w:vAlign w:val="bottom"/>
          </w:tcPr>
          <w:p>
            <w:pPr>
              <w:ind w:left="600"/>
              <w:spacing w:after="0" w:line="216"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$5,188</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$5,629</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$5,099</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$7,976</w:t>
            </w:r>
          </w:p>
        </w:tc>
      </w:tr>
      <w:tr>
        <w:trPr>
          <w:trHeight w:val="203"/>
        </w:trPr>
        <w:tc>
          <w:tcPr>
            <w:tcW w:w="58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Table Win %</w:t>
            </w:r>
          </w:p>
        </w:tc>
        <w:tc>
          <w:tcPr>
            <w:tcW w:w="15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18.7%</w:t>
            </w:r>
          </w:p>
        </w:tc>
        <w:tc>
          <w:tcPr>
            <w:tcW w:w="14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15.3%</w:t>
            </w:r>
          </w:p>
        </w:tc>
        <w:tc>
          <w:tcPr>
            <w:tcW w:w="1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20.2%</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16"/>
        </w:trPr>
        <w:tc>
          <w:tcPr>
            <w:tcW w:w="5800" w:type="dxa"/>
            <w:vAlign w:val="bottom"/>
          </w:tcPr>
          <w:p>
            <w:pPr>
              <w:ind w:left="600"/>
              <w:spacing w:after="0" w:line="216"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$156</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$203</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$160</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$221</w:t>
            </w:r>
          </w:p>
        </w:tc>
      </w:tr>
      <w:tr>
        <w:trPr>
          <w:trHeight w:val="203"/>
        </w:trPr>
        <w:tc>
          <w:tcPr>
            <w:tcW w:w="58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Average number of table games</w:t>
            </w:r>
          </w:p>
        </w:tc>
        <w:tc>
          <w:tcPr>
            <w:tcW w:w="15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215</w:t>
            </w:r>
          </w:p>
        </w:tc>
        <w:tc>
          <w:tcPr>
            <w:tcW w:w="14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147</w:t>
            </w:r>
          </w:p>
        </w:tc>
        <w:tc>
          <w:tcPr>
            <w:tcW w:w="14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226</w:t>
            </w:r>
          </w:p>
        </w:tc>
        <w:tc>
          <w:tcPr>
            <w:tcW w:w="12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141</w:t>
            </w:r>
          </w:p>
        </w:tc>
      </w:tr>
      <w:tr>
        <w:trPr>
          <w:trHeight w:val="203"/>
        </w:trPr>
        <w:tc>
          <w:tcPr>
            <w:tcW w:w="5800" w:type="dxa"/>
            <w:vAlign w:val="bottom"/>
          </w:tcPr>
          <w:p>
            <w:pPr>
              <w:ind w:left="600"/>
              <w:spacing w:after="0" w:line="202" w:lineRule="exact"/>
              <w:rPr>
                <w:sz w:val="20"/>
                <w:szCs w:val="20"/>
                <w:color w:val="auto"/>
              </w:rPr>
            </w:pPr>
            <w:r>
              <w:rPr>
                <w:rFonts w:ascii="Arial" w:cs="Arial" w:eastAsia="Arial" w:hAnsi="Arial"/>
                <w:sz w:val="18"/>
                <w:szCs w:val="18"/>
                <w:color w:val="auto"/>
              </w:rPr>
              <w:t>Average number of slot machines</w:t>
            </w:r>
          </w:p>
        </w:tc>
        <w:tc>
          <w:tcPr>
            <w:tcW w:w="15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2,742</w:t>
            </w:r>
          </w:p>
        </w:tc>
        <w:tc>
          <w:tcPr>
            <w:tcW w:w="14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2,034</w:t>
            </w:r>
          </w:p>
        </w:tc>
        <w:tc>
          <w:tcPr>
            <w:tcW w:w="14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2,767</w:t>
            </w:r>
          </w:p>
        </w:tc>
        <w:tc>
          <w:tcPr>
            <w:tcW w:w="12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1,971</w:t>
            </w:r>
          </w:p>
        </w:tc>
      </w:tr>
      <w:tr>
        <w:trPr>
          <w:trHeight w:val="216"/>
        </w:trPr>
        <w:tc>
          <w:tcPr>
            <w:tcW w:w="58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Room Statistics for Macau:</w:t>
            </w: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58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Occupancy %</w:t>
            </w:r>
          </w:p>
        </w:tc>
        <w:tc>
          <w:tcPr>
            <w:tcW w:w="15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90.6%</w:t>
            </w:r>
          </w:p>
        </w:tc>
        <w:tc>
          <w:tcPr>
            <w:tcW w:w="14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86.8%</w:t>
            </w:r>
          </w:p>
        </w:tc>
        <w:tc>
          <w:tcPr>
            <w:tcW w:w="1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87.5%</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87.3%</w:t>
            </w:r>
          </w:p>
        </w:tc>
      </w:tr>
      <w:tr>
        <w:trPr>
          <w:trHeight w:val="216"/>
        </w:trPr>
        <w:tc>
          <w:tcPr>
            <w:tcW w:w="5800" w:type="dxa"/>
            <w:vAlign w:val="bottom"/>
          </w:tcPr>
          <w:p>
            <w:pPr>
              <w:ind w:left="600"/>
              <w:spacing w:after="0" w:line="216"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$271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$273</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$266</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$275</w:t>
            </w:r>
          </w:p>
        </w:tc>
      </w:tr>
      <w:tr>
        <w:trPr>
          <w:trHeight w:val="216"/>
        </w:trPr>
        <w:tc>
          <w:tcPr>
            <w:tcW w:w="5800" w:type="dxa"/>
            <w:vAlign w:val="bottom"/>
            <w:shd w:val="clear" w:color="auto" w:fill="CCEEFF"/>
          </w:tcPr>
          <w:p>
            <w:pPr>
              <w:ind w:left="600"/>
              <w:spacing w:after="0" w:line="216" w:lineRule="exact"/>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246</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$237</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$233</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$240</w:t>
            </w:r>
          </w:p>
        </w:tc>
      </w:tr>
      <w:tr>
        <w:trPr>
          <w:trHeight w:val="216"/>
        </w:trPr>
        <w:tc>
          <w:tcPr>
            <w:tcW w:w="5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Macau:</w:t>
            </w:r>
          </w:p>
        </w:tc>
        <w:tc>
          <w:tcPr>
            <w:tcW w:w="1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800" w:type="dxa"/>
            <w:vAlign w:val="bottom"/>
          </w:tcPr>
          <w:p>
            <w:pPr>
              <w:ind w:left="500"/>
              <w:spacing w:after="0" w:line="216"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$16,379</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$12,366</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$14,846</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$15,265</w:t>
            </w:r>
          </w:p>
        </w:tc>
      </w:tr>
      <w:tr>
        <w:trPr>
          <w:trHeight w:val="216"/>
        </w:trPr>
        <w:tc>
          <w:tcPr>
            <w:tcW w:w="5800" w:type="dxa"/>
            <w:vAlign w:val="bottom"/>
            <w:shd w:val="clear" w:color="auto" w:fill="CCEEFF"/>
          </w:tcPr>
          <w:p>
            <w:pPr>
              <w:ind w:left="500"/>
              <w:spacing w:after="0" w:line="216"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$353</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$348</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$386</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$346</w:t>
            </w:r>
          </w:p>
        </w:tc>
      </w:tr>
      <w:tr>
        <w:trPr>
          <w:trHeight w:val="203"/>
        </w:trPr>
        <w:tc>
          <w:tcPr>
            <w:tcW w:w="5800" w:type="dxa"/>
            <w:vAlign w:val="bottom"/>
          </w:tcPr>
          <w:p>
            <w:pPr>
              <w:ind w:left="500"/>
              <w:spacing w:after="0" w:line="202" w:lineRule="exact"/>
              <w:rPr>
                <w:sz w:val="20"/>
                <w:szCs w:val="20"/>
                <w:color w:val="auto"/>
              </w:rPr>
            </w:pPr>
            <w:r>
              <w:rPr>
                <w:rFonts w:ascii="Arial" w:cs="Arial" w:eastAsia="Arial" w:hAnsi="Arial"/>
                <w:sz w:val="18"/>
                <w:szCs w:val="18"/>
                <w:color w:val="auto"/>
              </w:rPr>
              <w:t>Average number of table games</w:t>
            </w:r>
          </w:p>
        </w:tc>
        <w:tc>
          <w:tcPr>
            <w:tcW w:w="15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383</w:t>
            </w:r>
          </w:p>
        </w:tc>
        <w:tc>
          <w:tcPr>
            <w:tcW w:w="14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367</w:t>
            </w:r>
          </w:p>
        </w:tc>
        <w:tc>
          <w:tcPr>
            <w:tcW w:w="14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371</w:t>
            </w:r>
          </w:p>
        </w:tc>
        <w:tc>
          <w:tcPr>
            <w:tcW w:w="12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377</w:t>
            </w:r>
          </w:p>
        </w:tc>
      </w:tr>
      <w:tr>
        <w:trPr>
          <w:trHeight w:val="203"/>
        </w:trPr>
        <w:tc>
          <w:tcPr>
            <w:tcW w:w="580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Average number of slot machines</w:t>
            </w:r>
          </w:p>
        </w:tc>
        <w:tc>
          <w:tcPr>
            <w:tcW w:w="15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1,190</w:t>
            </w:r>
          </w:p>
        </w:tc>
        <w:tc>
          <w:tcPr>
            <w:tcW w:w="14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1,241</w:t>
            </w:r>
          </w:p>
        </w:tc>
        <w:tc>
          <w:tcPr>
            <w:tcW w:w="14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1,195</w:t>
            </w:r>
          </w:p>
        </w:tc>
        <w:tc>
          <w:tcPr>
            <w:tcW w:w="12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1,243</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38" w:lineRule="exact"/>
        <w:rPr>
          <w:rFonts w:ascii="Arial" w:cs="Arial" w:eastAsia="Arial" w:hAnsi="Arial"/>
          <w:sz w:val="18"/>
          <w:szCs w:val="18"/>
          <w:color w:val="auto"/>
        </w:rPr>
      </w:pPr>
    </w:p>
    <w:p>
      <w:pPr>
        <w:ind w:right="500" w:firstLine="8"/>
        <w:spacing w:after="0" w:line="246"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 available.</w:t>
      </w:r>
    </w:p>
    <w:p>
      <w:pPr>
        <w:spacing w:after="0" w:line="223"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spacing w:after="0" w:line="238" w:lineRule="exact"/>
        <w:rPr>
          <w:rFonts w:ascii="Arial" w:cs="Arial" w:eastAsia="Arial" w:hAnsi="Arial"/>
          <w:sz w:val="18"/>
          <w:szCs w:val="18"/>
          <w:color w:val="auto"/>
        </w:rPr>
      </w:pPr>
    </w:p>
    <w:p>
      <w:pPr>
        <w:ind w:right="100" w:firstLine="8"/>
        <w:spacing w:after="0" w:line="246"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on the table above include the 10 days of operations for Encore, which opened on December 22, 2008. Encore did not significantly impact our results of operations for the year ended December 31, 2008.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2019-12-10T22:28:51Z</dcterms:created>
  <dcterms:modified xsi:type="dcterms:W3CDTF">2019-12-10T22:28:51Z</dcterms:modified>
</cp:coreProperties>
</file>