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Webb Winifred Markus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1"/>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930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6,007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Ms. Webb voluntarily reduced a portion of her cash retainer compensation for the remainder of 2020 in exchange for a grant of an equivalent value of restricted shares of the Company's common stock. Such restricted stock will vest in full on December 31, 2020. Should Ms. Webb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Winifred</w:t>
      </w:r>
      <w:r>
        <w:rPr>
          <w:sz w:val="20"/>
          <w:szCs w:val="20"/>
          <w:color w:val="auto"/>
        </w:rPr>
        <w:tab/>
      </w:r>
      <w:r>
        <w:rPr>
          <w:rFonts w:ascii="Arial" w:cs="Arial" w:eastAsia="Arial" w:hAnsi="Arial"/>
          <w:sz w:val="15"/>
          <w:szCs w:val="15"/>
          <w:color w:val="0000FF"/>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9919"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2020-03-25T18:42:44Z</dcterms:created>
  <dcterms:modified xsi:type="dcterms:W3CDTF">2020-03-25T18:42:44Z</dcterms:modified>
</cp:coreProperties>
</file>