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2"/>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64" w:lineRule="exact"/>
        <w:rPr>
          <w:sz w:val="24"/>
          <w:szCs w:val="24"/>
          <w:color w:val="auto"/>
        </w:rPr>
      </w:pPr>
    </w:p>
    <w:p>
      <w:pPr>
        <w:ind w:right="40"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-419735</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right="260" w:firstLine="432"/>
        <w:spacing w:after="0" w:line="19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60" w:firstLine="432"/>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340"/>
              <w:spacing w:after="0"/>
              <w:rPr>
                <w:sz w:val="20"/>
                <w:szCs w:val="20"/>
                <w:color w:val="auto"/>
              </w:rPr>
            </w:pPr>
            <w:r>
              <w:rPr>
                <w:rFonts w:ascii="Arial" w:cs="Arial" w:eastAsia="Arial" w:hAnsi="Arial"/>
                <w:sz w:val="18"/>
                <w:szCs w:val="18"/>
                <w:color w:val="auto"/>
              </w:rPr>
              <w:t>x</w:t>
            </w:r>
          </w:p>
        </w:tc>
        <w:tc>
          <w:tcPr>
            <w:tcW w:w="35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54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260"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54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Indicate the number of shares outstanding of each of the issuer's classes of common stock, as of the latest practicable date.</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4260" w:type="dxa"/>
            <w:vAlign w:val="bottom"/>
          </w:tcPr>
          <w:p>
            <w:pPr>
              <w:spacing w:after="0"/>
              <w:rPr>
                <w:sz w:val="14"/>
                <w:szCs w:val="14"/>
                <w:color w:val="auto"/>
              </w:rPr>
            </w:pPr>
          </w:p>
        </w:tc>
        <w:tc>
          <w:tcPr>
            <w:tcW w:w="5500" w:type="dxa"/>
            <w:vAlign w:val="bottom"/>
            <w:gridSpan w:val="3"/>
          </w:tcPr>
          <w:p>
            <w:pPr>
              <w:jc w:val="center"/>
              <w:ind w:left="2799"/>
              <w:spacing w:after="0"/>
              <w:rPr>
                <w:sz w:val="20"/>
                <w:szCs w:val="20"/>
                <w:color w:val="auto"/>
              </w:rPr>
            </w:pPr>
            <w:r>
              <w:rPr>
                <w:rFonts w:ascii="Arial" w:cs="Arial" w:eastAsia="Arial" w:hAnsi="Arial"/>
                <w:sz w:val="14"/>
                <w:szCs w:val="14"/>
                <w:b w:val="1"/>
                <w:bCs w:val="1"/>
                <w:color w:val="auto"/>
                <w:w w:val="94"/>
              </w:rPr>
              <w:t>Outstanding at April 30, 2018</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5920" w:type="dxa"/>
            <w:vAlign w:val="bottom"/>
            <w:gridSpan w:val="3"/>
          </w:tcPr>
          <w:p>
            <w:pPr>
              <w:jc w:val="center"/>
              <w:ind w:right="2940"/>
              <w:spacing w:after="0"/>
              <w:rPr>
                <w:sz w:val="20"/>
                <w:szCs w:val="20"/>
                <w:color w:val="auto"/>
              </w:rPr>
            </w:pPr>
            <w:r>
              <w:rPr>
                <w:rFonts w:ascii="Arial" w:cs="Arial" w:eastAsia="Arial" w:hAnsi="Arial"/>
                <w:sz w:val="18"/>
                <w:szCs w:val="18"/>
                <w:color w:val="auto"/>
                <w:w w:val="90"/>
              </w:rPr>
              <w:t>Common stock, $0.01 par value</w:t>
            </w:r>
          </w:p>
        </w:tc>
        <w:tc>
          <w:tcPr>
            <w:tcW w:w="5100" w:type="dxa"/>
            <w:vAlign w:val="bottom"/>
            <w:gridSpan w:val="2"/>
          </w:tcPr>
          <w:p>
            <w:pPr>
              <w:jc w:val="right"/>
              <w:ind w:right="460"/>
              <w:spacing w:after="0"/>
              <w:rPr>
                <w:sz w:val="20"/>
                <w:szCs w:val="20"/>
                <w:color w:val="auto"/>
              </w:rPr>
            </w:pPr>
            <w:r>
              <w:rPr>
                <w:rFonts w:ascii="Arial" w:cs="Arial" w:eastAsia="Arial" w:hAnsi="Arial"/>
                <w:sz w:val="18"/>
                <w:szCs w:val="18"/>
                <w:color w:val="auto"/>
              </w:rPr>
              <w:t>108,587,045</w:t>
            </w:r>
          </w:p>
        </w:tc>
        <w:tc>
          <w:tcPr>
            <w:tcW w:w="40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2018 (unaudited) and December 31, 2017</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 – Three Months Ended March 31, 2018 and 2017</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(Loss) (unaudited) – Three Months Ended March 31,</w:t>
              </w:r>
            </w:hyperlink>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2018 and 2017</w:t>
              </w:r>
            </w:hyperlink>
          </w:p>
        </w:tc>
        <w:tc>
          <w:tcPr>
            <w:tcW w:w="806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(unaudited) – Three Months Ended March 31, 2018</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Condensed Consolidated Statements of Cash Flows (unaudited) – Three Months Ended March 31, 2018 and 2017</w:t>
              </w:r>
            </w:hyperlink>
          </w:p>
        </w:tc>
        <w:tc>
          <w:tcPr>
            <w:tcW w:w="9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8"/>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94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80"/>
        </w:trPr>
        <w:tc>
          <w:tcPr>
            <w:tcW w:w="8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2,031,662</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2,804,474</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166,773</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228,226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224,128</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71,636</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91,624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156,773</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2,448,299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3,423,784</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8,887,843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8,498,756</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2,160</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100,494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160,682</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212,384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123,705</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347,970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240,533</w:t>
            </w: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216,167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232,119</w:t>
            </w: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12,215,174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12,681,739</w:t>
            </w:r>
          </w:p>
        </w:tc>
      </w:tr>
      <w:tr>
        <w:trPr>
          <w:trHeight w:val="62"/>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63"/>
        </w:trPr>
        <w:tc>
          <w:tcPr>
            <w:tcW w:w="834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and construction payables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4380"/>
        <w:spacing w:after="0"/>
        <w:rPr>
          <w:sz w:val="20"/>
          <w:szCs w:val="20"/>
          <w:color w:val="auto"/>
        </w:rPr>
      </w:pPr>
      <w:r>
        <w:rPr>
          <w:rFonts w:ascii="Arial" w:cs="Arial" w:eastAsia="Arial" w:hAnsi="Arial"/>
          <w:sz w:val="16"/>
          <w:szCs w:val="16"/>
          <w:color w:val="auto"/>
        </w:rPr>
        <w:t>Dividends payable to noncontrolling interests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Commitments and contingencies (Note 13)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820" w:val="left"/>
          <w:tab w:leader="none" w:pos="16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301,577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285,437</w:t>
      </w:r>
    </w:p>
    <w:p>
      <w:pPr>
        <w:spacing w:after="0" w:line="86"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color w:val="auto"/>
        </w:rPr>
        <w:t>1,036,946</w:t>
      </w:r>
      <w:r>
        <w:rPr>
          <w:sz w:val="20"/>
          <w:szCs w:val="20"/>
          <w:color w:val="auto"/>
        </w:rPr>
        <w:tab/>
      </w:r>
      <w:r>
        <w:rPr>
          <w:rFonts w:ascii="Arial" w:cs="Arial" w:eastAsia="Arial" w:hAnsi="Arial"/>
          <w:sz w:val="13"/>
          <w:szCs w:val="13"/>
          <w:color w:val="auto"/>
        </w:rPr>
        <w:t>1,049,629</w:t>
      </w:r>
    </w:p>
    <w:p>
      <w:pPr>
        <w:spacing w:after="0" w:line="121" w:lineRule="exact"/>
        <w:rPr>
          <w:sz w:val="20"/>
          <w:szCs w:val="20"/>
          <w:color w:val="auto"/>
        </w:rPr>
      </w:pPr>
    </w:p>
    <w:p>
      <w:pPr>
        <w:jc w:val="both"/>
        <w:ind w:left="840"/>
        <w:spacing w:after="0"/>
        <w:tabs>
          <w:tab w:leader="none" w:pos="2420" w:val="left"/>
        </w:tabs>
        <w:rPr>
          <w:sz w:val="20"/>
          <w:szCs w:val="20"/>
          <w:color w:val="auto"/>
        </w:rPr>
      </w:pPr>
      <w:r>
        <w:rPr>
          <w:rFonts w:ascii="Arial" w:cs="Arial" w:eastAsia="Arial" w:hAnsi="Arial"/>
          <w:sz w:val="16"/>
          <w:szCs w:val="16"/>
          <w:color w:val="auto"/>
        </w:rPr>
        <w:t>225,304</w:t>
      </w:r>
      <w:r>
        <w:rPr>
          <w:sz w:val="20"/>
          <w:szCs w:val="20"/>
          <w:color w:val="auto"/>
        </w:rPr>
        <w:tab/>
      </w:r>
      <w:r>
        <w:rPr>
          <w:rFonts w:ascii="Arial" w:cs="Arial" w:eastAsia="Arial" w:hAnsi="Arial"/>
          <w:sz w:val="16"/>
          <w:szCs w:val="16"/>
          <w:color w:val="auto"/>
        </w:rPr>
        <w:t>211,600</w:t>
      </w:r>
    </w:p>
    <w:p>
      <w:pPr>
        <w:spacing w:after="0" w:line="86"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3"/>
          <w:szCs w:val="13"/>
          <w:color w:val="auto"/>
        </w:rPr>
        <w:t>114,719</w:t>
      </w:r>
      <w:r>
        <w:rPr>
          <w:sz w:val="20"/>
          <w:szCs w:val="20"/>
          <w:color w:val="auto"/>
        </w:rPr>
        <w:tab/>
      </w:r>
      <w:r>
        <w:rPr>
          <w:rFonts w:ascii="Arial" w:cs="Arial" w:eastAsia="Arial" w:hAnsi="Arial"/>
          <w:sz w:val="13"/>
          <w:szCs w:val="13"/>
          <w:color w:val="auto"/>
        </w:rPr>
        <w:t>140,450</w:t>
      </w:r>
    </w:p>
    <w:p>
      <w:pPr>
        <w:spacing w:after="0" w:line="121"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71,943</w:t>
      </w:r>
      <w:r>
        <w:rPr>
          <w:sz w:val="20"/>
          <w:szCs w:val="20"/>
          <w:color w:val="auto"/>
        </w:rPr>
        <w:tab/>
      </w:r>
      <w:r>
        <w:rPr>
          <w:rFonts w:ascii="Arial" w:cs="Arial" w:eastAsia="Arial" w:hAnsi="Arial"/>
          <w:sz w:val="13"/>
          <w:szCs w:val="13"/>
          <w:color w:val="auto"/>
        </w:rPr>
        <w:t>94,695</w:t>
      </w:r>
    </w:p>
    <w:p>
      <w:pPr>
        <w:spacing w:after="0" w:line="121" w:lineRule="exact"/>
        <w:rPr>
          <w:sz w:val="20"/>
          <w:szCs w:val="20"/>
          <w:color w:val="auto"/>
        </w:rPr>
      </w:pPr>
    </w:p>
    <w:p>
      <w:pPr>
        <w:ind w:left="840"/>
        <w:spacing w:after="0"/>
        <w:tabs>
          <w:tab w:leader="none" w:pos="2500" w:val="left"/>
        </w:tabs>
        <w:rPr>
          <w:sz w:val="20"/>
          <w:szCs w:val="20"/>
          <w:color w:val="auto"/>
        </w:rPr>
      </w:pPr>
      <w:r>
        <w:rPr>
          <w:rFonts w:ascii="Arial" w:cs="Arial" w:eastAsia="Arial" w:hAnsi="Arial"/>
          <w:sz w:val="13"/>
          <w:szCs w:val="13"/>
          <w:color w:val="auto"/>
        </w:rPr>
        <w:t>121,714</w:t>
      </w:r>
      <w:r>
        <w:rPr>
          <w:sz w:val="20"/>
          <w:szCs w:val="20"/>
          <w:color w:val="auto"/>
        </w:rPr>
        <w:tab/>
      </w:r>
      <w:r>
        <w:rPr>
          <w:rFonts w:ascii="Arial" w:cs="Arial" w:eastAsia="Arial" w:hAnsi="Arial"/>
          <w:sz w:val="13"/>
          <w:szCs w:val="13"/>
          <w:color w:val="auto"/>
        </w:rPr>
        <w:t>62,690</w:t>
      </w:r>
    </w:p>
    <w:p>
      <w:pPr>
        <w:spacing w:after="0" w:line="121" w:lineRule="exact"/>
        <w:rPr>
          <w:sz w:val="20"/>
          <w:szCs w:val="20"/>
          <w:color w:val="auto"/>
        </w:rPr>
      </w:pPr>
    </w:p>
    <w:p>
      <w:pPr>
        <w:ind w:left="840"/>
        <w:spacing w:after="0"/>
        <w:tabs>
          <w:tab w:leader="none" w:pos="2780" w:val="left"/>
        </w:tabs>
        <w:rPr>
          <w:sz w:val="20"/>
          <w:szCs w:val="20"/>
          <w:color w:val="auto"/>
        </w:rPr>
      </w:pPr>
      <w:r>
        <w:rPr>
          <w:rFonts w:ascii="Arial" w:cs="Arial" w:eastAsia="Arial" w:hAnsi="Arial"/>
          <w:sz w:val="16"/>
          <w:szCs w:val="16"/>
          <w:color w:val="auto"/>
        </w:rPr>
        <w:t>138,337</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88,369</w:t>
      </w:r>
      <w:r>
        <w:rPr>
          <w:sz w:val="20"/>
          <w:szCs w:val="20"/>
          <w:color w:val="auto"/>
        </w:rPr>
        <w:tab/>
      </w:r>
      <w:r>
        <w:rPr>
          <w:rFonts w:ascii="Arial" w:cs="Arial" w:eastAsia="Arial" w:hAnsi="Arial"/>
          <w:sz w:val="13"/>
          <w:szCs w:val="13"/>
          <w:color w:val="auto"/>
        </w:rPr>
        <w:t>85,789</w:t>
      </w:r>
    </w:p>
    <w:p>
      <w:pPr>
        <w:spacing w:after="0" w:line="117"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b w:val="1"/>
          <w:bCs w:val="1"/>
          <w:color w:val="auto"/>
        </w:rPr>
        <w:t>2,098,909</w:t>
      </w:r>
      <w:r>
        <w:rPr>
          <w:sz w:val="20"/>
          <w:szCs w:val="20"/>
          <w:color w:val="auto"/>
        </w:rPr>
        <w:tab/>
      </w:r>
      <w:r>
        <w:rPr>
          <w:rFonts w:ascii="Arial" w:cs="Arial" w:eastAsia="Arial" w:hAnsi="Arial"/>
          <w:sz w:val="13"/>
          <w:szCs w:val="13"/>
          <w:b w:val="1"/>
          <w:bCs w:val="1"/>
          <w:color w:val="auto"/>
        </w:rPr>
        <w:t>1,930,290</w:t>
      </w:r>
    </w:p>
    <w:p>
      <w:pPr>
        <w:spacing w:after="0" w:line="125"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color w:val="auto"/>
        </w:rPr>
        <w:t>9,234,679</w:t>
      </w:r>
      <w:r>
        <w:rPr>
          <w:sz w:val="20"/>
          <w:szCs w:val="20"/>
          <w:color w:val="auto"/>
        </w:rPr>
        <w:tab/>
      </w:r>
      <w:r>
        <w:rPr>
          <w:rFonts w:ascii="Arial" w:cs="Arial" w:eastAsia="Arial" w:hAnsi="Arial"/>
          <w:sz w:val="13"/>
          <w:szCs w:val="13"/>
          <w:color w:val="auto"/>
        </w:rPr>
        <w:t>9,565,936</w:t>
      </w:r>
    </w:p>
    <w:p>
      <w:pPr>
        <w:spacing w:after="0" w:line="121"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3"/>
          <w:szCs w:val="13"/>
          <w:color w:val="auto"/>
        </w:rPr>
        <w:t>110,198</w:t>
      </w:r>
      <w:r>
        <w:rPr>
          <w:sz w:val="20"/>
          <w:szCs w:val="20"/>
          <w:color w:val="auto"/>
        </w:rPr>
        <w:tab/>
      </w:r>
      <w:r>
        <w:rPr>
          <w:rFonts w:ascii="Arial" w:cs="Arial" w:eastAsia="Arial" w:hAnsi="Arial"/>
          <w:sz w:val="13"/>
          <w:szCs w:val="13"/>
          <w:color w:val="auto"/>
        </w:rPr>
        <w:t>107,163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45720</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7" w:lineRule="exact"/>
        <w:rPr>
          <w:sz w:val="20"/>
          <w:szCs w:val="20"/>
          <w:color w:val="auto"/>
        </w:rPr>
      </w:pPr>
    </w:p>
    <w:p>
      <w:pPr>
        <w:jc w:val="both"/>
        <w:ind w:left="660"/>
        <w:spacing w:after="0"/>
        <w:tabs>
          <w:tab w:leader="none" w:pos="2240" w:val="left"/>
        </w:tabs>
        <w:rPr>
          <w:sz w:val="20"/>
          <w:szCs w:val="20"/>
          <w:color w:val="auto"/>
        </w:rPr>
      </w:pPr>
      <w:r>
        <w:rPr>
          <w:rFonts w:ascii="Arial" w:cs="Arial" w:eastAsia="Arial" w:hAnsi="Arial"/>
          <w:sz w:val="16"/>
          <w:szCs w:val="16"/>
          <w:b w:val="1"/>
          <w:bCs w:val="1"/>
          <w:color w:val="auto"/>
        </w:rPr>
        <w:t>11,443,786</w:t>
      </w:r>
      <w:r>
        <w:rPr>
          <w:sz w:val="20"/>
          <w:szCs w:val="20"/>
          <w:color w:val="auto"/>
        </w:rPr>
        <w:tab/>
      </w:r>
      <w:r>
        <w:rPr>
          <w:rFonts w:ascii="Arial" w:cs="Arial" w:eastAsia="Arial" w:hAnsi="Arial"/>
          <w:sz w:val="16"/>
          <w:szCs w:val="16"/>
          <w:b w:val="1"/>
          <w:bCs w:val="1"/>
          <w:color w:val="auto"/>
        </w:rPr>
        <w:t>11,603,389</w:t>
      </w:r>
    </w:p>
    <w:p>
      <w:pPr>
        <w:spacing w:after="0" w:line="581"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183"/>
        </w:trPr>
        <w:tc>
          <w:tcPr>
            <w:tcW w:w="8340" w:type="dxa"/>
            <w:vAlign w:val="bottom"/>
          </w:tcPr>
          <w:p>
            <w:pPr>
              <w:ind w:left="380"/>
              <w:spacing w:after="0"/>
              <w:rPr>
                <w:sz w:val="20"/>
                <w:szCs w:val="20"/>
                <w:color w:val="auto"/>
              </w:rPr>
            </w:pPr>
            <w:r>
              <w:rPr>
                <w:rFonts w:ascii="Arial" w:cs="Arial" w:eastAsia="Arial" w:hAnsi="Arial"/>
                <w:sz w:val="16"/>
                <w:szCs w:val="16"/>
                <w:color w:val="auto"/>
                <w:w w:val="90"/>
              </w:rPr>
              <w:t>Common stock, par value $0.01; 400,000,000 shares authorized; 116,590,962 and 116,391,753 shares issued; 103,202,045</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0"/>
        </w:trPr>
        <w:tc>
          <w:tcPr>
            <w:tcW w:w="8340" w:type="dxa"/>
            <w:vAlign w:val="bottom"/>
          </w:tcPr>
          <w:p>
            <w:pPr>
              <w:ind w:left="380"/>
              <w:spacing w:after="0"/>
              <w:rPr>
                <w:sz w:val="20"/>
                <w:szCs w:val="20"/>
                <w:color w:val="auto"/>
              </w:rPr>
            </w:pPr>
            <w:r>
              <w:rPr>
                <w:rFonts w:ascii="Arial" w:cs="Arial" w:eastAsia="Arial" w:hAnsi="Arial"/>
                <w:sz w:val="16"/>
                <w:szCs w:val="16"/>
                <w:color w:val="auto"/>
              </w:rPr>
              <w:t>and 103,005,866 shares outstanding, respectively</w:t>
            </w:r>
          </w:p>
        </w:tc>
        <w:tc>
          <w:tcPr>
            <w:tcW w:w="38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1,164</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13,388,917 and 13,385,887 shares, respectively</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(1,184,967)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(1,184,468)</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1,508,714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1,497,928</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388,523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635,067</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711,562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947,846</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Noncontrolling interests</w:t>
            </w:r>
          </w:p>
        </w:tc>
        <w:tc>
          <w:tcPr>
            <w:tcW w:w="38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59,826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130,504</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771,388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1,078,350</w:t>
            </w: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12,215,174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12,681,739</w:t>
            </w:r>
          </w:p>
        </w:tc>
      </w:tr>
      <w:tr>
        <w:trPr>
          <w:trHeight w:val="22"/>
        </w:trPr>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99"/>
              </w:rPr>
              <w:t>(as adjusted)</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989,740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190,310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168,824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164,533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110,907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100,660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1,715,578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1,423,757</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629,796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60,767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131,768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48,030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47,065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159,962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139,820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1,796,872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1,173,827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249,930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(167,229)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(114,515)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135,415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111,045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132,525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(31,709)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100,816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net income (loss)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101,753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102,570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102,069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0"/>
        </w:trPr>
        <w:tc>
          <w:tcPr>
            <w:tcW w:w="10060" w:type="dxa"/>
            <w:vAlign w:val="bottom"/>
            <w:gridSpan w:val="4"/>
          </w:tcPr>
          <w:p>
            <w:pPr>
              <w:ind w:left="216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net unrealized loss on investment securities, before and after tax</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credit risk adjustment, net of tax of $2,735</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(128,806)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131,425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Wynn Resorts, Limited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(195,125)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100,041</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880" w:type="dxa"/>
            <w:vAlign w:val="bottom"/>
            <w:gridSpan w:val="5"/>
          </w:tcPr>
          <w:p>
            <w:pPr>
              <w:ind w:left="5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18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84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1"/>
                <w:szCs w:val="11"/>
                <w:color w:val="auto"/>
              </w:rPr>
            </w:pPr>
          </w:p>
        </w:tc>
        <w:tc>
          <w:tcPr>
            <w:tcW w:w="6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84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2018</w:t>
            </w: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103,005,866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(1,184,468)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1,497,928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635,067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947,846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130,504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1,078,350</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w w:val="92"/>
              </w:rPr>
              <w:t>Cumulative credit risk adjustment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(204,307)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66,829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(137,478)</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w w:val="96"/>
              </w:rPr>
              <w:t>Currency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(1,831)</w:t>
            </w: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Change in net unrealized loss on</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securities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r>
      <w:tr>
        <w:trPr>
          <w:trHeight w:val="264"/>
        </w:trPr>
        <w:tc>
          <w:tcPr>
            <w:tcW w:w="1840" w:type="dxa"/>
            <w:vAlign w:val="bottom"/>
          </w:tcPr>
          <w:p>
            <w:pPr>
              <w:ind w:left="40"/>
              <w:spacing w:after="0"/>
              <w:rPr>
                <w:sz w:val="20"/>
                <w:szCs w:val="20"/>
                <w:color w:val="auto"/>
              </w:rPr>
            </w:pPr>
            <w:r>
              <w:rPr>
                <w:rFonts w:ascii="Arial" w:cs="Arial" w:eastAsia="Arial" w:hAnsi="Arial"/>
                <w:sz w:val="13"/>
                <w:szCs w:val="13"/>
                <w:color w:val="auto"/>
              </w:rPr>
              <w:t>Redemption Note settlement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9,211</w:t>
            </w: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135,667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1,800</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(5,048)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68,590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4,827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4,828</w:t>
            </w:r>
          </w:p>
        </w:tc>
      </w:tr>
      <w:tr>
        <w:trPr>
          <w:trHeight w:val="148"/>
        </w:trPr>
        <w:tc>
          <w:tcPr>
            <w:tcW w:w="1840" w:type="dxa"/>
            <w:vAlign w:val="bottom"/>
          </w:tcPr>
          <w:p>
            <w:pPr>
              <w:ind w:left="40"/>
              <w:spacing w:after="0" w:line="148" w:lineRule="exact"/>
              <w:rPr>
                <w:sz w:val="20"/>
                <w:szCs w:val="20"/>
                <w:color w:val="auto"/>
              </w:rPr>
            </w:pPr>
            <w:r>
              <w:rPr>
                <w:rFonts w:ascii="Arial" w:cs="Arial" w:eastAsia="Arial" w:hAnsi="Arial"/>
                <w:sz w:val="13"/>
                <w:szCs w:val="13"/>
                <w:color w:val="auto"/>
              </w:rPr>
              <w:t>Shares repurchased by the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Company and held as treasury</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8"/>
        </w:trPr>
        <w:tc>
          <w:tcPr>
            <w:tcW w:w="1840" w:type="dxa"/>
            <w:vAlign w:val="bottom"/>
          </w:tcPr>
          <w:p>
            <w:pPr>
              <w:ind w:left="40"/>
              <w:spacing w:after="0"/>
              <w:rPr>
                <w:sz w:val="20"/>
                <w:szCs w:val="20"/>
                <w:color w:val="auto"/>
              </w:rPr>
            </w:pPr>
            <w:r>
              <w:rPr>
                <w:rFonts w:ascii="Arial" w:cs="Arial" w:eastAsia="Arial" w:hAnsi="Arial"/>
                <w:sz w:val="13"/>
                <w:szCs w:val="13"/>
                <w:color w:val="auto"/>
              </w:rPr>
              <w:t>shares</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(3,030)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(499)</w:t>
            </w: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declared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(51,448)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(189,769)</w:t>
            </w:r>
          </w:p>
        </w:tc>
      </w:tr>
      <w:tr>
        <w:trPr>
          <w:trHeight w:val="264"/>
        </w:trPr>
        <w:tc>
          <w:tcPr>
            <w:tcW w:w="18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4,661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4,661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5,484</w:t>
            </w:r>
          </w:p>
        </w:tc>
      </w:tr>
      <w:tr>
        <w:trPr>
          <w:trHeight w:val="242"/>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March 31, 2018</w:t>
            </w:r>
          </w:p>
        </w:tc>
        <w:tc>
          <w:tcPr>
            <w:tcW w:w="9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103,202,045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(1,184,967)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1,508,714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388,523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711,562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59,826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771,388</w:t>
            </w:r>
          </w:p>
        </w:tc>
      </w:tr>
      <w:tr>
        <w:trPr>
          <w:trHeight w:val="20"/>
        </w:trPr>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(as adjusted)</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132,525</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139,820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(110,173)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2,170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8,207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9,361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6,200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(Benefit) provision for doubtful accounts</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(4,166)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interest rate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 in Redemption Note fair value</w:t>
            </w: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69,331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15,847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7,840</w:t>
            </w: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37,043</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682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deposits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135,018</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(67,373)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414,584</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(145,632)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(77,514)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or maturity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80,957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intangible assets and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20,198</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(408,113)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(122,455)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121" w:right="239" w:bottom="0" w:gutter="0" w:footer="0" w:header="0"/>
        </w:sectPr>
      </w:pPr>
    </w:p>
    <w:p>
      <w:pPr>
        <w:ind w:left="38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note receivable from sale of ownership interest in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Repurchase of common stock</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for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Effect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beginning of period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cash flow disclosures: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4,828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(51,456)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(51,334)</w:t>
            </w:r>
          </w:p>
        </w:tc>
      </w:tr>
      <w:tr>
        <w:trPr>
          <w:trHeight w:val="276"/>
        </w:trPr>
        <w:tc>
          <w:tcPr>
            <w:tcW w:w="40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64"/>
        </w:trPr>
        <w:tc>
          <w:tcPr>
            <w:tcW w:w="40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1,673,605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(1,977,045)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(331,159)</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(8,489)</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(31,680)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(307,247)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(390,982)</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(3,949)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(791)</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01"/>
        </w:trPr>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(772,955)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(99,644)</w:t>
            </w:r>
          </w:p>
        </w:tc>
      </w:tr>
      <w:tr>
        <w:trPr>
          <w:trHeight w:val="270"/>
        </w:trPr>
        <w:tc>
          <w:tcPr>
            <w:tcW w:w="4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2,806,634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2,645,945</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2,033,679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8"/>
              <w:spacing w:after="0"/>
              <w:rPr>
                <w:sz w:val="20"/>
                <w:szCs w:val="20"/>
                <w:color w:val="auto"/>
              </w:rPr>
            </w:pPr>
            <w:r>
              <w:rPr>
                <w:rFonts w:ascii="Arial" w:cs="Arial" w:eastAsia="Arial" w:hAnsi="Arial"/>
                <w:sz w:val="16"/>
                <w:szCs w:val="16"/>
                <w:b w:val="1"/>
                <w:bCs w:val="1"/>
                <w:color w:val="auto"/>
              </w:rPr>
              <w:t>2,546,301</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13"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111,618</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135,418</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7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Liability settled with shares of common stock</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19,225</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Change in accounts and construction payables related to property and equipment</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14,870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40,896</w:t>
            </w:r>
          </w:p>
        </w:tc>
      </w:tr>
      <w:tr>
        <w:trPr>
          <w:trHeight w:val="33"/>
        </w:trPr>
        <w:tc>
          <w:tcPr>
            <w:tcW w:w="7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dividends payable on unvested restricted stock included in other accrued liabilities</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5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Dividends payable to noncontrolling interests</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138,337</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Macau and Wynn Palace resorts (collectively, the "Macau Operations"). In Las Vegas, Nevada, the Company operates and, with the exception of the retail space described below, owns 100% of Wynn Las Vegas, which it also refers to as its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273,000 square feet of casino space, eight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Palace features a luxury hotel tower with 1,706 guest rooms, suites and villas, approximately 424,000 square feet of casino space, 11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Wynn Las Vegas features two luxury hotel towers with a total of 4,748 guest rooms, suites and villas, approximately 192,000 square feet of casino space, 33 food and beverage outlets, approximately 290,000 square feet of meeting and convention space, approximately 106,000 square feet of retail space (the majority of which is owned and operated under a joint venture of which the Company owns 50.1%), as well as two theaters, three nightclubs and a beach club, and recreation and leisure facilities.</w:t>
      </w:r>
    </w:p>
    <w:p>
      <w:pPr>
        <w:spacing w:after="0" w:line="1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December 2016, the Company entered into a joint venture arrangement (the "Retail Joint Venture") with Crown Acquisitions Inc. ("Crown") to own and operate approximately 88,000 square feet of existing retail space. In November 2017, the Company contributed approximately 74,000 square feet of additional retail space to the Retail Joint Venture, the majority of which is currently under construction at Wynn Las Vegas. The Company expects to open the additional retail space in the second half of 2018. For more information on the Retail Joint Venture, see Note 12, "Retail Joint Venture."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Encore Boston Harbor in mid-2019.</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has begun site preparation and pre-construction activities for the re-development of the Wynn Las Vegas golf course, which the Company closed in the fourth quarter of 2017. Phase 1 of the project is expected to include a lagoon and additional meeting and convention space. The Company expects to open Phase 1 in the first quarter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except as otherwise described in Note 2 below, include only normal recurring adjustments) necessary for a fair presentation of the results for the interim periods have been made. The results for the three months ended March 31, 2018 are not necessarily indicative of results to be expected for the full fiscal year. These condensed consolidated financial statements should be read in</w:t>
      </w: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conjunction with the consolidated financial statements and notes thereto in the Company's Annual Report on Form 10-K for the year ended December 31, 2017.</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a variable interest entity ("VIE") for which the Company is determined to be the primary beneficiary. For information on the Company's VIEs, see Note 12, "Retail Joint Venture." All intercompany accounts and transactions have been eliminated. Certain prior period amounts have been reclassified to be consistent with current year presentation. Such reclassifications relate to the adoption of new accounting guidance as further described below in "Recently Adopted Accounting Standards" and had no effect on the previously reported net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25" w:lineRule="exact"/>
        <w:rPr>
          <w:sz w:val="20"/>
          <w:szCs w:val="20"/>
          <w:color w:val="auto"/>
        </w:rPr>
      </w:pPr>
    </w:p>
    <w:p>
      <w:pPr>
        <w:ind w:right="860" w:firstLine="432"/>
        <w:spacing w:after="0" w:line="308" w:lineRule="auto"/>
        <w:rPr>
          <w:sz w:val="20"/>
          <w:szCs w:val="20"/>
          <w:color w:val="auto"/>
        </w:rPr>
      </w:pPr>
      <w:r>
        <w:rPr>
          <w:rFonts w:ascii="Arial" w:cs="Arial" w:eastAsia="Arial" w:hAnsi="Arial"/>
          <w:sz w:val="17"/>
          <w:szCs w:val="17"/>
          <w:color w:val="auto"/>
        </w:rPr>
        <w:t>Cash and cash equivalents consist of highly liquid investments with original maturities of three months or less and include both U.S. dollar-denominated and foreign-currency denominated securities. Cash equivalents are carried at cost, which approximates fair value.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200" w:type="dxa"/>
            <w:vAlign w:val="bottom"/>
            <w:tcBorders>
              <w:bottom w:val="single" w:sz="8" w:color="CCEEFF"/>
            </w:tcBorders>
          </w:tcPr>
          <w:p>
            <w:pPr>
              <w:spacing w:after="0"/>
              <w:rPr>
                <w:sz w:val="16"/>
                <w:szCs w:val="16"/>
                <w:color w:val="auto"/>
              </w:rPr>
            </w:pPr>
          </w:p>
        </w:tc>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1,199,697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2,354,244</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831,965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450,230</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2,031,662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2,804,474</w:t>
            </w:r>
          </w:p>
        </w:tc>
        <w:tc>
          <w:tcPr>
            <w:tcW w:w="0" w:type="dxa"/>
            <w:vAlign w:val="bottom"/>
          </w:tcPr>
          <w:p>
            <w:pPr>
              <w:spacing w:after="0"/>
              <w:rPr>
                <w:sz w:val="1"/>
                <w:szCs w:val="1"/>
                <w:color w:val="auto"/>
              </w:rPr>
            </w:pPr>
          </w:p>
        </w:tc>
      </w:tr>
      <w:tr>
        <w:trPr>
          <w:trHeight w:val="27"/>
        </w:trPr>
        <w:tc>
          <w:tcPr>
            <w:tcW w:w="7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37"/>
        </w:trPr>
        <w:tc>
          <w:tcPr>
            <w:tcW w:w="79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2,033,679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2,806,634</w:t>
            </w:r>
          </w:p>
        </w:tc>
        <w:tc>
          <w:tcPr>
            <w:tcW w:w="0" w:type="dxa"/>
            <w:vAlign w:val="bottom"/>
          </w:tcPr>
          <w:p>
            <w:pPr>
              <w:spacing w:after="0"/>
              <w:rPr>
                <w:sz w:val="1"/>
                <w:szCs w:val="1"/>
                <w:color w:val="auto"/>
              </w:rPr>
            </w:pPr>
          </w:p>
        </w:tc>
      </w:tr>
      <w:tr>
        <w:trPr>
          <w:trHeight w:val="27"/>
        </w:trPr>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93"/>
              </w:rPr>
              <w:t>(1)</w:t>
            </w:r>
          </w:p>
        </w:tc>
        <w:tc>
          <w:tcPr>
            <w:tcW w:w="7740" w:type="dxa"/>
            <w:vAlign w:val="bottom"/>
            <w:vMerge w:val="restart"/>
          </w:tcPr>
          <w:p>
            <w:pPr>
              <w:ind w:left="20"/>
              <w:spacing w:after="0"/>
              <w:rPr>
                <w:sz w:val="20"/>
                <w:szCs w:val="20"/>
                <w:color w:val="auto"/>
              </w:rPr>
            </w:pPr>
            <w:r>
              <w:rPr>
                <w:rFonts w:ascii="Arial" w:cs="Arial" w:eastAsia="Arial" w:hAnsi="Arial"/>
                <w:sz w:val="14"/>
                <w:szCs w:val="14"/>
                <w:color w:val="auto"/>
              </w:rPr>
              <w:t>Cash consists of cash on hand and bank deposits.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77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0" w:type="dxa"/>
            <w:vAlign w:val="bottom"/>
            <w:vMerge w:val="continue"/>
          </w:tcPr>
          <w:p>
            <w:pPr>
              <w:spacing w:after="0"/>
              <w:rPr>
                <w:sz w:val="24"/>
                <w:szCs w:val="24"/>
                <w:color w:val="auto"/>
              </w:rPr>
            </w:pPr>
          </w:p>
        </w:tc>
        <w:tc>
          <w:tcPr>
            <w:tcW w:w="7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7740" w:type="dxa"/>
            <w:vAlign w:val="bottom"/>
          </w:tcPr>
          <w:p>
            <w:pPr>
              <w:ind w:left="20"/>
              <w:spacing w:after="0"/>
              <w:rPr>
                <w:sz w:val="20"/>
                <w:szCs w:val="20"/>
                <w:color w:val="auto"/>
              </w:rPr>
            </w:pPr>
            <w:r>
              <w:rPr>
                <w:rFonts w:ascii="Arial" w:cs="Arial" w:eastAsia="Arial" w:hAnsi="Arial"/>
                <w:sz w:val="14"/>
                <w:szCs w:val="14"/>
                <w:color w:val="auto"/>
              </w:rPr>
              <w:t>Cash equivalents consist of bank time deposits and money market funds.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7740" w:type="dxa"/>
            <w:vAlign w:val="bottom"/>
          </w:tcPr>
          <w:p>
            <w:pPr>
              <w:ind w:left="20"/>
              <w:spacing w:after="0"/>
              <w:rPr>
                <w:sz w:val="20"/>
                <w:szCs w:val="20"/>
                <w:color w:val="auto"/>
              </w:rPr>
            </w:pPr>
            <w:r>
              <w:rPr>
                <w:rFonts w:ascii="Arial" w:cs="Arial" w:eastAsia="Arial" w:hAnsi="Arial"/>
                <w:sz w:val="14"/>
                <w:szCs w:val="14"/>
                <w:color w:val="auto"/>
              </w:rPr>
              <w:t>Restricted cash consists of cash held in trust in accordance with WML's share award plan.</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Investment securities consist of domestic and foreign short-term and long-term investments in corporate bonds reported at fair value, with unrealized gains and losses, net of tax, reported in other comprehensive income (loss). Short-term investments have a maturity date of less than one year and long-term investments are those with a maturity date greater than one year. The Company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2018 and December 31, 2017, approximately 84.6% and 81.7%,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w:t>
      </w: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1" w:right="29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business conditions. Accounts are written off when management deems them to be uncollectible. Recoveries of accounts previously written off are recorded when received.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22,487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58,577</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259,393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254,728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228,226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224,128</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Derivative financial instruments are used to manage interest rate and foreign currency exposures. These derivative financial instruments include interest rate swaps and foreign currency forward contracts. The fair value of derivative financial instruments is recognized as an asset or liability at each balance sheet date, with changes in fair value affecting net income (loss) as the Company's derivative financial instruments do not qualify for hedge accounting.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Note</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As of December 31, 2017, the fair value of the Redemption Note was $1.88 billion.</w:t>
      </w:r>
    </w:p>
    <w:p>
      <w:pPr>
        <w:spacing w:after="0" w:line="15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8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litigation with Aruze, Universal Entertainment Corporation and Mr. Kazuo Okada (collectively, the "Okada Parties") (see Note 13,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8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revenue contracts with customers consist of casino wagers and sales of rooms, food and beverage, entertainment, retail and other goods and services.</w:t>
      </w:r>
    </w:p>
    <w:p>
      <w:pPr>
        <w:spacing w:after="0" w:line="8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w:t>
      </w: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100"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8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Company offers loyalty programs at both its Macau Operations and its Las Vegas Operations. Under the program at its Macau Operations, customers earn points based on their level of table games and slots play, which can be redeemed for free play, gifts and complimentary goods or services provided by the Company. Under the program at its Las Vegas Operations, customers earn points based on their level of slots play, which can be redeemed for free play. For casino transactions that include points earned under the Company’s loyalty programs, the Company defers a portion of the revenue by recording the estimated standalone selling price of the earned points that are expected to be redeemed as a liability. Upon redemption of the points for Company-owned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8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8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Entertainment, retail and other revenue also includes lease revenue, which is recognized on a time proportion basis over the lease term. Contingent lease revenue is recognized when the right to receive such revenue is established according to the lease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which taxes are recorded as casino expenses in the accompanying Condensed Consolidated Statements of Operations. These taxes totaled $610.0 million and $496.7 million for the three months ended March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Loss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Comprehensive income (loss) includes net income (loss) and all other non-stockholder changes in equity, or other comprehensive income (loss). Components of the Company's comprehensive income (loss) are reported in the accompanying Condensed Consolidated Statements of Stockholders' Equity and Condensed Consolidated Statements of Comprehensive Income (Loss).</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Redemption Note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Amounts reclassified to net loss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9,182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60" w:right="60" w:hanging="252"/>
        <w:spacing w:after="0" w:line="269" w:lineRule="auto"/>
        <w:tabs>
          <w:tab w:leader="none" w:pos="22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On January 1, 2018, the Company adopted Accounting Standards Update ("ASU") No. 2016-01,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 adjustment to the beginning balance represents the cumulative effect of the change in instrument-specific credit risk on the Redemption Note. See "Recently Adopted Accounting Standards—Financial Instruments" below for additional information.</w:t>
      </w:r>
    </w:p>
    <w:p>
      <w:pPr>
        <w:spacing w:after="0" w:line="1" w:lineRule="exact"/>
        <w:rPr>
          <w:rFonts w:ascii="Arial" w:cs="Arial" w:eastAsia="Arial" w:hAnsi="Arial"/>
          <w:sz w:val="13"/>
          <w:szCs w:val="13"/>
          <w:color w:val="auto"/>
        </w:rPr>
      </w:pPr>
    </w:p>
    <w:p>
      <w:pPr>
        <w:ind w:left="260" w:right="140" w:hanging="252"/>
        <w:spacing w:after="0" w:line="255" w:lineRule="auto"/>
        <w:tabs>
          <w:tab w:leader="none" w:pos="221"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amounts reclassified to net loss include $1.7 million for other-than-temporary impairment losses and $0.9 million in realized losses, both related to investment securities, and a $1.5 million realized gain related to the repayment of the Redemption Note.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18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prices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little or no market data exists, therefore requiring an entity to develop its own assumptions.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2"/>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831,965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2"/>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831,081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129,702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6"/>
          </w:tcPr>
          <w:p>
            <w:pPr>
              <w:jc w:val="center"/>
              <w:ind w:left="882"/>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450,230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2"/>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439,030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1,879,058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1,879,058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Standard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606)</w:t>
      </w:r>
      <w:r>
        <w:rPr>
          <w:rFonts w:ascii="Arial" w:cs="Arial" w:eastAsia="Arial" w:hAnsi="Arial"/>
          <w:sz w:val="18"/>
          <w:szCs w:val="18"/>
          <w:color w:val="auto"/>
        </w:rPr>
        <w:t>, which amends the existing revenue recognition guidance and creates a new topic for Revenue from Contracts with Customers. The guidance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an entity should recognize revenue to depict the transfer of promised goods or services to customers in an amount that reflects the consideration to which the entity expects to be entitled in exchange for those goods and services. This guidance also substantially revises required interim and annual disclosures. The Company adopted the guidance on January 1, 2018, which resulted in the following significant impacts on its Condensed Consolidated Financial Statements:</w:t>
      </w:r>
    </w:p>
    <w:p>
      <w:pPr>
        <w:spacing w:after="0" w:line="110" w:lineRule="exact"/>
        <w:rPr>
          <w:sz w:val="20"/>
          <w:szCs w:val="20"/>
          <w:color w:val="auto"/>
        </w:rPr>
      </w:pPr>
    </w:p>
    <w:p>
      <w:pPr>
        <w:ind w:left="680" w:right="160" w:hanging="321"/>
        <w:spacing w:after="0" w:line="258"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promotional allowances line item was eliminated from the Condensed Consolidated Statements of Operations with the majority of the amount being netted against casino revenues.</w:t>
      </w:r>
    </w:p>
    <w:p>
      <w:pPr>
        <w:spacing w:after="0" w:line="1" w:lineRule="exact"/>
        <w:rPr>
          <w:rFonts w:ascii="Arial" w:cs="Arial" w:eastAsia="Arial" w:hAnsi="Arial"/>
          <w:sz w:val="18"/>
          <w:szCs w:val="18"/>
          <w:color w:val="auto"/>
        </w:rPr>
      </w:pPr>
    </w:p>
    <w:p>
      <w:pPr>
        <w:ind w:left="680" w:right="120" w:hanging="321"/>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cost of providing complimentary goods or services will no longer be allocated primarily to casino expenses from other operating departments as the new guidance requires revenues and expenses associated with providing complimentary goods or services to be classified based on the goods or services provided.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portion of junket commissions previously recorded as a casino expense is now recorded as a reduction of casino revenue.</w:t>
      </w:r>
    </w:p>
    <w:p>
      <w:pPr>
        <w:spacing w:after="0" w:line="9" w:lineRule="exact"/>
        <w:rPr>
          <w:rFonts w:ascii="Arial" w:cs="Arial" w:eastAsia="Arial" w:hAnsi="Arial"/>
          <w:sz w:val="18"/>
          <w:szCs w:val="18"/>
          <w:color w:val="auto"/>
        </w:rPr>
      </w:pPr>
    </w:p>
    <w:p>
      <w:pPr>
        <w:ind w:left="680" w:right="220" w:hanging="321"/>
        <w:spacing w:after="0" w:line="295" w:lineRule="auto"/>
        <w:tabs>
          <w:tab w:leader="none" w:pos="680" w:val="left"/>
        </w:tabs>
        <w:numPr>
          <w:ilvl w:val="0"/>
          <w:numId w:val="5"/>
        </w:numPr>
        <w:rPr>
          <w:rFonts w:ascii="Arial" w:cs="Arial" w:eastAsia="Arial" w:hAnsi="Arial"/>
          <w:sz w:val="19"/>
          <w:szCs w:val="19"/>
          <w:color w:val="auto"/>
        </w:rPr>
      </w:pPr>
      <w:r>
        <w:rPr>
          <w:rFonts w:ascii="Arial" w:cs="Arial" w:eastAsia="Arial" w:hAnsi="Arial"/>
          <w:sz w:val="17"/>
          <w:szCs w:val="17"/>
          <w:color w:val="auto"/>
        </w:rPr>
        <w:t>Mandatory service charges on food and beverage are now recorded on a gross basis with the amount received from the customer recorded as food and beverage revenue and the corresponding amount paid to employees recorded as food and beverage expense.</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prior period amounts have been reclassified to reflect the full retrospective adoption of the guidance. There was no impact on the Company’s financial condition, operating income or net income.</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table below provides a reconciliation of amounts previously reported and the resulting impacts from the adoption of the new revenue recognition guidance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5"/>
              </w:rPr>
              <w:t>Three Months Ended March 31, 2017</w:t>
            </w:r>
          </w:p>
        </w:tc>
        <w:tc>
          <w:tcPr>
            <w:tcW w:w="158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As Previously Reported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Adoption of ASC 606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1,587,236</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1,423,757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(111,556)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111,556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1,475,680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1,423,757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1,225,750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1,173,827</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249,930</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249,930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824-10):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requires equity investments to be measured at fair value with changes in fair value recognized through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Company adopted this guidance on January 1, 2018, which resulted in a $9.2 million cumulative unrealized loss, net of tax, being recorded to accumulated other comprehensive loss with a corresponding increase to retained earnings. The adjustment represents the portion of the cumulative change in the Redemption Note fair value resulting from the change in the instrument-specific credit risk previously included in other income (expense) on the Condensed Consolidated Statements of Operations.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 Restricted Cash (Topic 230)</w:t>
      </w:r>
      <w:r>
        <w:rPr>
          <w:rFonts w:ascii="Arial" w:cs="Arial" w:eastAsia="Arial" w:hAnsi="Arial"/>
          <w:sz w:val="16"/>
          <w:szCs w:val="16"/>
          <w:color w:val="auto"/>
        </w:rPr>
        <w:t>, which amends the existing guidance relating to the disclosure of restricted cash and restricted cash equivalents on the statement of cash flows. The ASU requires that amounts generally described as restricted cash or restricted cash equivalents should be included with cash and cash equivalents when reconciling the beginning-of-period and end-of-period total amounts shown on the statement of cash flows. The Company adopted this guidance on January 1, 2018 on a retrospective basis and the updated disclosures are reflected for the periods presented in the Condensed Consolidated Statements of Cash Flows. For the three months ended March 31, 2017, the change in restricted cash of $189.9 million was previously reported within net cash used in financing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amends the existing guidance relating to the definition of a lease, recognition of lease assets and lease liabilities on the balance sheet, and the disclosure of key information about leasing activities. Under the new guidance, lessees will be required to recognize a right-of-use asset and lease liability on the balance sheet, measured on a discounted basis. Operating leases are currently not recognized on the balance sheet. Lessor accounting will remain largely unchanged, other than certain targeted improvements intended to align lessor accounting with the lessee accounting model and with the updated revenue recognition guidance. Lessees and lessors are required to apply a modified retrospective transition approach for leases existing at the beginning of the earliest comparative period presented in the adoption-period financial statements. The modified retrospective approach includes a number of optional practical expedients that entities may elect to apply. The ASU will be effective for the Company on January 1, 2019, with early adoption permitted. The Company is currently assessing the impact the guidance will have on its Consolidated Financial Statements and related disclosures.</w:t>
      </w: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(loss) attributable to Wynn Resorts, Limited by the weighted average number of common shares outstanding during the period. Diluted EPS is computed by dividing net income (loss)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5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33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b w:val="1"/>
                <w:bCs w:val="1"/>
                <w:color w:val="auto"/>
                <w:w w:val="99"/>
              </w:rPr>
              <w:t>Net income (loss) attributable to Wynn Resorts, Limited</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(204,307)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b w:val="1"/>
                <w:bCs w:val="1"/>
                <w:color w:val="auto"/>
              </w:rPr>
              <w:t>100,816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102,570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101,753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102,570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102,069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66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w w:val="98"/>
              </w:rPr>
              <w:t>Net income (loss) attributable to Wynn Resorts, Limited per common share, basic</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5"/>
            <w:vMerge w:val="restart"/>
          </w:tcPr>
          <w:p>
            <w:pPr>
              <w:ind w:left="280"/>
              <w:spacing w:after="0"/>
              <w:rPr>
                <w:sz w:val="20"/>
                <w:szCs w:val="20"/>
                <w:color w:val="auto"/>
              </w:rPr>
            </w:pPr>
            <w:r>
              <w:rPr>
                <w:rFonts w:ascii="Arial" w:cs="Arial" w:eastAsia="Arial" w:hAnsi="Arial"/>
                <w:sz w:val="18"/>
                <w:szCs w:val="18"/>
                <w:color w:val="auto"/>
                <w:w w:val="96"/>
              </w:rPr>
              <w:t>Net income (loss) attributable to Wynn Resorts, Limited per common share, diluted</w:t>
            </w: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gridSpan w:val="5"/>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gridSpan w:val="3"/>
          </w:tcPr>
          <w:p>
            <w:pPr>
              <w:spacing w:after="0"/>
              <w:rPr>
                <w:sz w:val="5"/>
                <w:szCs w:val="5"/>
                <w:color w:val="auto"/>
              </w:rPr>
            </w:pPr>
          </w:p>
        </w:tc>
        <w:tc>
          <w:tcPr>
            <w:tcW w:w="1580" w:type="dxa"/>
            <w:vAlign w:val="bottom"/>
            <w:tcBorders>
              <w:bottom w:val="single" w:sz="8" w:color="CCEEFF"/>
            </w:tcBorders>
            <w:gridSpan w:val="3"/>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gridSpan w:val="8"/>
          </w:tcPr>
          <w:p>
            <w:pPr>
              <w:ind w:left="280"/>
              <w:spacing w:after="0"/>
              <w:rPr>
                <w:sz w:val="20"/>
                <w:szCs w:val="20"/>
                <w:color w:val="auto"/>
              </w:rPr>
            </w:pPr>
            <w:r>
              <w:rPr>
                <w:rFonts w:ascii="Arial" w:cs="Arial" w:eastAsia="Arial" w:hAnsi="Arial"/>
                <w:sz w:val="18"/>
                <w:szCs w:val="18"/>
                <w:color w:val="auto"/>
                <w:w w:val="92"/>
              </w:rPr>
              <w:t>Anti-dilutive stock options and restricted stock excluded from the calculation of diluted net income per share</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  Investment Securities</w:t>
            </w: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40" w:type="dxa"/>
            <w:vAlign w:val="bottom"/>
            <w:gridSpan w:val="2"/>
          </w:tcPr>
          <w:p>
            <w:pPr>
              <w:ind w:left="440"/>
              <w:spacing w:after="0"/>
              <w:rPr>
                <w:sz w:val="20"/>
                <w:szCs w:val="20"/>
                <w:color w:val="auto"/>
              </w:rPr>
            </w:pPr>
            <w:r>
              <w:rPr>
                <w:rFonts w:ascii="Arial" w:cs="Arial" w:eastAsia="Arial" w:hAnsi="Arial"/>
                <w:sz w:val="18"/>
                <w:szCs w:val="18"/>
                <w:color w:val="auto"/>
                <w:w w:val="91"/>
              </w:rPr>
              <w:t>Investment securities consisted of the following (in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336"/>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As of March 31, 2018</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340" w:type="dxa"/>
            <w:vAlign w:val="bottom"/>
          </w:tcPr>
          <w:p>
            <w:pPr>
              <w:spacing w:after="0"/>
              <w:rPr>
                <w:sz w:val="12"/>
                <w:szCs w:val="12"/>
                <w:color w:val="auto"/>
              </w:rPr>
            </w:pPr>
          </w:p>
        </w:tc>
        <w:tc>
          <w:tcPr>
            <w:tcW w:w="126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and foreign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129,702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129,702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and foreign corporate bonds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328,747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327,455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 Company assesses for indicators of other-than-temporary impairment on a quarterly basis. The Company determines whether (i) it does not have the intent to sell any of these investments, and (ii) it will not likely be required to sell these investments prior to the recovery of the amortized cost. During the three months ended March 31, 2018, the Company determined it had an other-than-temporary impairment and recorded a loss of $1.7 million.</w:t>
      </w:r>
    </w:p>
    <w:p>
      <w:pPr>
        <w:spacing w:after="0" w:line="14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these investment securities as of March 31, 2018,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29,208</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two years</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73,588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Due after two years through three years</w:t>
            </w:r>
          </w:p>
        </w:tc>
        <w:tc>
          <w:tcPr>
            <w:tcW w:w="4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26,906</w:t>
            </w: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129,702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7,584,099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7,582,611</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1,102,108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853,738</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2,247,415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2,211,974</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312,925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314,068</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158,840</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1,242,900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1,016,207</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12,648,287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12,137,438</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(3,760,444)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(3,638,682)</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8,887,843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8,498,756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As of March 31, 2018 and December 31, 2017, construction in progress consisted primarily of costs capitalized, including interest, for the construction of Encore Boston Harbor.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acquisition</w:t>
      </w:r>
    </w:p>
    <w:p>
      <w:pPr>
        <w:spacing w:after="0" w:line="225"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During the first quarter of 2018, the Company acquired approximately 38 acres of land on the Las Vegas Strip directly across from Wynn Las Vegas for $336.2 million, approximately 16 acres of which are subject to a ground lease that expires in 2097. The ground lease has annual payments of $3.8 million for the next five years until 2023 and total payments of $370.7 million thereafter. The Company expects to use this land for future development.</w:t>
      </w:r>
    </w:p>
    <w:p>
      <w:pPr>
        <w:spacing w:after="0" w:line="14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accordance with asset acquisition accounting standards, the Company allocated the purchase price to the identifiable assets acquired based on the relative fair value of each component. As a result, the Company recorded $89.1 million of the purchase price as a definite-lived intangible asset, which represents the favorable terms of the assumed ground lease relative to the market. The Company will amortize this amount to rent expense on a straight-line basis over the remaining term of the ground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Term Loan Facility, due 2021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2,298,798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Revolving Credit Facility, due 2020</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623,401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7/8% Senior Notes, due 2024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2027</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gridSpan w:val="2"/>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Bridge Facility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America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Term Loan Facility, due 2021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Revolving Credit Facility, due 2021</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2025</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Redemption Price Promissory Note, due 2022</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9,478,473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9,785,241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(99,231)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Redemption Note fair value adjustment</w:t>
            </w:r>
          </w:p>
        </w:tc>
        <w:tc>
          <w:tcPr>
            <w:tcW w:w="260" w:type="dxa"/>
            <w:vAlign w:val="bottom"/>
            <w:shd w:val="clear" w:color="auto" w:fill="CCEEFF"/>
          </w:tcPr>
          <w:p>
            <w:pPr>
              <w:spacing w:after="0"/>
              <w:rPr>
                <w:sz w:val="21"/>
                <w:szCs w:val="21"/>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(57,384)</w:t>
            </w:r>
          </w:p>
        </w:tc>
        <w:tc>
          <w:tcPr>
            <w:tcW w:w="0" w:type="dxa"/>
            <w:vAlign w:val="bottom"/>
          </w:tcPr>
          <w:p>
            <w:pPr>
              <w:spacing w:after="0"/>
              <w:rPr>
                <w:sz w:val="1"/>
                <w:szCs w:val="1"/>
                <w:color w:val="auto"/>
              </w:rPr>
            </w:pPr>
          </w:p>
        </w:tc>
      </w:tr>
      <w:tr>
        <w:trPr>
          <w:trHeight w:val="243"/>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9,356,393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9,628,626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(62,690)</w:t>
            </w: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9,234,679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9,565,936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Related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collectively, the "Wynn Macau Credit Facilities"). The borrower is Wynn Resorts (Macau) S.A. ("Wynn Macau SA"), an indirect wholly owned subsidiary of WML. As of March 31, 2018 and December 31, 2017, the interest rate was 3.24% and 3.16%, respectively. As of March 31, 2018, the Company had $123.7 million of available borrowing capacity under the Wynn Macau Senior Revolving Credit Facility.</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Finance Revolving Credit Facility</w:t>
      </w:r>
    </w:p>
    <w:p>
      <w:pPr>
        <w:spacing w:after="0" w:line="18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The Company's credit facilities include a HK$3.87 billion (approximately $493.3 million) cash-collateralized revolving credit facility ("WML Finance Credit Facility") under which WML Finance I, Limited, an indirect wholly owned subsidiary of WML, is the borrower. The WML Finance Credit Facility bears interest initially at 1.50% per annum, such rate calculated as the interest rate paid by the lender as the deposit bank for the cash collateral deposited and pledged with the lender plus a margin of 0.40%. As of March 31, 2018, the Company had no borrowings under the WML Finance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Corporate Related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Facility</w:t>
      </w:r>
    </w:p>
    <w:p>
      <w:pPr>
        <w:spacing w:after="0" w:line="225"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On March 28, 2018, the Company entered into a credit agreement to provide for a 364-day term loan (the "Bridge Facility"). The Bridge Facility bears interest at either LIBOR plus 2.75% per annum or base rate plus 1.75% per annum. As the Company had the intent and ability as of March 31, 2018 to settle the Bridge Facility by issuing equity, the Company classified the Bridge Facility as long-term as of March 31, 2018.</w:t>
      </w:r>
    </w:p>
    <w:p>
      <w:pPr>
        <w:spacing w:after="0" w:line="16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April 3, 2018, the Company used net proceeds from newly issued shares of its common stock to repay all amounts borrowed under the Bridge Facility, together with all interest accrued thereon, and the credit agreement terminated pursuant to its terms. See Note 7, "Stockholders' Equity" for additional information on the Company's newly issued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March 30, 2018, the Company used the net proceeds from the Bridge Facility, along with cash on hand and borrowings under its WA Senior Revolving Credit Facility (defined below) to repay the Redemption Note principal amount of $1.94 billion pursuant to the Settlement Agreement and Mutual Release ("Settlement Agreement"). See Note 13, "Commitments and Contingencies—Litigation—Redemption Action and Counterclaim" for additional information on the Settlement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The borrower is Wynn America, LLC, an indirect wholly owned subsidiary of the Company. As of March 31, 2018 and December 31, 2017, the interest rate was 3.63% and 3.32%, respectively. As of March 31, 2018, the Company had available borrowing capacity of $107.3 million, net of $17.7 million in outstanding letters of credit, under the WA Senior Revolving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Senior Notes</w:t>
      </w:r>
    </w:p>
    <w:p>
      <w:pPr>
        <w:spacing w:after="0" w:line="22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During the three months ended March 31, 2018, Wynn Resorts purchased $20.0 million principal amount of the 5 1/2% Senior Notes due 2025 (the "2025 Notes") and $20 million principal amount of the 5 1/4% Senior Notes due 2027 (the "2027 Notes") through open market purchases. As of March 31, 2018, Wynn Resorts holds this debt and has not contributed it to its wholly owned subsidiary, Wynn Las Vegas, LLC.</w:t>
      </w:r>
    </w:p>
    <w:p>
      <w:pPr>
        <w:spacing w:after="0" w:line="16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March 20, 2018, Wynn Las Vegas, LLC and Wynn Las Vegas Capital Corp. (the "Issuers"), wholly owned subsidiaries of the Company, executed a second supplemental indenture (the "Supplemental Indenture") to the Indenture dated May 22, 2013, as supplemented by that certain Supplemental Indenture dated as of February 18, 2015 (the "Indenture"), relating to the Issuers’ 4 1/4% Senior Notes due 2023 (the "2023 Notes"). The Supplemental Indenture amended the Indenture by conforming the definition of "Change of Control" relating to ownership of equity interests in the Company in the Indenture to the terms of the indentures governing the Issuers’ other outstanding notes. As part of executing the Supplemental Indenture, the Issuers paid $25.0 million to consenting holders of the 2023 Notes.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believes that as of March 31, 2018,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estimated fair value of the Company's long-term debt, excluding the Redemption Note, as of March 31, 2018 and December 31, 2017 was $9.39 billion and $7.95 billion, respectively, compared to its carrying value, excluding debt issuance costs and original issue discount and original issue premium, of $9.48 billion and $7.85 billion. The estimated fair value of the Company's long-term debt, excluding the Redemption Note, is based on recent trades, if available, and indicative pricing from market information (Level 2 inputs). See Note 2, "Summary of Significant Accounting Policies" for discussion of the estimated fair value of the Redemption Note as of December 31, 2017.</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On April 3, 2018, the Company completed a registered public offering (the "Equity Offering") of 5,300,000 newly issued shares of its common stock, par value $0.01 per share, to an affiliate of Galaxy Entertainment Group Limited at a price of $175 per share for net proceeds of approximately $915.8 million, after deducting underwriting discounts but before deducting the estimated offering expenses. The Company used the net proceeds from the Equity Offering to repay all amounts borrowed under the Bridge Facility, together with all interest accrued thereon, and used the remaining net proceeds to repay certain other indebtedness of the Company in April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During the three months ended March 31, 2018 and 2017, the Company paid a cash dividend of $0.50 per share and recorded $51.4 million and $50.8 million as a reduction of retained earnings from cash dividends declared,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April 24, 2018, the Company announced a cash dividend of $0.75 per share, payable on May 29, 2018, to stockholders of record as of May 17,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On March 23, 2018, WML announced a cash dividend of HK$0.75 per share for a total of $497.1 million payable on April 25, 2018 to stockholders of record as of April 16, 2018. The Company's share of this dividend will be $358.8 million. As of March 31, 2018, the Company recorded a dividend payable and corresponding reduction to noncontrolling interests of $138.3 million.</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Company operates integrated resorts in Macau and Las Vegas and generates revenues at its properties by providing the following types of services and products: gaming, rooms, food and beverage and entertainment, retail and other. Revenues disaggregated by type of revenue and geographic location are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Macau Operations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Las Vegas Operations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1,242,139</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68,853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121,457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190,310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172,222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61,354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49,553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110,907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1,284,087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431,491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1,715,578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989,740</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53,195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115,629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168,824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164,533</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47,762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52,898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100,660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1,005,022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418,735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1,423,757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right="220" w:hanging="252"/>
        <w:spacing w:after="0" w:line="273" w:lineRule="auto"/>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See Note 2, "Summary of Significant Accounting Policies—Revenue Recognition" for lease revenue accounting policy details.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Contract Liabilities</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Increase/</w:t>
            </w:r>
          </w:p>
        </w:tc>
      </w:tr>
      <w:tr>
        <w:trPr>
          <w:trHeight w:val="192"/>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(decrease)</w:t>
            </w:r>
          </w:p>
        </w:tc>
        <w:tc>
          <w:tcPr>
            <w:tcW w:w="200" w:type="dxa"/>
            <w:vAlign w:val="bottom"/>
          </w:tcPr>
          <w:p>
            <w:pPr>
              <w:spacing w:after="0"/>
              <w:rPr>
                <w:sz w:val="16"/>
                <w:szCs w:val="16"/>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(decrease)</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 xml:space="preserve">Casino outstanding chips and front money deposits </w:t>
            </w:r>
            <w:r>
              <w:rPr>
                <w:rFonts w:ascii="Arial" w:cs="Arial" w:eastAsia="Arial" w:hAnsi="Arial"/>
                <w:sz w:val="14"/>
                <w:szCs w:val="14"/>
                <w:color w:val="auto"/>
                <w:w w:val="91"/>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983,538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991,957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679,192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546,487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132,705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49,692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52,253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47,520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45,696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1,824</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7,942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1,096</w:t>
            </w: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1,063,078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1,075,396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745,271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612,158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133,113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140" w:hanging="252"/>
        <w:spacing w:after="0" w:line="358"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Casino outstanding chips represent amounts owed to junkets and customers for chips in their possession and casino front money deposits represent funds deposited by customers before gaming play occurs. These amounts are included in customer deposits on the Condensed Consolidated Balance Sheets and may be recognized as revenue or will be redeemed for cash in the future.</w:t>
      </w:r>
    </w:p>
    <w:p>
      <w:pPr>
        <w:spacing w:after="0" w:line="74" w:lineRule="exact"/>
        <w:rPr>
          <w:rFonts w:ascii="Arial" w:cs="Arial" w:eastAsia="Arial" w:hAnsi="Arial"/>
          <w:sz w:val="12"/>
          <w:szCs w:val="12"/>
          <w:color w:val="auto"/>
        </w:rPr>
      </w:pPr>
    </w:p>
    <w:p>
      <w:pPr>
        <w:ind w:left="260" w:right="80" w:hanging="252"/>
        <w:spacing w:after="0" w:line="286"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13" w:lineRule="exact"/>
        <w:rPr>
          <w:rFonts w:ascii="Arial" w:cs="Arial" w:eastAsia="Arial" w:hAnsi="Arial"/>
          <w:sz w:val="13"/>
          <w:szCs w:val="13"/>
          <w:color w:val="auto"/>
        </w:rPr>
      </w:pPr>
    </w:p>
    <w:p>
      <w:pPr>
        <w:ind w:left="260" w:right="26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spacing w:after="0" w:line="119" w:lineRule="exact"/>
        <w:rPr>
          <w:rFonts w:ascii="Arial" w:cs="Arial" w:eastAsia="Arial" w:hAnsi="Arial"/>
          <w:sz w:val="14"/>
          <w:szCs w:val="14"/>
          <w:color w:val="auto"/>
        </w:rPr>
      </w:pPr>
    </w:p>
    <w:p>
      <w:pPr>
        <w:ind w:left="260" w:right="18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Rooms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w:t>
            </w:r>
          </w:p>
        </w:tc>
      </w:tr>
      <w:tr>
        <w:trPr>
          <w:trHeight w:val="27"/>
        </w:trPr>
        <w:tc>
          <w:tcPr>
            <w:tcW w:w="7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7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4,937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6,104</w:t>
            </w: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8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7,304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8,207</w:t>
            </w:r>
          </w:p>
        </w:tc>
      </w:tr>
      <w:tr>
        <w:trPr>
          <w:trHeight w:val="27"/>
        </w:trPr>
        <w:tc>
          <w:tcPr>
            <w:tcW w:w="7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7,304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8,209</w:t>
            </w:r>
          </w:p>
        </w:tc>
      </w:tr>
      <w:tr>
        <w:trPr>
          <w:trHeight w:val="27"/>
        </w:trPr>
        <w:tc>
          <w:tcPr>
            <w:tcW w:w="7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For the three months ended March 31, 2018 and 2017, the Company recorded $1.8 million and $4.9 million, respectively, of stock-based compensation expense associated with these awards. The Company settled the obligation for the 2017 annual incentive bonus by issuing vested shares in December 2017 and January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For the three months ended March 31, 2018 and 2017, the Company recorded an income tax benefit of $111.0 million and an income tax expense of $2.9 million, respectively. The 2018 income tax benefit primarily related to the settlement of the Redemption Note. The 2017 income tax expense primarily related to an increase in the domestic valuation allowance for U.S. foreign tax credits ("FTCs").</w:t>
      </w:r>
    </w:p>
    <w:p>
      <w:pPr>
        <w:spacing w:after="0" w:line="181"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The Company recorded valuation allowances on certain of its U.S. and foreign deferred tax assets. In assessing the need for a valuation allowance, the Company considered whether it is more likely than not that the deferred tax assets will be realized. The ultimate realization of deferred tax assets is dependent upon the generation of future taxable income. In the assessment of the valuation allowance, appropriate consideration was given to all positive and negative evidence including recent operating profitability, forecast of future earnings and the duration of statutory carryforward periods.</w:t>
      </w:r>
    </w:p>
    <w:p>
      <w:pPr>
        <w:spacing w:after="0" w:line="15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Wynn Macau SA has received a five-year exemption from complementary tax on profits generated by gaming operations through December 31, 2020. For the three months ended March 31, 2018 and 2017, the Company was exempt from the payment of such taxes totaling $26.9 million and $12.7 million, respectively.</w:t>
      </w:r>
    </w:p>
    <w:p>
      <w:pPr>
        <w:spacing w:after="0" w:line="181"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Wynn Macau SA also entered into an agreement with the Macau government that provides for an annual payment of 12.8 million Macau patacas (approximately $1.6 million) as complementary tax otherwise due by stockholders of Wynn Macau SA on dividend distributions through 2020.</w:t>
      </w:r>
    </w:p>
    <w:p>
      <w:pPr>
        <w:spacing w:after="0" w:line="12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December 2017, the U.S. Tax Cuts and Jobs Act ("U.S. tax reform") was enacted. Also in December 2017, the SEC staff issued Staff Accounting Bulletin No. 118, Income Tax Accounting Implications of the Tax Cuts and Jobs Act, which allowed the Company to record provisional amounts during a measurement period not to extend beyond one year from the enactment date. For the year ended December 31, 2017, the Company recorded a provisional net tax benefit of $339.9 million. This provisional net tax benefit was based on the Company's initial analysis of the U.S. tax reform. The Company continues to collect additional information and evaluate any regulatory guidance as it is issued and may adjust the provisional net tax benefit over the next nine months. Any subsequent adjustment to this amount will be recorded to the current income tax expense in the period in which the amount is determined.</w:t>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6, 2018, Stephen A. Wynn, former Chairman of the Board of Directors and Chief Executive Officer ("Mr. Wynn") resigned as Chairman of the Board of Directors and Chief Executive Officer of Wynn Resorts and on February 15, 2018, Mr. Wynn entered into a separation agreement with the Company specifying the terms of his termination of service with the Company (the "Separation Agreement"). The Separation Agreement terminated Mr. Wynn’s employment agreement with the Company and confirmed that Mr. Wynn is not entitled to any severance payment or other compensation from the Company under his employment agreement.</w:t>
      </w:r>
    </w:p>
    <w:p>
      <w:pPr>
        <w:spacing w:after="0" w:line="188"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Under the Separation Agreement, Mr. Wynn agreed not to compete against the Company for a period of two years and to provide reasonable cooperation and assistance to the Company in connection with any private litigation or arbitration and to the Board of Directors of the Company or any committee of the Board of Directors in connection with any investigation by the Company related to his service with the Company. The Separation Agreement provides that (i) Mr. Wynn’s lease of his personal residence at Wynn Las Vegas will terminate not later than June 1, 2018 and until such date Mr. Wynn shall continue to pay rent at its fair market value, unless Mr. Wynn elects to terminate the lease before such date, (ii) Mr. Wynn’s current healthcare coverage will terminate on December 31, 2018, and (iii) administrative support for Mr. Wynn will terminate on May 31, 2018. Additionally, in order to conduct sales of Company shares in an orderly fashion, the Company agreed to enter into a registration rights agreement with Mr. Wynn, with Mr. Wynn to reimburse the Company for its reasonable expenses. As of April 10, 2018, Mr. Wynn no longer resided at Wynn Las Vegas.</w:t>
      </w:r>
    </w:p>
    <w:p>
      <w:pPr>
        <w:spacing w:after="0" w:line="16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On March 20, 2018, the Company entered into a registration rights agreement with Mr. Wynn, the Wynn Family Limited Partnership, a Delaware limited partnership (together with Mr. Wynn, the "Selling Stockholder") and each holder from time to time a party thereto (the "Registration Rights Agreement"), pursuant to the Separation Agreement. The Selling Stockholder subsequently sold all of its holdings of the Company's common stock through open market transactions pursuant to Rule 144 under the Securities Act of 1933, as amended, and certain privately negotiated transactions. Pursuant to the Registration Rights Agreement, without the Company's prior written consent, the Selling Stockholder was not permitted to sell more than an aggregate of 4,043,903 shares of Common Stock in any quarter. The Company provided written consent permitting the Selling Stockholder to undertake the registered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periodically provides services to certain executive officers and directors of the Company, including the personal use of employees, construction work and other personal services, for which the officers and directors reimburse the Company. Certain officers and directors have deposits with the Company to prepay any such items, which are replenished on an ongoing basis as needed. As of March 31, 2018, these net deposit balances with the Company were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Retail Joint Venture</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December 2016, the Company sold Crown a 49.9% ownership interest in the Retail Joint Venture for $217.0 million in cash and a $75.0 million interest-free note, which was paid in full on January 3, 2018. As of December 31, 2017, the note was recorded at its present value of $75.0 million in prepaid expenses and other on the Condensed Consolidated Balance Sheet.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18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Venture's assets, liabilities and results of operations. The Company will evaluate its primary beneficiary designation on an ongoing basis and will assess the appropriateness of the Retail Joint Venture's VIE status when changes occur.</w:t>
      </w:r>
    </w:p>
    <w:p>
      <w:pPr>
        <w:spacing w:after="0" w:line="17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of March 31, 2018 and December 31, 2017, the Retail Joint Venture had total assets of $69.0 million and $59.7 million, respectively, and total liabilities of $2.1 million and $0.9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 Development</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April 28, 2017, Wynn MA, LLC ("Wynn MA"), an indirect wholly owned subsidiary of the Company, and Suffolk Construction Company, Inc. (the "Construction Manager"), entered into an agreement concerning the construction of Encore 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jc w:val="both"/>
        <w:ind w:right="200" w:firstLine="392"/>
        <w:spacing w:after="0" w:line="259"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w:t>
      </w:r>
    </w:p>
    <w:p>
      <w:pPr>
        <w:spacing w:after="0" w:line="18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were "unsuitable persons" under Article VII of the Company's articles of incorporation. On that same day, Wynn Resorts redeemed and canceled Aruze's 24,549,222 shares of Wynn Resorts' common stock, and, pursuant to its articles of incorporation, Wynn Resorts issued the Redemption Note to Aruze in redemption of the shares.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sought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color w:val="auto"/>
        </w:rPr>
        <w:t>On March 12, 2012, the Okada Parties filed an answer denying the claims and a counterclaim (as amended, the "Counterclaim") purporting to assert claims against the Company, certain individuals who are or were members of the Company's Board of Directors (other than Mr. Okada) and Wynn Resorts' General Counsel. The Counterclaim alleged,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sought a declaration that the redemption of Aruze's shares was void, an injunction</w:t>
      </w: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restoring Aruze's share ownership, damages in an unspecified amount and rescission of the Amended and Restated Stockholders Agreement, dated as of January 6, 2010, by and among Aruze, Mr. Wynn, and Elaine P. Wynn (the "Stockholders Agreement").</w:t>
      </w:r>
    </w:p>
    <w:p>
      <w:pPr>
        <w:spacing w:after="0" w:line="8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March 8, 2018, the Company entered into the Settlement Agreement by and between the Company, Mr. Wynn, Linda Chen, Russell Goldsmith, Ray R. Irani, Robert J. Miller, John A. Moran, Marc D. Schorr, Alvin V. Shoemaker, D. Boone Wayson, Allan Zeman, and Kimmarie Sinatra (collectively, the "Wynn Parties"), and Universal Entertainment Corp. and Aruze (collectively with Universal Entertainment Corp., the "Universal Parties"). The Settlement Agreement resolved legal proceedings pending in the Redemption Action as well as other claims. Pursuant to the Settlement Agreement, the Company paid the principal amount of the $1.94 billion Redemption Note on March 30, 2018. On March 30, 2018, the Company also paid an additional $463.6 million with respect to the Universal Parties’ claims related to the allegedly below-market interest rate of the Redemption Note and stipulated to the release to Aruze of $232.4 million in accrued interest held in escrow. The Company recorded the $463.6 million as a litigation settlement expense on the Condensed Consolidated Statements of Operations during the three months ended March 31, 2018. Under the Settlement Agreement, the Wynn Parties and the Universal Parties mutually agreed to unconditionally release all claims against each other relating to or arising out of the Redemption Action, as well as any claims which relate to or arise out of any other litigation or claims in any other jurisdiction. As a result, the Universal Parties will not claim that Aruze remains a party to the Stockholders Agreement. The Universal Parties further released any claims against the Wynn Parties and their affiliates in any other jurisdiction, including but not limited to the proceeding pending in Macau against Wynn Resorts (Macau) S.A. and certain related individuals ("Macau Litigation"). As a result of the Settlement Agreement, the parties to the agreement dismissed all litigation between the Universal Parties and the Company and its then-directors and executives with respect to the redemption, including the Redemption Action and the Macau Litigation, but the Settlement Agreement did not release claims against any parties to such litigation who are not parties to the Settlement Agreement, including but not limited to Kazuo Okada and Elaine P. Wynn.</w:t>
      </w:r>
    </w:p>
    <w:p>
      <w:pPr>
        <w:spacing w:after="0" w:line="169" w:lineRule="exact"/>
        <w:rPr>
          <w:sz w:val="20"/>
          <w:szCs w:val="20"/>
          <w:color w:val="auto"/>
        </w:rPr>
      </w:pPr>
    </w:p>
    <w:p>
      <w:pPr>
        <w:ind w:right="560" w:firstLine="392"/>
        <w:spacing w:after="0" w:line="277" w:lineRule="auto"/>
        <w:rPr>
          <w:sz w:val="20"/>
          <w:szCs w:val="20"/>
          <w:color w:val="auto"/>
        </w:rPr>
      </w:pPr>
      <w:r>
        <w:rPr>
          <w:rFonts w:ascii="Arial" w:cs="Arial" w:eastAsia="Arial" w:hAnsi="Arial"/>
          <w:sz w:val="18"/>
          <w:szCs w:val="18"/>
          <w:color w:val="auto"/>
        </w:rPr>
        <w:t>On March 12, 2018, the Company voluntarily dismissed its claim for breach of fiduciary duty against Kazuo Okada, which was the last and only remaining claim between Wynn Resorts, Kazuo Okada, and the Universal Parties in the Redemption Action.</w:t>
      </w:r>
    </w:p>
    <w:p>
      <w:pPr>
        <w:spacing w:after="0" w:line="17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7"/>
          <w:szCs w:val="17"/>
          <w:color w:val="auto"/>
        </w:rPr>
        <w:t>On June 19, 2012, Elaine P. Wynn asserted a cross claim against Mr. Wynn and Aruze seeking a declaration that (1) any and all of Elaine P. Wynn's duties under the Stockholders Agreement should be discharged; (2) the Stockholders Agreement was subject to rescission and is rescinded; (3) the Stockholders Agreement was an unreasonable restraint on alienation in violation of public policy; and/or (4) the restrictions on sale of shares should be construed as inapplicable to Elaine P. Wynn. On March 28, 2016, Elaine P Wynn filed an amended cross claim against Mr. Wynn, as well as Wynn Resorts and Wynn Resorts' General Counsel (together with Mr. Wynn, the "Wynn Cross Defendants") as cross defendants. The amended cross claim substantially repeated its earlier allegations and further alleged that Mr. Wynn engaged in acts of misconduct that, with the Wynn Cross Defendants, resulted in Mr. Wynn allegedly breaching the Stockholders Agreement and violating alleged duties under the Stockholders Agreement by preventing Elaine P. Wynn from being nominated and elected to serve as one of Wynn Resorts' directors. In addition to continuing to seek the declarations asserted under the original cross claim, the amended cross claim sought an order compelling Mr. Wynn to comply with the Stockholders Agreement by assuring the nomination and election of Elaine P. Wynn to the Board of Directors and sought unspecified monetary damages from Mr. Wynn and the Wynn Cross Defendants. Elaine P. Wynn’s amended cross claim was later dismissed as to Wynn Resorts and Wynn Resorts' General Counsel. On May 17, 2017, Elaine P. Wynn filed another amended cross claim against the Wynn Cross Defendants, which substantially repeated its earlier allegations and again named Wynn Resorts and Wynn Resorts' General Counsel as cross defendants.</w:t>
      </w:r>
    </w:p>
    <w:p>
      <w:pPr>
        <w:spacing w:after="0" w:line="188"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On March 14, 2018, Mr. Wynn and Elaine P. Wynn entered into a stipulation declaring the Stockholders Agreement invalid and unenforceable, and on April 16, 2018, the Company entered into a Settlement Agreement and Mutual Release by and between the Company, Mr. Wynn, Elaine P. Wynn, and the Company’s General Counsel, which, among other things, resolved and unconditionally released the parties from all claims and cross claims asserted among the parties in a legal proceeding involving the Stockholders Agreement. Neither the Company nor the Company’s General Counsel made any payment under the terms of such settlement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March 20, 2013, Mr. Okada filed a complaint against the Company in Nevada state court for indemnification under the Company's Articles, bylaws and agreements with its directors. The complaint sought advancement of Mr. Okada's costs and</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February 4, 2014, the court entered an order on the parties' stipulation that: (1) dismissed all claims Mr. Okada asserted against the Company; (2) reserved Mr. Okada's right to assert, in the future, any claims for indemnity following the resolution of the Redemption Action; and (3) stayed the claims asserted by the Company against Mr. Okada pending the resolution of the Redemption Action. On April 6, 2018, the court entered an order closing this action.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Litigation:</w:t>
      </w:r>
    </w:p>
    <w:p>
      <w:pPr>
        <w:spacing w:after="0" w:line="22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On July 11, 2017, the Macau Court dismissed all claims by the Okada Parties as unfounded, fined the Okada Parties as vexatious litigants, and ordered the Okada Parties to pay for court costs and the Wynn Macau Parties' attorney's fees. On or about October 16, 2017, the Okada Parties filed formal appeal papers in Macau, which Wynn Macau SA received on November 21, 2017. Wynn Macau SA filed its response on December 21, 2017. In March 2018, pursuant to the Settlement Agreement, the Universal Parties voluntarily withdrew from the Macau Litigation, leaving Mr. Okada as the sole claimant.</w:t>
      </w:r>
    </w:p>
    <w:p>
      <w:pPr>
        <w:spacing w:after="0" w:line="178"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The Company believes this action is without merit and will vigorously defend itself against the claims pleaded against it by Mr. Okada.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Litigation Related to Redemption Action</w:t>
      </w:r>
    </w:p>
    <w:p>
      <w:pPr>
        <w:spacing w:after="0" w:line="225"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"Derivative Plaintiffs"). The Derivative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Derivative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Derivative Plaintiffs seek unspecified monetary damages (compensatory and punitive), disgorgement, reformation of corporate governance procedures, an order directing the Company to internally investigate the donation, as well as attorney's fees and costs. On June 18, 2014, the court entered a stipulation between the parties that provides for a stay of the action and directs the parties, within 45 days of the conclusion of the Redemption Action, to discuss how the derivative action should proceed and to file a joint report with the court. In May 2018, the parties (except Elaine P. Wynn) filed a joint report given the conclusion of the Redemption Action, and the court scheduled a status check for May 14, 2018.</w:t>
      </w:r>
    </w:p>
    <w:p>
      <w:pPr>
        <w:spacing w:after="0" w:line="16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these actions or the range of reasonably possible loss, if any.</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Massachusetts Gaming License Related Action</w:t>
      </w:r>
    </w:p>
    <w:p>
      <w:pPr>
        <w:spacing w:after="0" w:line="225"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70" w:lineRule="exact"/>
        <w:rPr>
          <w:sz w:val="20"/>
          <w:szCs w:val="20"/>
          <w:color w:val="auto"/>
        </w:rPr>
      </w:pPr>
    </w:p>
    <w:p>
      <w:pPr>
        <w:ind w:right="460" w:firstLine="378"/>
        <w:spacing w:after="0" w:line="277" w:lineRule="auto"/>
        <w:rPr>
          <w:sz w:val="20"/>
          <w:szCs w:val="20"/>
          <w:color w:val="auto"/>
        </w:rPr>
      </w:pPr>
      <w:r>
        <w:rPr>
          <w:rFonts w:ascii="Arial" w:cs="Arial" w:eastAsia="Arial" w:hAnsi="Arial"/>
          <w:sz w:val="18"/>
          <w:szCs w:val="18"/>
          <w:color w:val="auto"/>
        </w:rPr>
        <w:t>On October 16, 2014, the City of Revere, the host community to the unsuccessful bidder for the same license, and the International Brotherhood of Electrical Workers, Local 103 ("IBEW") filed a complaint against the MGC and each of the five</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178"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The parties then appealed to the Massachusetts Supreme Judicial Court ("SJC"). On March 10, 2017, the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and oral argument is being re-scheduled from its originally scheduled date of April 5, 2018.</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SJC reversed the trial court's dismissal of the individual plaintiffs' open meeting law claim and remanded that claim to the Suffolk Superior Court.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phase.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above complaint. The MGC retained private legal representation at its own nontaxpayer-funded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Related to Mr. Wynn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Investigations: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January 26, 2018, the Company's Board of Directors formed a Special Committee comprised solely of independent directors to investigate allegations of inappropriate personal conduct by Mr. Wynn in the workplace. On February 12, 2018, the Special Committee announced that its review was expanded to include a comprehensive review of the Company's internal policies and procedures with the goal of employing best practices to maintain a safe and respectful workplace for all employees. Gaming regulators in Massachusetts and Nevada are reviewing these matters, including suitability with respect to the Company and its related licensees, and the Company is cooperating with these regulatory reviews. The gaming regulator in Macau is monitoring and reviewing the situation, and the Company is cooperating.</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Stockholder Actions:</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number of stockholder derivative actions have been filed purportedly on behalf of the Company in state and federal court located in Clark County,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Nevada against certain current and former members of the Company’s Board of Directors and, in some cases, the Company’s management.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complaints alleges, among other things, breach of fiduciary duties in failing to detect, prevent and remedy alleged inappropriate personal conduct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Wynn in the workplace. Specifically, (i) on February 6, 2018, Norfolk County Retirement System filed a stockholder derivative action against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 and former members of the Company’s Board of Directors and the Company’s General Counsel, which was voluntarily dismissed on February 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(ii) on February 15, 2018, Operating Engineers Construction Industry and Miscellaneous Pension Fund filed a stockholder derivative action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current and former members of the Company’s Board of Directors; (iii) on February 15, 2018, Boynton Beach Municipal Firefighters’ Pension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 and the Firemen’s Retirement System of St. Louis filed a stockholder derivative action against certain current and former members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the Company’s General Counsel; (iv) on February 22, 2018, Thomas P. DiNapoli, Comptroller of the State of New York,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Head of the New York State and Local Retirement System and trustee of the New York State Common Retirement Fund, filed a stockholder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action against certain current and former members of the Company’s Board of Directors and the Company’s General Counsel; (v) on February 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Erste-Sparinvest Kapitalanlagegesellschaft M.B.H. filed a stockholder derivative action against certain current and former members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the Company’s General Counsel; (vi) on March 6, 2018, the State of Oregon filed a stockholder derivative action against certain</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0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current and former members of the Company’s Board of Directors and the Company’s General Counsel; (vii) on March 15, 2018, Insulators and Asbestos Workers Local No. 14 Pension and Health and Welfare Funds filed a stockholder derivative action against certain current and former members of the Company’s Board of Directors and the Company’s Chief Executive Officer and General Counsel; and (viii) on April 18, 2018, C. Jeffrey Rogers filed a stockholder derivative action against certain current and former members of the Company’s Board of Directors and the Company’s Chief Executive Officer and General Counsel. The actions filed in Clark County, Nevada are in the process of being consolidated. The actions filed in the United States District Court, District of Nevada have been consolidated as </w:t>
      </w:r>
      <w:r>
        <w:rPr>
          <w:rFonts w:ascii="Arial" w:cs="Arial" w:eastAsia="Arial" w:hAnsi="Arial"/>
          <w:sz w:val="17"/>
          <w:szCs w:val="17"/>
          <w:i w:val="1"/>
          <w:iCs w:val="1"/>
          <w:color w:val="auto"/>
        </w:rPr>
        <w:t>In re Wynn Resorts, Ltd. Derivative Litigation</w:t>
      </w:r>
      <w:r>
        <w:rPr>
          <w:rFonts w:ascii="Arial" w:cs="Arial" w:eastAsia="Arial" w:hAnsi="Arial"/>
          <w:sz w:val="17"/>
          <w:szCs w:val="17"/>
          <w:color w:val="auto"/>
        </w:rPr>
        <w:t>, which also claim corporate waste and violation of Section 14(a) of the Exchange Act. Each of the actions seeks to recover for the Company unspecified damages, including restitution and disgorgement of profits, and also seeks to recover attorneys’ fees, costs and related expenses for the plaintiff. Additional demands have been made to the Company that it commence similar actions and additional lawsuits may be filed in the future.</w:t>
      </w:r>
    </w:p>
    <w:p>
      <w:pPr>
        <w:spacing w:after="0" w:line="182" w:lineRule="exact"/>
        <w:rPr>
          <w:sz w:val="20"/>
          <w:szCs w:val="20"/>
          <w:color w:val="auto"/>
        </w:rPr>
      </w:pPr>
    </w:p>
    <w:p>
      <w:pPr>
        <w:ind w:right="160" w:firstLine="392"/>
        <w:spacing w:after="0" w:line="257" w:lineRule="auto"/>
        <w:rPr>
          <w:sz w:val="20"/>
          <w:szCs w:val="20"/>
          <w:color w:val="auto"/>
        </w:rPr>
      </w:pPr>
      <w:r>
        <w:rPr>
          <w:rFonts w:ascii="Arial" w:cs="Arial" w:eastAsia="Arial" w:hAnsi="Arial"/>
          <w:sz w:val="18"/>
          <w:szCs w:val="18"/>
          <w:color w:val="auto"/>
        </w:rPr>
        <w:t>On February 20, 2018, a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w:t>
      </w:r>
    </w:p>
    <w:p>
      <w:pPr>
        <w:spacing w:after="0" w:line="18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and Encore, an expansion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assets for its Encore Boston Harbor development project. Other Macau primarily represents the Company's Macau holding company.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8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99"/>
              </w:rPr>
              <w:t>(as adjusted)</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618,241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552,716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665,846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452,306</w:t>
            </w:r>
          </w:p>
        </w:tc>
      </w:tr>
      <w:tr>
        <w:trPr>
          <w:trHeight w:val="237"/>
        </w:trPr>
        <w:tc>
          <w:tcPr>
            <w:tcW w:w="858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1,284,087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1,005,022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Las Vegas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431,491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418,735</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1,715,578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1,423,757</w:t>
            </w: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181,106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211,911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111,856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421,733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292,962</w:t>
            </w:r>
          </w:p>
        </w:tc>
      </w:tr>
      <w:tr>
        <w:trPr>
          <w:trHeight w:val="243"/>
        </w:trPr>
        <w:tc>
          <w:tcPr>
            <w:tcW w:w="858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142,596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134,577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564,329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427,539</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5,779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139,820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3,036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8,207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645,623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177,609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249,930</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6,471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(167,229)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(114,515)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135,415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111,045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132,525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(31,709)</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100,816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340" w:hanging="332"/>
        <w:spacing w:after="0" w:line="268"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Property EBITDA" is net income (loss) before interest, income taxes, depreciation and amortization, litigation settlement expense, pre-opening expenses, property charges and other, management and license fees, corporate expenses and other (including intercompany golf course and water rights leases), stock-based compensation, gain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as a way to measure a company's ability to incur and service debt, make capital expenditures and meet working capital</w:t>
      </w:r>
    </w:p>
    <w:p>
      <w:pPr>
        <w:sectPr>
          <w:pgSz w:w="11900" w:h="16838" w:orient="portrait"/>
          <w:cols w:equalWidth="0" w:num="1">
            <w:col w:w="11420"/>
          </w:cols>
          <w:pgMar w:left="240" w:top="121" w:right="239" w:bottom="1440" w:gutter="0" w:footer="0" w:header="0"/>
        </w:sect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49" w:lineRule="exact"/>
        <w:rPr>
          <w:sz w:val="20"/>
          <w:szCs w:val="20"/>
          <w:color w:val="auto"/>
        </w:rPr>
      </w:pPr>
    </w:p>
    <w:p>
      <w:pPr>
        <w:jc w:val="both"/>
        <w:ind w:left="340"/>
        <w:spacing w:after="0" w:line="420" w:lineRule="auto"/>
        <w:rPr>
          <w:sz w:val="20"/>
          <w:szCs w:val="20"/>
          <w:color w:val="auto"/>
        </w:rPr>
      </w:pPr>
      <w:r>
        <w:rPr>
          <w:rFonts w:ascii="Arial" w:cs="Arial" w:eastAsia="Arial" w:hAnsi="Arial"/>
          <w:sz w:val="13"/>
          <w:szCs w:val="13"/>
          <w:color w:val="auto"/>
        </w:rPr>
        <w:t>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44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1,935,214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1,271,544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3,945,508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4,017,494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4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422,854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174,769</w:t>
            </w:r>
          </w:p>
        </w:tc>
        <w:tc>
          <w:tcPr>
            <w:tcW w:w="0" w:type="dxa"/>
            <w:vAlign w:val="bottom"/>
          </w:tcPr>
          <w:p>
            <w:pPr>
              <w:spacing w:after="0"/>
              <w:rPr>
                <w:sz w:val="1"/>
                <w:szCs w:val="1"/>
                <w:color w:val="auto"/>
              </w:rPr>
            </w:pPr>
          </w:p>
        </w:tc>
      </w:tr>
      <w:tr>
        <w:trPr>
          <w:trHeight w:val="237"/>
        </w:trPr>
        <w:tc>
          <w:tcPr>
            <w:tcW w:w="412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4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6,303,576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5,463,807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4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2,903,615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3,266,390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Encore Boston Harbor</w:t>
            </w:r>
          </w:p>
        </w:tc>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1,292,195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1,060,530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1,715,788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2,891,012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4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12,215,174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12,681,739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vMerge w:val="restart"/>
          </w:tcPr>
          <w:p>
            <w:pPr>
              <w:jc w:val="right"/>
              <w:ind w:right="237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2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1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2017.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("Macau"), we own approximately 72% of Wynn Macau, Limited ("WML"), which includes the operations of the Wynn Macau and Wynn Palace resorts, which we refer to as our Macau Operations. In Las Vegas, Nevada, we operate and, with the exception of certain retail space, own 100% of Wynn Las Vegas, which we also refer to as our Las Vegas Operations. We are currently constructing Encore Boston Harbor, an integrated casino resort in Everett, Massachusetts.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16 acres of land in downtown Macau's inner harbor where Wynn Macau is located and 51 acres of land in the Cotai area of Macau where Wynn Palace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April 15, 2018:</w:t>
      </w:r>
    </w:p>
    <w:p>
      <w:pPr>
        <w:spacing w:after="0" w:line="279" w:lineRule="exact"/>
        <w:rPr>
          <w:sz w:val="20"/>
          <w:szCs w:val="20"/>
          <w:color w:val="auto"/>
        </w:rPr>
      </w:pPr>
    </w:p>
    <w:p>
      <w:pPr>
        <w:ind w:left="1300" w:right="1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273,000 square feet of casino space, offering 24-hour gaming and a full range of games with 312 table games and 954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Eight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rotunda show featuring a Chinese zodiac-inspired ceiling along with gold "prosperity tree" and "dragon of fortune" attractions.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April 15, 2018:</w:t>
      </w:r>
    </w:p>
    <w:p>
      <w:pPr>
        <w:spacing w:after="0" w:line="279" w:lineRule="exact"/>
        <w:rPr>
          <w:sz w:val="20"/>
          <w:szCs w:val="20"/>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424,000 square feet of casino space, offering 24-hour gaming and a full range of games with 323 table games and 1,020 slot machines, private gaming salons and sky casinos;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 In addition, we own approximately 18 acres across Sands Avenue, a portion of which is improved with an employee parking garage, and approximately five acres adjacent to the golf course land upon which an office building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April 15, 2018:</w:t>
      </w:r>
    </w:p>
    <w:p>
      <w:pPr>
        <w:spacing w:after="0" w:line="387" w:lineRule="exact"/>
        <w:rPr>
          <w:sz w:val="20"/>
          <w:szCs w:val="20"/>
          <w:color w:val="auto"/>
        </w:rPr>
      </w:pPr>
    </w:p>
    <w:p>
      <w:pPr>
        <w:ind w:left="1300" w:right="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192,000 square feet of casino space, offering 24-hour gaming and a full range of games with 238 table games and 1,829 slot machines,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 (the majority of which is owned and operated under a joint venture of which we own 50.1%);</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December 2016, we entered into a joint venture arrangement (the "Retail Joint Venture") with Crown Acquisitions Inc. ("Crown") to own and operate approximately 88,000 square feet of existing retail space. In November 2017, we contributed approximately 74,000 square feet of additional retail space to the Retail Joint Venture, the majority of which is currently under construction at Wynn Las Vegas. We expect to open the additional retail space in the second half of 2018.</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We are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$2.5 billion. As of March 31, 2018, we have incurred approximately $1.38 billion in total project costs. We expect to open Encore Boston Harbor in mid-2019.</w:t>
      </w:r>
    </w:p>
    <w:p>
      <w:pPr>
        <w:spacing w:after="0" w:line="18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have begun site preparation and pre-construction activities for the redevelopment of a portion of the land previously occupied by the Wynn Las Vegas golf course, which we closed in the fourth quarter of 2017. Phase 1 of the project is expected to include a lagoon and additional meeting and convention space. Based on current designs, we estimate the total project budget for Phase 1 to be approximately $500 million and we expect to open Phase 1 in the first quarter of 2020.</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Certain key operating measures specific to the gaming industry are included in our discussion of our operational performance for the periods for which a Condensed Consolidated Statement of Operations is presented. Below are definitions of these key operating measures discussed:</w:t>
      </w:r>
    </w:p>
    <w:p>
      <w:pPr>
        <w:spacing w:after="0" w:line="147" w:lineRule="exact"/>
        <w:rPr>
          <w:sz w:val="20"/>
          <w:szCs w:val="20"/>
          <w:color w:val="auto"/>
        </w:rPr>
      </w:pPr>
    </w:p>
    <w:p>
      <w:pPr>
        <w:ind w:left="1300" w:right="2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drop for our Macau Operations is the amount of cash that is deposited in a gaming table's drop box plus cash chips purchased at the casino cage.</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46"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right="42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w:t>
      </w:r>
    </w:p>
    <w:p>
      <w:pPr>
        <w:spacing w:after="0" w:line="1" w:lineRule="exact"/>
        <w:rPr>
          <w:rFonts w:ascii="Arial" w:cs="Arial" w:eastAsia="Arial" w:hAnsi="Arial"/>
          <w:sz w:val="18"/>
          <w:szCs w:val="18"/>
          <w:color w:val="auto"/>
        </w:rPr>
      </w:pPr>
    </w:p>
    <w:p>
      <w:pPr>
        <w:ind w:left="1300" w:right="60" w:hanging="644"/>
        <w:spacing w:after="0" w:line="28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ind w:left="1300" w:right="6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right="4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smaller in the VIP operations when compared to the mass market operations.</w:t>
      </w:r>
    </w:p>
    <w:p>
      <w:pPr>
        <w:spacing w:after="0" w:line="15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22% to 26%.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of first quarter 2018 results</w:t>
      </w:r>
    </w:p>
    <w:p>
      <w:pPr>
        <w:spacing w:after="0" w:line="225" w:lineRule="exact"/>
        <w:rPr>
          <w:sz w:val="20"/>
          <w:szCs w:val="20"/>
          <w:color w:val="auto"/>
        </w:rPr>
      </w:pPr>
    </w:p>
    <w:p>
      <w:pPr>
        <w:ind w:right="100" w:firstLine="243"/>
        <w:spacing w:after="0" w:line="264" w:lineRule="auto"/>
        <w:rPr>
          <w:sz w:val="20"/>
          <w:szCs w:val="20"/>
          <w:color w:val="auto"/>
        </w:rPr>
      </w:pPr>
      <w:r>
        <w:rPr>
          <w:rFonts w:ascii="Arial" w:cs="Arial" w:eastAsia="Arial" w:hAnsi="Arial"/>
          <w:sz w:val="18"/>
          <w:szCs w:val="18"/>
          <w:color w:val="auto"/>
        </w:rPr>
        <w:t>The results reflect the Company's adoption of the new accounting guidance for revenue recognition ("ASC 606"), effective January 1, 2018. Certain prior period amounts have been reclassified to reflect the full retrospective adoption of ASC 606, with no impact on operating income, net income or Adjusted Property EBITDA.</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consolidated financial results for the periods presented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880" w:type="dxa"/>
            <w:vAlign w:val="bottom"/>
          </w:tcPr>
          <w:p>
            <w:pPr>
              <w:jc w:val="right"/>
              <w:ind w:right="11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1,715,578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1,423,757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(204,307)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100,816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2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564,329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427,539</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20"/>
                <w:szCs w:val="20"/>
                <w:color w:val="auto"/>
              </w:rPr>
            </w:pPr>
            <w:r>
              <w:rPr>
                <w:rFonts w:ascii="Arial" w:cs="Arial" w:eastAsia="Arial" w:hAnsi="Arial"/>
                <w:sz w:val="14"/>
                <w:szCs w:val="14"/>
                <w:color w:val="auto"/>
              </w:rPr>
              <w:t>NM - not meaningful</w:t>
            </w: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4880" w:type="dxa"/>
            <w:vAlign w:val="bottom"/>
          </w:tcPr>
          <w:p>
            <w:pPr>
              <w:spacing w:after="0"/>
              <w:rPr>
                <w:sz w:val="24"/>
                <w:szCs w:val="24"/>
                <w:color w:val="auto"/>
              </w:rPr>
            </w:pPr>
          </w:p>
        </w:tc>
        <w:tc>
          <w:tcPr>
            <w:tcW w:w="2240" w:type="dxa"/>
            <w:vAlign w:val="bottom"/>
          </w:tcPr>
          <w:p>
            <w:pPr>
              <w:jc w:val="right"/>
              <w:ind w:right="115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During the three months ended March 31, 2018, our net loss attributable to Wynn Resorts, Limited was $204.3 million, or $1.99 per diluted share, compared to net income attributable to Wynn Resorts, Limited of $100.8 million, or $0.99 per diluted share, for the same period of 2017. The change was primarily due to the $463.6 million litigation settlement expense and a $69.3 million increase in the Redemption Note fair value to its principal amount, partially offset by increases in our benefit for income taxes and operating income from Wynn Palace.</w:t>
      </w:r>
    </w:p>
    <w:p>
      <w:pPr>
        <w:spacing w:after="0" w:line="171"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Adjusted Property EBITDA was $564.3 million for the three months ended March 31, 2018, an increase of 32.0%, or $136.8 million, from $427.5 million for the same period of 2017. The increase was the result of increases of $100.1 million, $28.7 million and $8.0 million, from Wynn Palace, Wynn Macau and our Las Vegas Operations,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2018 compared to the three months ended March 31,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618,241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552,716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665,846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452,306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1,284,087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1,005,022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431,491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418,735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1,715,578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1,423,757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Operating revenues increased 20.5%, or $291.8 million, to $1.72 billion for the three months ended March 31, 2018, from $1.42 billion for the same period of 2017. The increase was the result of increases of $213.5 million, $65.5 million and $12.8 million from Wynn Palace, Wynn Macau and our Las Vegas Operations, respectively.</w:t>
      </w:r>
    </w:p>
    <w:p>
      <w:pPr>
        <w:spacing w:after="0" w:line="181"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The following table presents operating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1,242,139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989,740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473,439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434,017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1,715,578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1,423,757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Casino revenues were 72.4% of total operating revenues for the three months ended March 31, 2018, compared to 69.5% for the same period of 2017, while non-casino revenues were 27.6% of total operating revenues, compared to 30.5% for the same period of 2017.</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Casino revenues increased 25.5%, or $252.4 million, to $1.24 billion for the three months ended March 31, 2018, from $989.7 million for the same period of 2017. The increase was primarily due to increases of $191.4 million and $51.1 million from Wynn Palace and Wynn Macau, respectively. The increase in casino revenues from Wynn Palace was driven by increases of 58.1% and 39.3% in table drop and VIP turnover, respectively. The mass market operations at Wynn Palace also benefited from a 3.7 percentage point increase in mass market table games win percentage from 21.8% to 25.5%. The increase in casino revenues from Wynn Macau was primarily attributable to an increase of 16.4% in table drop.</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share table games between Wynn Macau and Wynn Palace, subject to the aggregate cap, to optimize our casino operations. As of April 15, 2018, we had a total of 312 table games at Wynn Macau and 323 at Wynn Palace.</w:t>
      </w:r>
    </w:p>
    <w:p>
      <w:pPr>
        <w:spacing w:after="0" w:line="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539,035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487,974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17,087,455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13,284,764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3,802,691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445,189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438,912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1,322,815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1,136,896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185,919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256,481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212,905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1,002,819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856,683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146,136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41,765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568,460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377,100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191,360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15,385,833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11,041,682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4,344,151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399,891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334,742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65,149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40,797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1,217,201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770,018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447,183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310,159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167,627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142,532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16,341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1,058,096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657,579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400,517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Increase/</w:t>
            </w:r>
          </w:p>
        </w:tc>
        <w:tc>
          <w:tcPr>
            <w:tcW w:w="136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134,644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124,666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536,581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458,596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77,985</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154,433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130,846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744,133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765,914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49,264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49,718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Non-casino revenues increased 9.1%, or $39.4 million, to $473.4 million for the three months ended March 31, 2018, from $434.0 million for the same period of 2017, primarily due to increases of $22.2 million and $14.5 million from Wynn Palace and Wynn Macau, respectively.</w:t>
      </w:r>
    </w:p>
    <w:p>
      <w:pPr>
        <w:spacing w:after="0" w:line="17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Room revenues increased 12.7%, or $21.5 million, to $190.3 million for the three months ended March 31, 2018, from $168.8 million for the same period of 2017, primarily due to increases of $11.1 million, $5.8 million and $4.5 million, from Wynn Palace, our Las Vegas Operations and Wynn Macau, respectively. These increases at Wynn Palace, our Las Vegas Operations and Wynn Macau were driven by increases in ADR of 30.6%, 7.6% and 17.8%, respectively.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180" w:type="dxa"/>
            <w:vAlign w:val="bottom"/>
          </w:tcPr>
          <w:p>
            <w:pPr>
              <w:jc w:val="right"/>
              <w:ind w:right="13"/>
              <w:spacing w:after="0" w:line="139" w:lineRule="exact"/>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23,867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40,441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29,328</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121,457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115,629</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(1) Except occupancy, which is presented as a percentage point change.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Food and beverage revenues increased 4.7%, or $7.7 million, to $172.2 million for the three months ended March 31, 2018, from $164.5 million for the same period of 2017, primarily due to increases of $4.5 million and $2.9 million from Wynn Palace and Wynn Macau, respectively, as a result of increased covers at our restaurants.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Entertainment, retail and other revenues increased 10.2%, or $10.2 million, to $110.9 million for the three months ended March 31, 2018, from $100.7 million for the same period of 2017. The increase was primarily due to increases of $7.0 million and $6.6 million from Wynn Macau and Wynn Palace, respectively, partially offset by a decrease of $3.3 million from our Las Vegas Operations. The increases at Wynn Palace and Wynn Macau were primarily driven by an increase in sales at our retail outlets.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Operating expenses increased 53.1%, or $623.0 million, to $1.80 billion for the three months ended March 31, 2018, from $1.17 billion for the same period of 2017, primarily due to the $463.6 million litigation settlement expense and an increase in casino expenses of $134.6 million.</w:t>
      </w:r>
    </w:p>
    <w:p>
      <w:pPr>
        <w:spacing w:after="0" w:line="14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Casino expenses increased 21.4%, or $134.6 million, to $764.4 million for the three months ended March 31, 2018, from $629.8 million for the same period of 2017, primarily due to an increase of $103.2 million from Wynn Palace. The increase at Wynn Palace was driven by gaming taxes, which increased commensurate with the increase in casino revenues.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Room expenses increased 4.0%, or $2.4 million, to $63.2 million for the three months ended March 31, 2018, from $60.8 million for the same period of 2017, primarily related to an increase of $2.5 million from our Las Vegas Operations. The increase from our Las Vegas Operations was commensurate with the increase in room revenues.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Food and beverage expenses increased 4.5%, or $5.9 million, to $137.7 million for the three months ended March 31, 2018, from $131.8 million for the same period of 2017, primarily due to increases of $3.7 million and $1.6 million at Wynn Palace and Wynn Macau, respectively, driven by increased sales at our restaurants.</w:t>
      </w:r>
    </w:p>
    <w:p>
      <w:pPr>
        <w:spacing w:after="0" w:line="181"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General and administrative expenses increased 6.0%, or $9.6 million, to $169.6 million for the three months ended March 31, 2018, from $160.0 million for the same period of 2017, primarily related to an increase of $4.5 million at Wynn Palace primarily related to an increase in repairs and maintenance expense and an increase of $4.2 million in corporate-related expenses.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Litigation settlement expense of $463.6 million was incurred during the three months ended March 31, 2018 in connection with the repayment of the Redemption Note for claims related to the allegedly below-market interest rate of the Redemption Note. For more information, See Item 1 —"Notes to Condensed Consolidated Financial Statements," Note 13, "Commitments and Contingencies."</w:t>
      </w:r>
    </w:p>
    <w:p>
      <w:pPr>
        <w:spacing w:after="0" w:line="18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Provision for doubtful accounts was $0.7 million for the three months ended March 31, 2018, compared to a benefit of $4.2 million for the same period of 2017.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Pre-opening expenses were $10.3 million for the three months ended March 31, 2018, compared to $5.8 million for the same period of 2017. During the three months ended March 31, 2018, we incurred pre-opening expenses of $9.5 million related to Encore Boston Harbor and $0.8 million related to the redevelopment of a portion of the land previously occupied by the Wynn Las Vegas golf course. During the three months ended March 31, 2017, we incurred pre-opening expenses of $5.5 million related to Encore Boston Harbor and $0.2 million at our Las Vegas Operations.</w:t>
      </w:r>
    </w:p>
    <w:p>
      <w:pPr>
        <w:spacing w:after="0" w:line="17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Depreciation and amortization decreased 2.5%, or $3.5 million, to $136.4 million for the three months ended March 31, 2018, from $139.8 million for the same period of 2017. The decrease was the result of certain Wynn Macau and Las Vegas Operations' assets becoming fully depreciated.</w:t>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tcPr>
          <w:p>
            <w:pPr>
              <w:jc w:val="right"/>
              <w:ind w:right="42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380"/>
              <w:spacing w:after="0"/>
              <w:rPr>
                <w:sz w:val="20"/>
                <w:szCs w:val="20"/>
                <w:color w:val="auto"/>
              </w:rPr>
            </w:pPr>
            <w:r>
              <w:rPr>
                <w:rFonts w:ascii="Arial" w:cs="Arial" w:eastAsia="Arial" w:hAnsi="Arial"/>
                <w:sz w:val="18"/>
                <w:szCs w:val="18"/>
                <w:color w:val="auto"/>
                <w:w w:val="96"/>
              </w:rPr>
              <w:t>Interest cost, including amortization of deferred financing costs and original issue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107,071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100,720</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(2,457)</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97"/>
        </w:trPr>
        <w:tc>
          <w:tcPr>
            <w:tcW w:w="66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98,227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98,263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9,674,007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10,200,295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Interest cost increased $6.4 million for the three months ended March 31, 2018, compared to the same period of 2017, primarily due to an increase in our weighted average interest rate. Capitalized interest increased $6.4 million for the three months ended March 31, 2018, compared to the same period of 2017, primarily due to Encore Boston Harbor construction activities.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We incurred losses of $69.3 million and $15.8 million for the three months ended March 31, 2018 and 2017, respectively, from the change in fair value of the Redemption Note. The change in fair value is a result of changes in certain variables used to calculate the estimated fair value. During the quarter, we repaid the $1.94 billion principal amount of the Redemption Note. For further information on the fair value of the Redemption Note, see Item 1—"Notes to Condensed Consolidated Financial Statements," Note 2, "Summary of Significant Accounting Policies."</w:t>
      </w:r>
    </w:p>
    <w:p>
      <w:pPr>
        <w:spacing w:after="0" w:line="131" w:lineRule="exact"/>
        <w:rPr>
          <w:sz w:val="20"/>
          <w:szCs w:val="20"/>
          <w:color w:val="auto"/>
        </w:rPr>
      </w:pPr>
    </w:p>
    <w:p>
      <w:pPr>
        <w:jc w:val="both"/>
        <w:ind w:right="340" w:firstLine="432"/>
        <w:spacing w:after="0" w:line="286" w:lineRule="auto"/>
        <w:rPr>
          <w:sz w:val="20"/>
          <w:szCs w:val="20"/>
          <w:color w:val="auto"/>
        </w:rPr>
      </w:pPr>
      <w:r>
        <w:rPr>
          <w:rFonts w:ascii="Arial" w:cs="Arial" w:eastAsia="Arial" w:hAnsi="Arial"/>
          <w:sz w:val="17"/>
          <w:szCs w:val="17"/>
          <w:color w:val="auto"/>
        </w:rPr>
        <w:t>Interest income was $7.2 million for the three months ended March 31, 2018, compared to $6.5 million for the three months ended March 31, 2017. During 2018 and 2017, our short-term investment strategy has been to preserve capital while retaining sufficient liquidity. The majority of our short-term investment amounts were in time deposits, fixed deposits and money market accounts with a maturity of three months or less.</w:t>
      </w:r>
    </w:p>
    <w:p>
      <w:pPr>
        <w:spacing w:after="0" w:line="166"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We incurred a $2.3 million net gain on extinguishment of debt related to the repayment of the Redemption Note, Wynn Resorts’ purchase of $40.0 million of Wynn Las Vegas’ 5 1/2% Senior Notes due 2025 and 5 1/4% Senior Notes due 2027 and the execution of the supplemental indenture related to Wynn Las Vegas’ 4 1/4% Senior Notes due 2023.</w:t>
      </w:r>
    </w:p>
    <w:p>
      <w:pPr>
        <w:spacing w:after="0" w:line="18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We incurred a loss of $9.2 million and $6.1 million for the three months ended March 31, 2018 and 2017, respectively, from foreign currency remeasurements. The losses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recorded an income tax benefit of $111.0 million for the three months ended March 31, 2018, compared to an income tax expense of $2.9 million for the same period of 2017. The 2018 income tax benefit primarily related to the settlement of the Redemption Note. The 2017 income tax expense primarily related to an increase in the domestic valuation allowance for U.S. foreign tax credits.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Net income attributable to noncontrolling interests was $66.8 million for the three months ended March 31, 2018, compared to $31.7 million for the same period of 2017. These amounts were primarily related to the noncontrolling interests' share of net income from WML.</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net income (loss) before interest, income taxes, depreciation and amortization, litigation settlement expense, pre-opening expenses, property charges and other, management and license fees, corporate expenses and other (including intercompany golf course and water rights leases), stock-based compensation, gain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14, "Segment Information." That footnote also presents a reconciliation of Adjusted Property EBITDA to net income (loss) attributable to Wynn Resorts, Limited.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181,106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Wynn Palace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211,911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111,856</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142,596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134,577</w:t>
            </w:r>
          </w:p>
        </w:tc>
      </w:tr>
      <w:tr>
        <w:trPr>
          <w:trHeight w:val="27"/>
        </w:trPr>
        <w:tc>
          <w:tcPr>
            <w:tcW w:w="8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Adjusted Property EBITDA at Wynn Macau increased 15.9% for the three months ended March 31, 2018, compared to the same period of 2017, primarily due to improved mass market operations driven by an increase of 16.4% in table drop.</w:t>
      </w:r>
    </w:p>
    <w:p>
      <w:pPr>
        <w:spacing w:after="0" w:line="1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Adjusted Property EBITDA at Wynn Palace increased 89.4% for the three months ended March 31, 2018, compared to the same period of 2017, primarily due to increases of 58.1% and 39.3% in table drop and VIP turnover, respectively. The mass market operations at Wynn Palace also benefited from a 3.7 percentage point increase in mass market table games win percentage from 21.8% to 25.5%.</w:t>
      </w:r>
    </w:p>
    <w:p>
      <w:pPr>
        <w:spacing w:after="0" w:line="10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Adjusted Property EBITDA at our Las Vegas Operations increased 6.0% for the three months ended March 31, 2018, compared to the same period of 2017, primarily due to improved casino operations driven by a 17.0% increase in table drop.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 Summary</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4"/>
              </w:rPr>
              <w:t>Three Months Ended March 31,</w:t>
            </w:r>
          </w:p>
        </w:tc>
        <w:tc>
          <w:tcPr>
            <w:tcW w:w="82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(53,646)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(408,113)</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(122,455)</w:t>
            </w:r>
          </w:p>
        </w:tc>
      </w:tr>
      <w:tr>
        <w:trPr>
          <w:trHeight w:val="27"/>
        </w:trPr>
        <w:tc>
          <w:tcPr>
            <w:tcW w:w="7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(307,247)</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(390,982)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1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(3,949)</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7"/>
        </w:trPr>
        <w:tc>
          <w:tcPr>
            <w:tcW w:w="7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(772,955)</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(99,644)</w:t>
            </w:r>
          </w:p>
        </w:tc>
      </w:tr>
      <w:tr>
        <w:trPr>
          <w:trHeight w:val="20"/>
        </w:trPr>
        <w:tc>
          <w:tcPr>
            <w:tcW w:w="7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operating cash flows primarily consist of the operating income generated by our Macau and Las Vegas Operations (excluding depreciation and amortization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and credit basis. Accordingly, operating cash flows will be impacted by changes in operating income and accounts receivable.</w:t>
      </w:r>
    </w:p>
    <w:p>
      <w:pPr>
        <w:spacing w:after="0" w:line="189"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Net cash used in operations for the three months ended March 31, 2018 was $53.6 million, compared to net cash provided by operations of $414.6 million for the same period of 2017. The change was primarily due to the $463.6 million litigation settlement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Net cash used in investing activities for the three months ended March 31, 2018 was $408.1 million, compared to $122.5 million for the same period of 2017 and was primarily attributable to capital expenditures, net of construction payables and retention. Capital expenditures, net of construction payables and retention, were $514.1 million for the three months ended March 31, 2018, and primarily consisted of $246.8 million for the acquisition of land on the Las Vegas Strip directly across from Wynn Las Vegas and $205.3 million for Encore Boston Harbor. Capital expenditures, net of construction payables and retention, of $145.6 million, for the three months ended March 31, 2017, were primarily for Encore Boston Harbor.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Net cash used in financing activities for the three months ended March 31, 2018 was $307.2 million, compared to $391.0 million for the same the period of 2017. During the three months ended March 31, 2018, we borrowed $800 million under the Bridge Facility and $250 million under the WA Senior Revolving Credit Facility which were used, along with cash on hand, to repay the Redemption Note principal amount of $1.94 billion. In addition, we borrowed $623.4 million under the Macau Senior Revolving Credit Facility and effectively extinguished $40.0 million of the 2025 Notes and 2027 Notes when Wynn Resorts purchased the notes. During the three months ended March 31, 2017, we used cash of $331.2 million for the repayment of borrowings under our Wynn Macau Credit Facilities (defined below) and WML Finance Credit Facility (defined below) and $51.3 million for the payment of dividends.</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of March 31, 2018, we had $2.03 billion of cash and cash equivalents and $129.7 million of available-for-sale investments in domestic and foreign debt securities. Cash and cash equivalents include cash on hand, cash in bank and fixed deposits, investments in money market funds, domestic and foreign bank time deposits, all with original maturities of less than 90 days. Of these amounts, WML and its subsidiaries (of which we own approximately 72%) held $1.58 billion in cash and cash equivalents. If our portion of this cash was repatriated to the U.S. on March 31, 2018, it would be subject to minimal U.S. taxes in the year of repatriation. Wynn America, LLC and Wynn Las Vegas, LLC held cash balances of $17.1 million and $150.9 million, respectively. Wynn Resorts, Limited (including its subsidiaries other than WML, Wynn America, LLC and Wynn Las Vegas, LLC), which is not a guarantor of the debt of its subsidiaries, held $278.8 million of cash and cash equivalents and $129.7 million of available-for-sale investments.</w:t>
      </w:r>
    </w:p>
    <w:p>
      <w:pPr>
        <w:spacing w:after="0" w:line="17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summarizes our outstanding borrowings and available borrowing capacity under our credit facilities as of March 31, 2018 (in thousands):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Facility Borrowing</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Borrowings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Letters of Credit</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Facility Availability</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Capacity</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Senior Term Loan Facility</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2,295,072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747,084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623,401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123,683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WML Finance Credit Facility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493,297</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U.S. Related: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Bridge Facility </w:t>
            </w:r>
            <w:r>
              <w:rPr>
                <w:rFonts w:ascii="Arial" w:cs="Arial" w:eastAsia="Arial" w:hAnsi="Arial"/>
                <w:sz w:val="14"/>
                <w:szCs w:val="14"/>
                <w:color w:val="auto"/>
              </w:rPr>
              <w:t>(3)</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Wynn America Credit Facilities </w:t>
            </w:r>
            <w:r>
              <w:rPr>
                <w:rFonts w:ascii="Arial" w:cs="Arial" w:eastAsia="Arial" w:hAnsi="Arial"/>
                <w:sz w:val="14"/>
                <w:szCs w:val="14"/>
                <w:color w:val="auto"/>
              </w:rPr>
              <w:t>(4)</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Senior Term Loan Facility</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107,311</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Total credit facilities</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5,710,453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4,968,473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17,689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724,291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right="280" w:hanging="412"/>
        <w:spacing w:after="0" w:line="277" w:lineRule="auto"/>
        <w:tabs>
          <w:tab w:leader="none" w:pos="4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Macau related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Wynn Macau SA has the ability to upsize the Wynn Macau Credit Facilities by an additional $1 billion in equivalent senior secured loans upon its satisfaction of various conditions.</w:t>
      </w:r>
    </w:p>
    <w:p>
      <w:pPr>
        <w:spacing w:after="0" w:line="120" w:lineRule="exact"/>
        <w:rPr>
          <w:rFonts w:ascii="Arial" w:cs="Arial" w:eastAsia="Arial" w:hAnsi="Arial"/>
          <w:sz w:val="13"/>
          <w:szCs w:val="13"/>
          <w:color w:val="auto"/>
        </w:rPr>
      </w:pPr>
    </w:p>
    <w:p>
      <w:pPr>
        <w:ind w:left="420" w:right="20" w:hanging="412"/>
        <w:spacing w:after="0" w:line="273"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Macau related credit facilities include a HK$3.87 billion (approximately $493.3 million) cash-collateralized revolving credit facility ("WML Finance Credit Facility") under which WML Finance I, Limited, an indirect wholly owned subsidiary of WML, is the borrower.</w:t>
      </w:r>
    </w:p>
    <w:p>
      <w:pPr>
        <w:spacing w:after="0" w:line="119" w:lineRule="exact"/>
        <w:rPr>
          <w:rFonts w:ascii="Arial" w:cs="Arial" w:eastAsia="Arial" w:hAnsi="Arial"/>
          <w:sz w:val="14"/>
          <w:szCs w:val="14"/>
          <w:color w:val="auto"/>
        </w:rPr>
      </w:pPr>
    </w:p>
    <w:p>
      <w:pPr>
        <w:jc w:val="both"/>
        <w:ind w:left="420" w:right="120" w:hanging="412"/>
        <w:spacing w:after="0" w:line="286" w:lineRule="auto"/>
        <w:tabs>
          <w:tab w:leader="none" w:pos="4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March 28, 2018, the Company entered into a credit agreement to provide for a 364-day term loan facility and borrowed the full amount available of $800 million (the "Bridge Facility"). The Bridge Facility bears interest at either LIBOR plus 2.75% per annum or base rate plus 1.75% per annum. On April 3, 2018, the Company used net proceeds from newly issued shares of its common stock to repay all amounts borrowed under the Bridge Facility, together with all interest accrued thereon, and the credit agreement terminated pursuant to its terms.</w:t>
      </w:r>
    </w:p>
    <w:p>
      <w:pPr>
        <w:spacing w:after="0" w:line="113" w:lineRule="exact"/>
        <w:rPr>
          <w:rFonts w:ascii="Arial" w:cs="Arial" w:eastAsia="Arial" w:hAnsi="Arial"/>
          <w:sz w:val="13"/>
          <w:szCs w:val="13"/>
          <w:color w:val="auto"/>
        </w:rPr>
      </w:pPr>
    </w:p>
    <w:p>
      <w:pPr>
        <w:ind w:left="420" w:right="120" w:hanging="412"/>
        <w:spacing w:after="0" w:line="257"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Wynn America credit facilities consist of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under which Wynn America, LLC, an indirect wholly owned subsidiary of the Company, is the borrower.</w:t>
      </w:r>
    </w:p>
    <w:p>
      <w:pPr>
        <w:spacing w:after="0" w:line="18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 Encore Boston Harbor, with the available borrowing capacity under our Wynn America Credit Facilities, cash flows from operations and existing cash balances.</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Wynn Resorts, Limited is a holding company and, as a result, our ability to pay dividends is highly dependent on our ability to obtain funds and our subsidiaries' ability to provide funds to us.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4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flows. We cannot assure you however, that our Las Vegas Operations will generate sufficient cash flows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flows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13, "Commitments and Contingencies."</w:t>
      </w:r>
    </w:p>
    <w:p>
      <w:pPr>
        <w:spacing w:after="0" w:line="18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Our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of March 31, 2018, we had $1.0 billion in repurchase authority under the program.</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interest rate swaps and foreign currency forward contracts. We do not have any retained or contingent interest in assets transferred to an unconsolidated entity. As of March 31, 2018, we had outstanding letters of credit totaling $17.7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2018, there have been no material changes to the contractual obligations previously reported in our Annual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Report on Form 10-K for the year ended December 31, 2017, other than (i) the borrowing of $800.0 million on the Bridge Facility, which was repaid in April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(ii) the borrowing of $623.4 million on the Wynn Macau Senior Revolving Credit Facility, which matures in September 2020, (iii) the borrowing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 million on the WA Senior Revolving Credit Facility, which was repaid in April 2018, (iv) the repayment of the $1.94 billion Redemption Note,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to mature in February 2022, and (v) the acquisition of a ground lease that has annual rental payments of $3.8 million for the next five years and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of $370.7 million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2017. There have been no significant changes to these policies for the three months ended March 31, 2018.</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in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2017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controversy, regulatory action, litigation and investigations related to Stephen A. Wynn and his separation from the Company;</w:t>
      </w:r>
    </w:p>
    <w:p>
      <w:pPr>
        <w:spacing w:after="0" w:line="23"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right="5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 (including those related to the former Chairman and CEO of the Company);</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36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right="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80" w:hanging="644"/>
        <w:spacing w:after="0" w:line="265"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 of March 31, 2018, approximately 47.6% of our long-term debt was based on fixed rates. Based on our borrowings as of March 31, 2018, an assumed 100 basis point change in the variable rates would cause our annual interest cost to change by $49.7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March 31, 2018, an assumed 1% change in the U.S. dollar/Hong Kong dollar exchange rate would cause a foreign currency transaction gain/loss of $24.8 million.</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13, "Commitments and Contingencies" of Part I in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has cooperated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description of our risk factors can be found in Item 1A, Part I of our Annual Report on Form 10-K for the year ended December 31, 2017. There were no material changes to those risk factors during the three months ended March 31, 2018 other than resolution of certain litigation as discussed in Item 1 —"Notes to Condensed Consolidated Financial Statements," Note 13, "Commitments and Contingencies" of Part I in this Quarterly Report on Form 10-Q.</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January 2018, we purchased 672 shares in satisfaction of tax withholding obligations on vested restricted stock at an average price of $168.73 per share, for a total amount of $0.1 million.</w:t>
      </w:r>
    </w:p>
    <w:p>
      <w:pPr>
        <w:spacing w:after="0" w:line="1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March 2018, we purchased 2,358 shares in satisfaction of tax withholding obligations on vested restricted stock at an average price of $168.42 per share, for a total amount of $0.4 million.</w:t>
      </w:r>
    </w:p>
    <w:p>
      <w:pPr>
        <w:spacing w:after="0" w:line="17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March 31, 2018 were part of the Company's publicly announced repurchase program. As of March 31, 2018, we had $1.0 billion in repurchase authority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Company adopted the new accounting guidance for revenue recognition ("ASC 606") on January 1, 2018. The Company elected to adopt this guidance using the full retrospective method, which requires the Company to adjust each prior reporting period presented consistent with the guidance. The following tables (dollars in thousands, except for ADR and REVPAR) present the full year and each quarter of 2017 on a basis consistent with the new guidance. Beginning with the quarter ended March 31, 2018, the Company’s financial information reflects the adoption of the guidance with prior periods adjusted accordingly.</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2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Fourth Quarter</w:t>
            </w:r>
          </w:p>
        </w:tc>
        <w:tc>
          <w:tcPr>
            <w:tcW w:w="360" w:type="dxa"/>
            <w:vAlign w:val="bottom"/>
          </w:tcPr>
          <w:p>
            <w:pPr>
              <w:spacing w:after="0"/>
              <w:rPr>
                <w:sz w:val="22"/>
                <w:szCs w:val="22"/>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w:t>
            </w:r>
          </w:p>
        </w:tc>
      </w:tr>
      <w:tr>
        <w:trPr>
          <w:trHeight w:val="250"/>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Macau</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Casino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487,974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578,061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498,825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508,933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2,073,793</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23,867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23,338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23,279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25,387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95,871</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68,111</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24,217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21,496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24,153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29,269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99,135</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552,716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638,476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562,049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583,669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2,336,910</w:t>
            </w:r>
          </w:p>
        </w:tc>
      </w:tr>
      <w:tr>
        <w:trPr>
          <w:trHeight w:val="297"/>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181,106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210,399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183,219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186,029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760,753</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EBITDA Margin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Room statistics: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ADR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243</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REVPAR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w:t>
            </w:r>
          </w:p>
        </w:tc>
      </w:tr>
      <w:tr>
        <w:trPr>
          <w:trHeight w:val="831"/>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 Quarter</w:t>
            </w:r>
          </w:p>
        </w:tc>
        <w:tc>
          <w:tcPr>
            <w:tcW w:w="22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Fourth Quarter</w:t>
            </w:r>
          </w:p>
        </w:tc>
        <w:tc>
          <w:tcPr>
            <w:tcW w:w="360" w:type="dxa"/>
            <w:vAlign w:val="bottom"/>
          </w:tcPr>
          <w:p>
            <w:pPr>
              <w:spacing w:after="0"/>
              <w:rPr>
                <w:sz w:val="22"/>
                <w:szCs w:val="22"/>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w:t>
            </w:r>
          </w:p>
        </w:tc>
      </w:tr>
      <w:tr>
        <w:trPr>
          <w:trHeight w:val="250"/>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Palace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Casino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377,100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323,263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447,066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566,988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1,714,417</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29,328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27,861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29,510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35,011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121,710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96,078</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23,545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23,545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24,411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26,581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98,082</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452,306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396,407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525,029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656,545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2,030,287</w:t>
            </w:r>
          </w:p>
        </w:tc>
      </w:tr>
      <w:tr>
        <w:trPr>
          <w:trHeight w:val="297"/>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111,856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87,403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138,228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190,096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527,583</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EBITDA Margin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Room statistics: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ADR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199</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REVPAR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191</w:t>
            </w:r>
          </w:p>
        </w:tc>
      </w:tr>
      <w:tr>
        <w:trPr>
          <w:trHeight w:val="837"/>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55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Year Ended December 31, 2017</w:t>
            </w: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First Quarter</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w w:val="98"/>
              </w:rPr>
              <w:t>Second Quarter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w:t>
            </w:r>
          </w:p>
        </w:tc>
      </w:tr>
      <w:tr>
        <w:trPr>
          <w:trHeight w:val="250"/>
        </w:trPr>
        <w:tc>
          <w:tcPr>
            <w:tcW w:w="40" w:type="dxa"/>
            <w:vAlign w:val="bottom"/>
          </w:tcPr>
          <w:p>
            <w:pPr>
              <w:spacing w:after="0"/>
              <w:rPr>
                <w:sz w:val="21"/>
                <w:szCs w:val="21"/>
                <w:color w:val="auto"/>
              </w:rPr>
            </w:pPr>
          </w:p>
        </w:tc>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101,237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456,093</w:t>
            </w:r>
          </w:p>
        </w:tc>
      </w:tr>
      <w:tr>
        <w:trPr>
          <w:trHeight w:val="243"/>
        </w:trPr>
        <w:tc>
          <w:tcPr>
            <w:tcW w:w="40" w:type="dxa"/>
            <w:vAlign w:val="bottom"/>
          </w:tcPr>
          <w:p>
            <w:pPr>
              <w:spacing w:after="0"/>
              <w:rPr>
                <w:sz w:val="21"/>
                <w:szCs w:val="21"/>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Rooms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115,629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113,741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117,582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106,424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453,376</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Food and beverage</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125,542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166,975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160,217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115,192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567,926</w:t>
            </w:r>
          </w:p>
        </w:tc>
      </w:tr>
      <w:tr>
        <w:trPr>
          <w:trHeight w:val="243"/>
        </w:trPr>
        <w:tc>
          <w:tcPr>
            <w:tcW w:w="40" w:type="dxa"/>
            <w:vAlign w:val="bottom"/>
          </w:tcPr>
          <w:p>
            <w:pPr>
              <w:spacing w:after="0"/>
              <w:rPr>
                <w:sz w:val="21"/>
                <w:szCs w:val="21"/>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Entertainment, retail and other</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52,898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56,789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56,784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59,097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225,568</w:t>
            </w: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418,735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438,009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464,269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381,950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1,702,963</w:t>
            </w:r>
          </w:p>
        </w:tc>
      </w:tr>
      <w:tr>
        <w:trPr>
          <w:trHeight w:val="297"/>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132,210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151,510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104,101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522,398</w:t>
            </w:r>
          </w:p>
        </w:tc>
      </w:tr>
      <w:tr>
        <w:trPr>
          <w:trHeight w:val="243"/>
        </w:trPr>
        <w:tc>
          <w:tcPr>
            <w:tcW w:w="4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EBITDA Margin</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40" w:type="dxa"/>
            <w:vAlign w:val="bottom"/>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Room statistics: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43"/>
        </w:trPr>
        <w:tc>
          <w:tcPr>
            <w:tcW w:w="40" w:type="dxa"/>
            <w:vAlign w:val="bottom"/>
          </w:tcPr>
          <w:p>
            <w:pPr>
              <w:spacing w:after="0"/>
              <w:rPr>
                <w:sz w:val="21"/>
                <w:szCs w:val="21"/>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ADR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REVPAR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264</w:t>
            </w:r>
          </w:p>
        </w:tc>
      </w:tr>
      <w:tr>
        <w:trPr>
          <w:trHeight w:val="83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92"/>
              </w:rPr>
              <w:t>Year Ended December 31, 2017</w:t>
            </w: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7"/>
              </w:rPr>
              <w:t>Second Quarter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Fourth Quarter</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Year</w:t>
            </w:r>
          </w:p>
        </w:tc>
      </w:tr>
      <w:tr>
        <w:trPr>
          <w:trHeight w:val="250"/>
        </w:trPr>
        <w:tc>
          <w:tcPr>
            <w:tcW w:w="40" w:type="dxa"/>
            <w:vAlign w:val="bottom"/>
          </w:tcPr>
          <w:p>
            <w:pPr>
              <w:spacing w:after="0"/>
              <w:rPr>
                <w:sz w:val="21"/>
                <w:szCs w:val="21"/>
                <w:color w:val="auto"/>
              </w:rPr>
            </w:pPr>
          </w:p>
        </w:tc>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Wynn Resorts, Limited Consolidated</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Casino</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989,740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1,001,828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1,177,158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4,244,303</w:t>
            </w:r>
          </w:p>
        </w:tc>
      </w:tr>
      <w:tr>
        <w:trPr>
          <w:trHeight w:val="243"/>
        </w:trPr>
        <w:tc>
          <w:tcPr>
            <w:tcW w:w="40" w:type="dxa"/>
            <w:vAlign w:val="bottom"/>
          </w:tcPr>
          <w:p>
            <w:pPr>
              <w:spacing w:after="0"/>
              <w:rPr>
                <w:sz w:val="21"/>
                <w:szCs w:val="21"/>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Rooms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168,824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164,940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170,371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166,822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670,957</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Food and beverage</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204,294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732,115</w:t>
            </w:r>
          </w:p>
        </w:tc>
      </w:tr>
      <w:tr>
        <w:trPr>
          <w:trHeight w:val="243"/>
        </w:trPr>
        <w:tc>
          <w:tcPr>
            <w:tcW w:w="40" w:type="dxa"/>
            <w:vAlign w:val="bottom"/>
          </w:tcPr>
          <w:p>
            <w:pPr>
              <w:spacing w:after="0"/>
              <w:rPr>
                <w:sz w:val="21"/>
                <w:szCs w:val="21"/>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Entertainment, retail and other</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100,660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8"/>
              <w:spacing w:after="0"/>
              <w:rPr>
                <w:sz w:val="20"/>
                <w:szCs w:val="20"/>
                <w:color w:val="auto"/>
              </w:rPr>
            </w:pPr>
            <w:r>
              <w:rPr>
                <w:rFonts w:ascii="Arial" w:cs="Arial" w:eastAsia="Arial" w:hAnsi="Arial"/>
                <w:sz w:val="18"/>
                <w:szCs w:val="18"/>
                <w:color w:val="auto"/>
              </w:rPr>
              <w:t>101,830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114,947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422,785</w:t>
            </w: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1,423,757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1,472,892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1,551,347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1,622,164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6,070,160</w:t>
            </w:r>
          </w:p>
        </w:tc>
      </w:tr>
      <w:tr>
        <w:trPr>
          <w:trHeight w:val="1053"/>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1080" w:right="1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31">
        <w:r>
          <w:rPr>
            <w:rFonts w:ascii="Arial" w:cs="Arial" w:eastAsia="Arial" w:hAnsi="Arial"/>
            <w:sz w:val="18"/>
            <w:szCs w:val="18"/>
            <w:u w:val="single" w:color="auto"/>
            <w:color w:val="0000FF"/>
          </w:rPr>
          <w:t>Third Amended and Restated Articles of Incorporation of the Registrant. (Incorporated by reference from the Quarterly Report on Form 10-Q</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filed by the Registrant on May 8, 2015.)</w:t>
        </w:r>
      </w:hyperlink>
    </w:p>
    <w:p>
      <w:pPr>
        <w:spacing w:after="0" w:line="8" w:lineRule="exact"/>
        <w:rPr>
          <w:sz w:val="20"/>
          <w:szCs w:val="20"/>
          <w:color w:val="auto"/>
        </w:rPr>
      </w:pPr>
    </w:p>
    <w:p>
      <w:pPr>
        <w:ind w:left="1080" w:right="4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32">
        <w:r>
          <w:rPr>
            <w:rFonts w:ascii="Arial" w:cs="Arial" w:eastAsia="Arial" w:hAnsi="Arial"/>
            <w:sz w:val="18"/>
            <w:szCs w:val="18"/>
            <w:u w:val="single" w:color="auto"/>
            <w:color w:val="0000FF"/>
          </w:rPr>
          <w:t>Eighth Amended and Restated Bylaws of the Registrant. (Incorporated by reference from the Quarterly Report on Form 10-Q filed by the</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Registrant on November 6, 2015.)</w:t>
        </w:r>
      </w:hyperlink>
    </w:p>
    <w:p>
      <w:pPr>
        <w:spacing w:after="0" w:line="8" w:lineRule="exact"/>
        <w:rPr>
          <w:sz w:val="20"/>
          <w:szCs w:val="20"/>
          <w:color w:val="auto"/>
        </w:rPr>
      </w:pPr>
    </w:p>
    <w:p>
      <w:pPr>
        <w:ind w:left="1080" w:right="80" w:hanging="400"/>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33">
        <w:r>
          <w:rPr>
            <w:rFonts w:ascii="Arial" w:cs="Arial" w:eastAsia="Arial" w:hAnsi="Arial"/>
            <w:sz w:val="18"/>
            <w:szCs w:val="18"/>
            <w:u w:val="single" w:color="auto"/>
            <w:color w:val="0000FF"/>
          </w:rPr>
          <w:t>Second Supplemental Indenture, dated as of March 20, 2018, to Indenture, dated as of May 22, 2013, by and among Wynn Las Vegas, LLC,</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Wynn Las Vegas Capital Corp., the guarantors party thereto and U.S. Bank National Association. (Incorporated by reference from the Current</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Report on Form 8-K filed by the Registrant on March 21, 2018.)</w:t>
        </w:r>
      </w:hyperlink>
    </w:p>
    <w:p>
      <w:pPr>
        <w:spacing w:after="0" w:line="235" w:lineRule="exact"/>
        <w:rPr>
          <w:rFonts w:ascii="Arial" w:cs="Arial" w:eastAsia="Arial" w:hAnsi="Arial"/>
          <w:sz w:val="18"/>
          <w:szCs w:val="18"/>
          <w:u w:val="single" w:color="auto"/>
          <w:color w:val="0000FF"/>
        </w:rPr>
      </w:pPr>
    </w:p>
    <w:p>
      <w:pPr>
        <w:ind w:left="1080" w:right="34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4">
        <w:r>
          <w:rPr>
            <w:rFonts w:ascii="Arial" w:cs="Arial" w:eastAsia="Arial" w:hAnsi="Arial"/>
            <w:sz w:val="18"/>
            <w:szCs w:val="18"/>
            <w:u w:val="single" w:color="auto"/>
            <w:color w:val="0000FF"/>
          </w:rPr>
          <w:t>Registration Rights Agreement, dated March 20, 2018, by and between Wynn Resorts, Limited and the Wynn Family Limited Partnership.</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(Incorporated by reference from the Current Report on Form 8-K filed by the Registrant on March 23, 2018.)</w:t>
        </w:r>
      </w:hyperlink>
    </w:p>
    <w:p>
      <w:pPr>
        <w:spacing w:after="0" w:line="8" w:lineRule="exact"/>
        <w:rPr>
          <w:sz w:val="20"/>
          <w:szCs w:val="20"/>
          <w:color w:val="auto"/>
        </w:rPr>
      </w:pPr>
    </w:p>
    <w:p>
      <w:pPr>
        <w:ind w:left="1080" w:right="360" w:hanging="400"/>
        <w:spacing w:after="0" w:line="317"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35">
        <w:r>
          <w:rPr>
            <w:rFonts w:ascii="Arial" w:cs="Arial" w:eastAsia="Arial" w:hAnsi="Arial"/>
            <w:sz w:val="16"/>
            <w:szCs w:val="16"/>
            <w:u w:val="single" w:color="auto"/>
            <w:color w:val="0000FF"/>
          </w:rPr>
          <w:t>Consent and Waiver to the Registration Rights Agreement, dated March 22, 2018, by and between Wynn Resorts, Limited and the Wynn</w:t>
        </w:r>
      </w:hyperlink>
      <w:r>
        <w:rPr>
          <w:rFonts w:ascii="Arial" w:cs="Arial" w:eastAsia="Arial" w:hAnsi="Arial"/>
          <w:sz w:val="16"/>
          <w:szCs w:val="16"/>
          <w:u w:val="single" w:color="auto"/>
          <w:color w:val="0000FF"/>
        </w:rPr>
        <w:t xml:space="preserve"> </w:t>
      </w:r>
      <w:hyperlink r:id="rId35">
        <w:r>
          <w:rPr>
            <w:rFonts w:ascii="Arial" w:cs="Arial" w:eastAsia="Arial" w:hAnsi="Arial"/>
            <w:sz w:val="16"/>
            <w:szCs w:val="16"/>
            <w:u w:val="single" w:color="auto"/>
            <w:color w:val="0000FF"/>
          </w:rPr>
          <w:t>Family Limited Partnership. (Incorporated by reference from the Current Report on Form 8-K filed by the Registrant on March 23, 2018.)</w:t>
        </w:r>
      </w:hyperlink>
    </w:p>
    <w:p>
      <w:pPr>
        <w:ind w:left="1080" w:right="380" w:hanging="489"/>
        <w:spacing w:after="0" w:line="29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36">
        <w:r>
          <w:rPr>
            <w:rFonts w:ascii="Arial" w:cs="Arial" w:eastAsia="Arial" w:hAnsi="Arial"/>
            <w:sz w:val="17"/>
            <w:szCs w:val="17"/>
            <w:u w:val="single" w:color="auto"/>
            <w:color w:val="0000FF"/>
          </w:rPr>
          <w:t>Separation Agreement, dated February 15, 2018, by and between Wynn Resorts, Limited, Stephen A. Wynn, and Wynn Resorts Holdings,</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LLC. (Incorporated by reference from the Current Report on Form 8-K filed by the Registrant on February 16, 2018.)</w:t>
        </w:r>
      </w:hyperlink>
    </w:p>
    <w:p>
      <w:pPr>
        <w:spacing w:after="0" w:line="1" w:lineRule="exact"/>
        <w:rPr>
          <w:sz w:val="20"/>
          <w:szCs w:val="20"/>
          <w:color w:val="auto"/>
        </w:rPr>
      </w:pPr>
    </w:p>
    <w:p>
      <w:pPr>
        <w:ind w:left="1080" w:hanging="489"/>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37">
        <w:r>
          <w:rPr>
            <w:rFonts w:ascii="Arial" w:cs="Arial" w:eastAsia="Arial" w:hAnsi="Arial"/>
            <w:sz w:val="18"/>
            <w:szCs w:val="18"/>
            <w:u w:val="single" w:color="auto"/>
            <w:color w:val="0000FF"/>
          </w:rPr>
          <w:t>Settlement Agreement and Mutual Release, dated March 8, 2018, by and between Wynn Resorts, Limited, Stephen A. Wynn, Linda Chen,</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Russell Goldsmith, Ray R. Irani, Robert J. Miller, John A. Moran, Marc D. Schorr, Alvin V. Shoemaker, D. Boone Wayson, Allan Zeman,</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Kimmarie Sinatra, Universal Entertainment Corp., and Aruze USA, Inc. (Incorporated by reference from the Current Report on Form 8-K filed</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by the Registrant on March 9, 2018.)</w:t>
        </w:r>
      </w:hyperlink>
    </w:p>
    <w:p>
      <w:pPr>
        <w:spacing w:after="0" w:line="25" w:lineRule="exact"/>
        <w:rPr>
          <w:rFonts w:ascii="Arial" w:cs="Arial" w:eastAsia="Arial" w:hAnsi="Arial"/>
          <w:sz w:val="18"/>
          <w:szCs w:val="18"/>
          <w:u w:val="single" w:color="auto"/>
          <w:color w:val="0000FF"/>
        </w:rPr>
      </w:pPr>
    </w:p>
    <w:p>
      <w:pPr>
        <w:ind w:left="1080" w:right="260" w:hanging="489"/>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38">
        <w:r>
          <w:rPr>
            <w:rFonts w:ascii="Arial" w:cs="Arial" w:eastAsia="Arial" w:hAnsi="Arial"/>
            <w:sz w:val="18"/>
            <w:szCs w:val="18"/>
            <w:u w:val="single" w:color="auto"/>
            <w:color w:val="0000FF"/>
          </w:rPr>
          <w:t>Credit Agreement, dated March 28, 2018, by and among Wynn Resorts, Limited, as borrower, Wynn Group Asia, Inc. and Wynn Resorts</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Holdings, LLC, as guarantors, Deutsche Bank AG Cayman Islands Branch, as administrative agent, Deutsche Bank Securities Inc., as Lead</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Arranger and Bookrunner, and the lenders party thereto. (Incorporated by reference from the Current Report on Form 8-K filed by the</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Registrant on April 3, 2018.)</w:t>
        </w:r>
      </w:hyperlink>
    </w:p>
    <w:p>
      <w:pPr>
        <w:spacing w:after="0" w:line="25" w:lineRule="exact"/>
        <w:rPr>
          <w:rFonts w:ascii="Arial" w:cs="Arial" w:eastAsia="Arial" w:hAnsi="Arial"/>
          <w:sz w:val="18"/>
          <w:szCs w:val="18"/>
          <w:u w:val="single" w:color="auto"/>
          <w:color w:val="0000FF"/>
        </w:rPr>
      </w:pPr>
    </w:p>
    <w:p>
      <w:pPr>
        <w:ind w:left="1080" w:right="140" w:hanging="489"/>
        <w:spacing w:after="0" w:line="317"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39">
        <w:r>
          <w:rPr>
            <w:rFonts w:ascii="Arial" w:cs="Arial" w:eastAsia="Arial" w:hAnsi="Arial"/>
            <w:sz w:val="16"/>
            <w:szCs w:val="16"/>
            <w:u w:val="single" w:color="auto"/>
            <w:color w:val="0000FF"/>
          </w:rPr>
          <w:t>Settlement Agreement and Mutual Release, dated April 16, 2018, by and between Wynn Resorts, Limited, Stephen A. Wynn, Elaine P. Wynn</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and Kimmarie Sinatra. (Incorporated by reference from the Current Report on Form 8-K filed by the Registrant on April 18, 2018.)</w:t>
        </w:r>
      </w:hyperlink>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w:anchor="page51">
        <w:r>
          <w:rPr>
            <w:rFonts w:ascii="Arial" w:cs="Arial" w:eastAsia="Arial" w:hAnsi="Arial"/>
            <w:sz w:val="16"/>
            <w:szCs w:val="16"/>
            <w:u w:val="single" w:color="auto"/>
            <w:color w:val="0000FF"/>
          </w:rPr>
          <w:t>Amended and Restated Employment Agreement, dated as of April 17, 2018, by and between Wynn Resorts, Limited and Matt Maddox.</w:t>
        </w:r>
      </w:hyperlink>
    </w:p>
    <w:p>
      <w:pPr>
        <w:spacing w:after="0" w:line="63" w:lineRule="exact"/>
        <w:rPr>
          <w:sz w:val="20"/>
          <w:szCs w:val="20"/>
          <w:color w:val="auto"/>
        </w:rPr>
      </w:pPr>
    </w:p>
    <w:p>
      <w:pPr>
        <w:ind w:left="1080" w:right="140" w:hanging="58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w:anchor="page77">
        <w:r>
          <w:rPr>
            <w:rFonts w:ascii="Arial" w:cs="Arial" w:eastAsia="Arial" w:hAnsi="Arial"/>
            <w:sz w:val="18"/>
            <w:szCs w:val="18"/>
            <w:u w:val="single" w:color="auto"/>
            <w:color w:val="0000FF"/>
          </w:rPr>
          <w:t>First Amendment to the Amended and Restated Employment Agreement, dated as of April 17, 2018, by and between Wynn Resorts, Limited</w:t>
        </w:r>
      </w:hyperlink>
      <w:r>
        <w:rPr>
          <w:rFonts w:ascii="Arial" w:cs="Arial" w:eastAsia="Arial" w:hAnsi="Arial"/>
          <w:sz w:val="18"/>
          <w:szCs w:val="18"/>
          <w:u w:val="single" w:color="auto"/>
          <w:color w:val="0000FF"/>
        </w:rPr>
        <w:t xml:space="preserve"> </w:t>
      </w:r>
      <w:hyperlink w:anchor="page77">
        <w:r>
          <w:rPr>
            <w:rFonts w:ascii="Arial" w:cs="Arial" w:eastAsia="Arial" w:hAnsi="Arial"/>
            <w:sz w:val="18"/>
            <w:szCs w:val="18"/>
            <w:u w:val="single" w:color="auto"/>
            <w:color w:val="0000FF"/>
          </w:rPr>
          <w:t>and Kim Sinatra.</w:t>
        </w:r>
      </w:hyperlink>
    </w:p>
    <w:p>
      <w:pPr>
        <w:spacing w:after="0" w:line="8"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w:anchor="page80">
        <w:r>
          <w:rPr>
            <w:rFonts w:ascii="Arial" w:cs="Arial" w:eastAsia="Arial" w:hAnsi="Arial"/>
            <w:sz w:val="16"/>
            <w:szCs w:val="16"/>
            <w:u w:val="single" w:color="auto"/>
            <w:color w:val="0000FF"/>
          </w:rPr>
          <w:t>First Amendment to Employment Agreement, dated as of April 17, 2018, by and between Wynn Resorts, Limited and Craig S. Billings.</w:t>
        </w:r>
      </w:hyperlink>
    </w:p>
    <w:p>
      <w:pPr>
        <w:spacing w:after="0" w:line="63"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84">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63"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85">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6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86">
        <w:r>
          <w:rPr>
            <w:rFonts w:ascii="Arial" w:cs="Arial" w:eastAsia="Arial" w:hAnsi="Arial"/>
            <w:sz w:val="16"/>
            <w:szCs w:val="16"/>
            <w:u w:val="single" w:color="auto"/>
            <w:color w:val="0000FF"/>
          </w:rPr>
          <w:t>Certification of CEO and CFO Pursuant to 18 U.S.C. Section 1350.</w:t>
        </w:r>
      </w:hyperlink>
    </w:p>
    <w:p>
      <w:pPr>
        <w:spacing w:after="0" w:line="63" w:lineRule="exact"/>
        <w:rPr>
          <w:sz w:val="20"/>
          <w:szCs w:val="20"/>
          <w:color w:val="auto"/>
        </w:rPr>
      </w:pPr>
    </w:p>
    <w:p>
      <w:pPr>
        <w:ind w:left="1080" w:hanging="539"/>
        <w:spacing w:after="0" w:line="293"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quarter ended March 31, 2018, filed with the SEC on May 9, 2018 formatted in Extensible Business Reporting Language (XBRL): (i) the Condensed Consolidated Balance Sheets as of March 31, 2018 and December 31, 2017, (ii) the Condensed Consolidated Statements of Operations for the three months ended March 31, 2018 and 2017, (iii) the Condensed Consolidated Statements of Comprehensive Income (Loss) for the three months ended March 31, 2018 and 2017, (iv) the Condensed Consolidated Statement of Stockholders' Equity as of March 31, 2018, (v) the Condensed Consolidated Statements of Cash Flows for the three months ended March 31, 2018 and 2017, and (vi) Notes to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2" w:right="27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80"/>
          </w:cols>
          <w:pgMar w:left="240" w:top="122" w:right="87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10.5</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EMPLOYMENT AGREEMENT</w:t>
      </w:r>
    </w:p>
    <w:p>
      <w:pPr>
        <w:spacing w:after="0" w:line="189" w:lineRule="exact"/>
        <w:rPr>
          <w:sz w:val="20"/>
          <w:szCs w:val="20"/>
          <w:color w:val="auto"/>
        </w:rPr>
      </w:pPr>
    </w:p>
    <w:p>
      <w:pPr>
        <w:ind w:left="41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 xml:space="preserve">THIS AMENDED AND RESTATED EMPLOYMENT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17th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day of April, 2018,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MATT MADDOX</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W I T N E S S E T H</w:t>
      </w:r>
      <w:r>
        <w:rPr>
          <w:rFonts w:ascii="Arial" w:cs="Arial" w:eastAsia="Arial" w:hAnsi="Arial"/>
          <w:sz w:val="20"/>
          <w:szCs w:val="20"/>
          <w:b w:val="1"/>
          <w:bCs w:val="1"/>
          <w:i w:val="1"/>
          <w:i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a corporation duly organized and existing under the laws of the State of Nevada, maintains 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principal place of business at 3131 Las Vegas Boulevard South, Las Vegas, Nevada 89109, and is engaged in the business of developing, owning and operating casino resorts;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an adult individual residing at [intentionally omitted];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furtherance of its business, Employer has need of qualified, experienced executives; and</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Employer’s affiliate, Worldwide Wynn, LLC, hired Employee to serve as Vice President – Chief Financial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 of Wynn Macau pursuant to the terms of an Employment Agreement effective as of March 17, 2003 (the “</w:t>
      </w:r>
      <w:r>
        <w:rPr>
          <w:rFonts w:ascii="Arial" w:cs="Arial" w:eastAsia="Arial" w:hAnsi="Arial"/>
          <w:sz w:val="20"/>
          <w:szCs w:val="20"/>
          <w:b w:val="1"/>
          <w:bCs w:val="1"/>
          <w:color w:val="auto"/>
        </w:rPr>
        <w:t>2003</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2003 Agreement was subsequently amended effective as of September 4, 2004 (the “</w:t>
      </w:r>
      <w:r>
        <w:rPr>
          <w:rFonts w:ascii="Arial" w:cs="Arial" w:eastAsia="Arial" w:hAnsi="Arial"/>
          <w:sz w:val="20"/>
          <w:szCs w:val="20"/>
          <w:b w:val="1"/>
          <w:bCs w:val="1"/>
          <w:color w:val="auto"/>
        </w:rPr>
        <w:t>2004</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extending the Term of the 2003 Agreement through March 17, 2009; and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2003 Agreement was terminated by agreement between Worldwide Wynn, LLC and Employee effective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October 1, 2005 (the “</w:t>
      </w:r>
      <w:r>
        <w:rPr>
          <w:rFonts w:ascii="Arial" w:cs="Arial" w:eastAsia="Arial" w:hAnsi="Arial"/>
          <w:sz w:val="20"/>
          <w:szCs w:val="20"/>
          <w:b w:val="1"/>
          <w:bCs w:val="1"/>
          <w:color w:val="auto"/>
        </w:rPr>
        <w:t>Termination Agreement</w:t>
      </w:r>
      <w:r>
        <w:rPr>
          <w:rFonts w:ascii="Arial" w:cs="Arial" w:eastAsia="Arial" w:hAnsi="Arial"/>
          <w:sz w:val="20"/>
          <w:szCs w:val="20"/>
          <w:color w:val="auto"/>
        </w:rPr>
        <w:t>”); and</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Employer’s affiliate, Wynn Las Vegas, LLC, hired Employee to serve as Vice President –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Development of Wynn Las Vegas, LLC pursuant to the terms of an Employment Agreement effective as of October 1, 2005 (the “</w:t>
      </w:r>
      <w:r>
        <w:rPr>
          <w:rFonts w:ascii="Arial" w:cs="Arial" w:eastAsia="Arial" w:hAnsi="Arial"/>
          <w:sz w:val="20"/>
          <w:szCs w:val="20"/>
          <w:b w:val="1"/>
          <w:bCs w:val="1"/>
          <w:color w:val="auto"/>
        </w:rPr>
        <w:t>2005 Agreement</w:t>
      </w:r>
      <w:r>
        <w:rPr>
          <w:rFonts w:ascii="Arial" w:cs="Arial" w:eastAsia="Arial" w:hAnsi="Arial"/>
          <w:sz w:val="20"/>
          <w:szCs w:val="20"/>
          <w:color w:val="auto"/>
        </w:rPr>
        <w:t>”); and</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May 5, 2008 (the “</w:t>
      </w:r>
      <w:r>
        <w:rPr>
          <w:rFonts w:ascii="Arial" w:cs="Arial" w:eastAsia="Arial" w:hAnsi="Arial"/>
          <w:sz w:val="20"/>
          <w:szCs w:val="20"/>
          <w:b w:val="1"/>
          <w:bCs w:val="1"/>
          <w:color w:val="auto"/>
        </w:rPr>
        <w:t>2008 First Amendment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assigning Employee to Employer, changing Employee’s title and duties to that of Chief Financial Officer of Employer, and extending the Term of the 2005 Agreement through May 31, 2012; and</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December 31, 2008 (the “</w:t>
      </w:r>
      <w:r>
        <w:rPr>
          <w:rFonts w:ascii="Arial" w:cs="Arial" w:eastAsia="Arial" w:hAnsi="Arial"/>
          <w:sz w:val="20"/>
          <w:szCs w:val="20"/>
          <w:b w:val="1"/>
          <w:bCs w:val="1"/>
          <w:color w:val="auto"/>
        </w:rPr>
        <w:t>2008 Second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314" w:right="239" w:bottom="1440" w:gutter="0" w:footer="0" w:header="0"/>
        </w:sectPr>
      </w:pPr>
    </w:p>
    <w:bookmarkStart w:id="51" w:name="page52"/>
    <w:bookmarkEnd w:id="51"/>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February 16, 2009 (the “</w:t>
      </w:r>
      <w:r>
        <w:rPr>
          <w:rFonts w:ascii="Arial" w:cs="Arial" w:eastAsia="Arial" w:hAnsi="Arial"/>
          <w:sz w:val="20"/>
          <w:szCs w:val="20"/>
          <w:b w:val="1"/>
          <w:bCs w:val="1"/>
          <w:color w:val="auto"/>
        </w:rPr>
        <w:t>2009 Third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March 11, 2009 (the “</w:t>
      </w:r>
      <w:r>
        <w:rPr>
          <w:rFonts w:ascii="Arial" w:cs="Arial" w:eastAsia="Arial" w:hAnsi="Arial"/>
          <w:sz w:val="20"/>
          <w:szCs w:val="20"/>
          <w:b w:val="1"/>
          <w:bCs w:val="1"/>
          <w:color w:val="auto"/>
        </w:rPr>
        <w:t>2009 Fourth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extending the Term of the 2005 Agreement through November 30, 2013; and</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was subsequently amended effective as of February 2, 2010 (the “</w:t>
      </w:r>
      <w:r>
        <w:rPr>
          <w:rFonts w:ascii="Arial" w:cs="Arial" w:eastAsia="Arial" w:hAnsi="Arial"/>
          <w:sz w:val="20"/>
          <w:szCs w:val="20"/>
          <w:b w:val="1"/>
          <w:bCs w:val="1"/>
          <w:color w:val="auto"/>
        </w:rPr>
        <w:t>2010 Fifth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2005 Agreement terminated by its terms as of November 30, 2013; and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Employee and Employer entered into an Employment Agreement for Employee to serve as Employer’s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President and Chief Financial Officer, effective as of November 4, 2013 (the “</w:t>
      </w:r>
      <w:r>
        <w:rPr>
          <w:rFonts w:ascii="Arial" w:cs="Arial" w:eastAsia="Arial" w:hAnsi="Arial"/>
          <w:sz w:val="20"/>
          <w:szCs w:val="20"/>
          <w:b w:val="1"/>
          <w:bCs w:val="1"/>
          <w:color w:val="auto"/>
        </w:rPr>
        <w:t>2013 Employment Agreement</w:t>
      </w:r>
      <w:r>
        <w:rPr>
          <w:rFonts w:ascii="Arial" w:cs="Arial" w:eastAsia="Arial" w:hAnsi="Arial"/>
          <w:sz w:val="20"/>
          <w:szCs w:val="20"/>
          <w:color w:val="auto"/>
        </w:rPr>
        <w:t>”); and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Employee currently serves as President of Employer pursuant to the terms of an Amended and Restated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Employment Agreement effective as of November 4, 2016 (the “</w:t>
      </w:r>
      <w:r>
        <w:rPr>
          <w:rFonts w:ascii="Arial" w:cs="Arial" w:eastAsia="Arial" w:hAnsi="Arial"/>
          <w:sz w:val="20"/>
          <w:szCs w:val="20"/>
          <w:b w:val="1"/>
          <w:bCs w:val="1"/>
          <w:color w:val="auto"/>
        </w:rPr>
        <w:t>Prior Agreement</w:t>
      </w:r>
      <w:r>
        <w:rPr>
          <w:rFonts w:ascii="Arial" w:cs="Arial" w:eastAsia="Arial" w:hAnsi="Arial"/>
          <w:sz w:val="20"/>
          <w:szCs w:val="20"/>
          <w:color w:val="auto"/>
        </w:rPr>
        <w:t>”); and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Prior Agreement terminates by its terms as of December 31, 2019, and Employee and Employer desire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enter into this Agreement to ensure the continued employment of Employee by Employer; and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has represented and warranted to Employer that Employee possesses sufficient qualifications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expertise to fulfill the terms of the employment stated in this Agreement; and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willing to employ Employee, and Employee is desirous of accepting employment from Employer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terms and pursuant to the conditions set forth herein.</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for and in consideration of the foregoing recitals, and in consideration of the mutual covenants,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understandings, undertakings, representations, warranties and promises hereinafter set forth, and intending to be legally bound thereby, Employer and Employee do hereby covenant and agree as follows:</w:t>
      </w:r>
    </w:p>
    <w:p>
      <w:pPr>
        <w:spacing w:after="0" w:line="226" w:lineRule="exact"/>
        <w:rPr>
          <w:sz w:val="20"/>
          <w:szCs w:val="20"/>
          <w:color w:val="auto"/>
        </w:rPr>
      </w:pPr>
    </w:p>
    <w:p>
      <w:pPr>
        <w:ind w:firstLine="656"/>
        <w:spacing w:after="0" w:line="342" w:lineRule="auto"/>
        <w:tabs>
          <w:tab w:leader="none" w:pos="146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DEFINITIONS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used in this Agreement, the words and terms hereinafter defined have the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meanings ascribed to them, unless a different meaning clearly appears from the context:</w:t>
      </w:r>
    </w:p>
    <w:p>
      <w:pPr>
        <w:spacing w:after="0" w:line="343" w:lineRule="exact"/>
        <w:rPr>
          <w:rFonts w:ascii="Arial" w:cs="Arial" w:eastAsia="Arial" w:hAnsi="Arial"/>
          <w:sz w:val="20"/>
          <w:szCs w:val="20"/>
          <w:b w:val="1"/>
          <w:bCs w:val="1"/>
          <w:color w:val="auto"/>
        </w:rPr>
      </w:pPr>
    </w:p>
    <w:p>
      <w:pPr>
        <w:jc w:val="both"/>
        <w:ind w:left="660" w:firstLine="645"/>
        <w:spacing w:after="0" w:line="316" w:lineRule="auto"/>
        <w:tabs>
          <w:tab w:leader="none" w:pos="2198" w:val="left"/>
        </w:tabs>
        <w:numPr>
          <w:ilvl w:val="1"/>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300" w:right="239" w:bottom="1440" w:gutter="0" w:footer="0" w:header="0"/>
        </w:sectPr>
      </w:pPr>
    </w:p>
    <w:bookmarkStart w:id="52" w:name="page53"/>
    <w:bookmarkEnd w:id="52"/>
    <w:p>
      <w:pPr>
        <w:jc w:val="both"/>
        <w:spacing w:after="0" w:line="313" w:lineRule="auto"/>
        <w:rPr>
          <w:sz w:val="20"/>
          <w:szCs w:val="20"/>
          <w:color w:val="auto"/>
        </w:rPr>
      </w:pPr>
      <w:r>
        <w:rPr>
          <w:rFonts w:ascii="Arial" w:cs="Arial" w:eastAsia="Arial" w:hAnsi="Arial"/>
          <w:sz w:val="20"/>
          <w:szCs w:val="20"/>
          <w:color w:val="auto"/>
        </w:rPr>
        <w:t>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197" w:lineRule="exact"/>
        <w:rPr>
          <w:sz w:val="20"/>
          <w:szCs w:val="20"/>
          <w:color w:val="auto"/>
        </w:rPr>
      </w:pPr>
    </w:p>
    <w:p>
      <w:pPr>
        <w:ind w:firstLine="645"/>
        <w:spacing w:after="0" w:line="342" w:lineRule="auto"/>
        <w:tabs>
          <w:tab w:leader="none" w:pos="153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Anniversary</w:t>
      </w:r>
      <w:r>
        <w:rPr>
          <w:rFonts w:ascii="Arial" w:cs="Arial" w:eastAsia="Arial" w:hAnsi="Arial"/>
          <w:sz w:val="20"/>
          <w:szCs w:val="20"/>
          <w:color w:val="auto"/>
        </w:rPr>
        <w:t>” means each annual anniversary date of the Effective Date during the Term (as defined in Section 5 hereof).</w:t>
      </w:r>
    </w:p>
    <w:p>
      <w:pPr>
        <w:spacing w:after="0" w:line="168" w:lineRule="exact"/>
        <w:rPr>
          <w:rFonts w:ascii="Arial" w:cs="Arial" w:eastAsia="Arial" w:hAnsi="Arial"/>
          <w:sz w:val="20"/>
          <w:szCs w:val="20"/>
          <w:color w:val="auto"/>
        </w:rPr>
      </w:pPr>
    </w:p>
    <w:p>
      <w:pPr>
        <w:ind w:left="1520" w:hanging="875"/>
        <w:spacing w:after="0"/>
        <w:tabs>
          <w:tab w:leader="none" w:pos="15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w:t>
      </w:r>
    </w:p>
    <w:p>
      <w:pPr>
        <w:spacing w:after="0" w:line="320" w:lineRule="exact"/>
        <w:rPr>
          <w:rFonts w:ascii="Arial" w:cs="Arial" w:eastAsia="Arial" w:hAnsi="Arial"/>
          <w:sz w:val="20"/>
          <w:szCs w:val="20"/>
          <w:color w:val="auto"/>
        </w:rPr>
      </w:pPr>
    </w:p>
    <w:p>
      <w:pPr>
        <w:ind w:left="640" w:firstLine="815"/>
        <w:spacing w:after="0" w:line="317" w:lineRule="auto"/>
        <w:tabs>
          <w:tab w:leader="none" w:pos="2112"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Employee’s inability or failure to secure and/or maintain any licenses or permits required by government agencies with jurisdiction over the business of Employer or its Affiliate;</w:t>
      </w:r>
    </w:p>
    <w:p>
      <w:pPr>
        <w:spacing w:after="0" w:line="202" w:lineRule="exact"/>
        <w:rPr>
          <w:rFonts w:ascii="Arial" w:cs="Arial" w:eastAsia="Arial" w:hAnsi="Arial"/>
          <w:sz w:val="20"/>
          <w:szCs w:val="20"/>
          <w:color w:val="auto"/>
        </w:rPr>
      </w:pPr>
    </w:p>
    <w:p>
      <w:pPr>
        <w:ind w:left="640" w:firstLine="815"/>
        <w:spacing w:after="0" w:line="317" w:lineRule="auto"/>
        <w:tabs>
          <w:tab w:leader="none" w:pos="2156"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willful destruction by Employee of the property of Employer or its Affiliate having a material value to Employer or such Affiliate;</w:t>
      </w:r>
    </w:p>
    <w:p>
      <w:pPr>
        <w:spacing w:after="0" w:line="202" w:lineRule="exact"/>
        <w:rPr>
          <w:rFonts w:ascii="Arial" w:cs="Arial" w:eastAsia="Arial" w:hAnsi="Arial"/>
          <w:sz w:val="20"/>
          <w:szCs w:val="20"/>
          <w:color w:val="auto"/>
        </w:rPr>
      </w:pPr>
    </w:p>
    <w:p>
      <w:pPr>
        <w:jc w:val="both"/>
        <w:ind w:left="640" w:firstLine="815"/>
        <w:spacing w:after="0" w:line="313" w:lineRule="auto"/>
        <w:tabs>
          <w:tab w:leader="none" w:pos="22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fraud, embezzlement, theft and/or dishonest activity committed by Employee (excluding acts involving a de minimis dollar value and not related in any manner whatsoever to Employer or its Affiliate or their business);</w:t>
      </w:r>
    </w:p>
    <w:p>
      <w:pPr>
        <w:spacing w:after="0" w:line="207" w:lineRule="exact"/>
        <w:rPr>
          <w:rFonts w:ascii="Arial" w:cs="Arial" w:eastAsia="Arial" w:hAnsi="Arial"/>
          <w:sz w:val="20"/>
          <w:szCs w:val="20"/>
          <w:color w:val="auto"/>
        </w:rPr>
      </w:pPr>
    </w:p>
    <w:p>
      <w:pPr>
        <w:ind w:left="2220" w:hanging="765"/>
        <w:spacing w:after="0"/>
        <w:tabs>
          <w:tab w:leader="none" w:pos="2220"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Employee’s conviction of or entering a plea of guilty or nolo contendere to any crime constituting</w:t>
      </w:r>
    </w:p>
    <w:p>
      <w:pPr>
        <w:spacing w:after="0" w:line="67"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a felony;</w:t>
      </w:r>
    </w:p>
    <w:p>
      <w:pPr>
        <w:spacing w:after="0" w:line="283" w:lineRule="exact"/>
        <w:rPr>
          <w:rFonts w:ascii="Arial" w:cs="Arial" w:eastAsia="Arial" w:hAnsi="Arial"/>
          <w:sz w:val="20"/>
          <w:szCs w:val="20"/>
          <w:color w:val="auto"/>
        </w:rPr>
      </w:pPr>
    </w:p>
    <w:p>
      <w:pPr>
        <w:ind w:left="2180" w:hanging="725"/>
        <w:spacing w:after="0"/>
        <w:tabs>
          <w:tab w:leader="none" w:pos="21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Employee’s material breach of this Agreement;</w:t>
      </w:r>
    </w:p>
    <w:p>
      <w:pPr>
        <w:spacing w:after="0" w:line="283" w:lineRule="exact"/>
        <w:rPr>
          <w:rFonts w:ascii="Arial" w:cs="Arial" w:eastAsia="Arial" w:hAnsi="Arial"/>
          <w:sz w:val="20"/>
          <w:szCs w:val="20"/>
          <w:color w:val="auto"/>
        </w:rPr>
      </w:pPr>
    </w:p>
    <w:p>
      <w:pPr>
        <w:jc w:val="both"/>
        <w:ind w:left="640" w:firstLine="815"/>
        <w:spacing w:after="0" w:line="313" w:lineRule="auto"/>
        <w:tabs>
          <w:tab w:leader="none" w:pos="2211"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Employee’s neglect, refusal, or knowing failure to materially discharge Employee’s duties (other than due to physical or mental illness) commensurate with Employee’s title and function, or Employee’s failure to comply with a lawful direction of Employer or its board of directors;</w:t>
      </w:r>
    </w:p>
    <w:p>
      <w:pPr>
        <w:spacing w:after="0" w:line="207" w:lineRule="exact"/>
        <w:rPr>
          <w:rFonts w:ascii="Arial" w:cs="Arial" w:eastAsia="Arial" w:hAnsi="Arial"/>
          <w:sz w:val="20"/>
          <w:szCs w:val="20"/>
          <w:color w:val="auto"/>
        </w:rPr>
      </w:pPr>
    </w:p>
    <w:p>
      <w:pPr>
        <w:ind w:left="2260" w:hanging="805"/>
        <w:spacing w:after="0"/>
        <w:tabs>
          <w:tab w:leader="none" w:pos="22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 knowing material misrepresentation to Employer or its board of directors;</w:t>
      </w:r>
    </w:p>
    <w:p>
      <w:pPr>
        <w:spacing w:after="0" w:line="283" w:lineRule="exact"/>
        <w:rPr>
          <w:rFonts w:ascii="Arial" w:cs="Arial" w:eastAsia="Arial" w:hAnsi="Arial"/>
          <w:sz w:val="20"/>
          <w:szCs w:val="20"/>
          <w:color w:val="auto"/>
        </w:rPr>
      </w:pPr>
    </w:p>
    <w:p>
      <w:pPr>
        <w:ind w:left="2300" w:hanging="845"/>
        <w:spacing w:after="0"/>
        <w:tabs>
          <w:tab w:leader="none" w:pos="2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 failure to follow a material policy or procedure of Employer or its Affiliate; or</w:t>
      </w:r>
    </w:p>
    <w:p>
      <w:pPr>
        <w:spacing w:after="0" w:line="283" w:lineRule="exact"/>
        <w:rPr>
          <w:rFonts w:ascii="Arial" w:cs="Arial" w:eastAsia="Arial" w:hAnsi="Arial"/>
          <w:sz w:val="20"/>
          <w:szCs w:val="20"/>
          <w:color w:val="auto"/>
        </w:rPr>
      </w:pPr>
    </w:p>
    <w:p>
      <w:pPr>
        <w:ind w:left="640" w:firstLine="815"/>
        <w:spacing w:after="0" w:line="317" w:lineRule="auto"/>
        <w:tabs>
          <w:tab w:leader="none" w:pos="2211"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Employee’s material breach of a statutory or common law duty of loyalty or fiduciary duty to Employer or its Affiliate, including Employer’s conflict of interest policy;</w:t>
      </w:r>
    </w:p>
    <w:p>
      <w:pPr>
        <w:spacing w:after="0" w:line="142" w:lineRule="exact"/>
        <w:rPr>
          <w:sz w:val="20"/>
          <w:szCs w:val="20"/>
          <w:color w:val="auto"/>
        </w:rPr>
      </w:pPr>
    </w:p>
    <w:p>
      <w:pPr>
        <w:ind w:left="640"/>
        <w:spacing w:after="0" w:line="267"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i w:val="1"/>
          <w:iCs w:val="1"/>
          <w:color w:val="auto"/>
        </w:rPr>
        <w:t xml:space="preserve">, </w:t>
      </w:r>
      <w:r>
        <w:rPr>
          <w:rFonts w:ascii="Arial" w:cs="Arial" w:eastAsia="Arial" w:hAnsi="Arial"/>
          <w:sz w:val="20"/>
          <w:szCs w:val="20"/>
          <w:color w:val="auto"/>
        </w:rPr>
        <w:t>that Employee’s Complete Disability due to illness or accident or any other mental or physical</w:t>
      </w:r>
      <w:r>
        <w:rPr>
          <w:rFonts w:ascii="Arial" w:cs="Arial" w:eastAsia="Arial" w:hAnsi="Arial"/>
          <w:sz w:val="20"/>
          <w:szCs w:val="20"/>
          <w:i w:val="1"/>
          <w:iCs w:val="1"/>
          <w:color w:val="auto"/>
        </w:rPr>
        <w:t xml:space="preserve"> </w:t>
      </w:r>
      <w:r>
        <w:rPr>
          <w:rFonts w:ascii="Arial" w:cs="Arial" w:eastAsia="Arial" w:hAnsi="Arial"/>
          <w:sz w:val="20"/>
          <w:szCs w:val="20"/>
          <w:color w:val="auto"/>
        </w:rPr>
        <w:t>incapacity shall not constitute “Cause” as defined herein.</w:t>
      </w:r>
    </w:p>
    <w:p>
      <w:pPr>
        <w:spacing w:after="0" w:line="200" w:lineRule="exact"/>
        <w:rPr>
          <w:sz w:val="20"/>
          <w:szCs w:val="20"/>
          <w:color w:val="auto"/>
        </w:rPr>
      </w:pPr>
    </w:p>
    <w:p>
      <w:pPr>
        <w:spacing w:after="0" w:line="267"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0"/>
          </w:cols>
          <w:pgMar w:left="900" w:top="1365" w:right="239" w:bottom="1440" w:gutter="0" w:footer="0" w:header="0"/>
        </w:sectPr>
      </w:pPr>
    </w:p>
    <w:bookmarkStart w:id="53" w:name="page54"/>
    <w:bookmarkEnd w:id="53"/>
    <w:p>
      <w:pPr>
        <w:ind w:left="560" w:hanging="455"/>
        <w:spacing w:after="0"/>
        <w:tabs>
          <w:tab w:leader="none" w:pos="5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53" w:lineRule="exact"/>
        <w:rPr>
          <w:rFonts w:ascii="Arial" w:cs="Arial" w:eastAsia="Arial" w:hAnsi="Arial"/>
          <w:sz w:val="20"/>
          <w:szCs w:val="20"/>
          <w:color w:val="auto"/>
        </w:rPr>
      </w:pPr>
    </w:p>
    <w:p>
      <w:pPr>
        <w:jc w:val="both"/>
        <w:ind w:left="100" w:firstLine="653"/>
        <w:spacing w:after="0" w:line="241" w:lineRule="auto"/>
        <w:tabs>
          <w:tab w:leader="none" w:pos="117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"Person" or "Group" (as such terms are defined in Section 13(d) of the Securities Exchange Act of 1934 (the "Exchange Act") and the rules and regulations promulgated thereunder)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221" w:lineRule="exact"/>
        <w:rPr>
          <w:rFonts w:ascii="Arial" w:cs="Arial" w:eastAsia="Arial" w:hAnsi="Arial"/>
          <w:sz w:val="20"/>
          <w:szCs w:val="20"/>
          <w:color w:val="auto"/>
        </w:rPr>
      </w:pPr>
    </w:p>
    <w:p>
      <w:pPr>
        <w:jc w:val="both"/>
        <w:ind w:left="100" w:firstLine="653"/>
        <w:spacing w:after="0"/>
        <w:tabs>
          <w:tab w:leader="none" w:pos="1231"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25" w:lineRule="exact"/>
        <w:rPr>
          <w:rFonts w:ascii="Arial" w:cs="Arial" w:eastAsia="Arial" w:hAnsi="Arial"/>
          <w:sz w:val="20"/>
          <w:szCs w:val="20"/>
          <w:color w:val="auto"/>
        </w:rPr>
      </w:pPr>
    </w:p>
    <w:p>
      <w:pPr>
        <w:jc w:val="both"/>
        <w:ind w:left="100" w:firstLine="653"/>
        <w:spacing w:after="0" w:line="253" w:lineRule="auto"/>
        <w:tabs>
          <w:tab w:leader="none" w:pos="1243"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200" w:lineRule="exact"/>
        <w:rPr>
          <w:sz w:val="20"/>
          <w:szCs w:val="20"/>
          <w:color w:val="auto"/>
        </w:rPr>
      </w:pPr>
    </w:p>
    <w:p>
      <w:pPr>
        <w:spacing w:after="0" w:line="28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20"/>
          </w:cols>
          <w:pgMar w:left="1440" w:top="1300" w:right="239" w:bottom="1440" w:gutter="0" w:footer="0" w:header="0"/>
        </w:sectPr>
      </w:pPr>
    </w:p>
    <w:bookmarkStart w:id="54" w:name="page55"/>
    <w:bookmarkEnd w:id="54"/>
    <w:p>
      <w:pPr>
        <w:jc w:val="both"/>
        <w:ind w:left="-540" w:firstLine="645"/>
        <w:spacing w:after="0" w:line="326" w:lineRule="auto"/>
        <w:tabs>
          <w:tab w:leader="none" w:pos="998"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Complete Disability</w:t>
      </w:r>
      <w:r>
        <w:rPr>
          <w:rFonts w:ascii="Arial" w:cs="Arial" w:eastAsia="Arial" w:hAnsi="Arial"/>
          <w:sz w:val="20"/>
          <w:szCs w:val="20"/>
          <w:color w:val="auto"/>
        </w:rPr>
        <w:t>” means the total inability of Employee, due to illness or accident or other mental or physical incapacity, to perform Employee’s obligations under this Agreement for a period as defined under Employer’s local disability plan or plans.</w:t>
      </w:r>
    </w:p>
    <w:p>
      <w:pPr>
        <w:spacing w:after="0" w:line="183" w:lineRule="exact"/>
        <w:rPr>
          <w:rFonts w:ascii="Arial" w:cs="Arial" w:eastAsia="Arial" w:hAnsi="Arial"/>
          <w:sz w:val="20"/>
          <w:szCs w:val="20"/>
          <w:color w:val="auto"/>
        </w:rPr>
      </w:pPr>
    </w:p>
    <w:p>
      <w:pPr>
        <w:jc w:val="both"/>
        <w:ind w:left="-540" w:firstLine="645"/>
        <w:spacing w:after="0" w:line="311" w:lineRule="auto"/>
        <w:tabs>
          <w:tab w:leader="none" w:pos="943"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Confidential Information</w:t>
      </w:r>
      <w:r>
        <w:rPr>
          <w:rFonts w:ascii="Arial" w:cs="Arial" w:eastAsia="Arial" w:hAnsi="Arial"/>
          <w:sz w:val="20"/>
          <w:szCs w:val="20"/>
          <w:color w:val="auto"/>
        </w:rPr>
        <w:t>”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211" w:lineRule="exact"/>
        <w:rPr>
          <w:rFonts w:ascii="Arial" w:cs="Arial" w:eastAsia="Arial" w:hAnsi="Arial"/>
          <w:sz w:val="20"/>
          <w:szCs w:val="20"/>
          <w:color w:val="auto"/>
        </w:rPr>
      </w:pPr>
    </w:p>
    <w:p>
      <w:pPr>
        <w:ind w:left="1000" w:hanging="895"/>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means February 27, 2018.</w:t>
      </w:r>
    </w:p>
    <w:p>
      <w:pPr>
        <w:spacing w:after="0" w:line="296" w:lineRule="exact"/>
        <w:rPr>
          <w:rFonts w:ascii="Arial" w:cs="Arial" w:eastAsia="Arial" w:hAnsi="Arial"/>
          <w:sz w:val="20"/>
          <w:szCs w:val="20"/>
          <w:color w:val="auto"/>
        </w:rPr>
      </w:pPr>
    </w:p>
    <w:p>
      <w:pPr>
        <w:jc w:val="both"/>
        <w:ind w:left="-540" w:firstLine="645"/>
        <w:spacing w:after="0" w:line="318" w:lineRule="auto"/>
        <w:tabs>
          <w:tab w:leader="none" w:pos="998"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Government Official</w:t>
      </w:r>
      <w:r>
        <w:rPr>
          <w:rFonts w:ascii="Arial" w:cs="Arial" w:eastAsia="Arial" w:hAnsi="Arial"/>
          <w:sz w:val="20"/>
          <w:szCs w:val="20"/>
          <w:color w:val="auto"/>
        </w:rPr>
        <w:t>” is defined to include officers, office holders, and employees, full or part time, regardless of rank, of local governments, national governments, companies partially owned or controlled by a government, and public international organizations, such as the United Nations or World Bank. “Foreign Government Official” also includes political parties, party officials, candidates for public office, and family members of Foreign Government Officials.</w:t>
      </w:r>
    </w:p>
    <w:p>
      <w:pPr>
        <w:spacing w:after="0" w:line="151" w:lineRule="exact"/>
        <w:rPr>
          <w:rFonts w:ascii="Arial" w:cs="Arial" w:eastAsia="Arial" w:hAnsi="Arial"/>
          <w:sz w:val="20"/>
          <w:szCs w:val="20"/>
          <w:color w:val="auto"/>
        </w:rPr>
      </w:pPr>
    </w:p>
    <w:p>
      <w:pPr>
        <w:ind w:left="-540" w:firstLine="645"/>
        <w:spacing w:after="0" w:line="272" w:lineRule="auto"/>
        <w:tabs>
          <w:tab w:leader="none" w:pos="626" w:val="left"/>
        </w:tabs>
        <w:numPr>
          <w:ilvl w:val="0"/>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means the occurrence, on or after the occurrence of a Change in Control, of any of the following (except with Employee’s written consent or</w:t>
      </w:r>
    </w:p>
    <w:p>
      <w:pPr>
        <w:spacing w:after="0" w:line="23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20"/>
          </w:cols>
          <w:pgMar w:left="1440" w:top="1341" w:right="239" w:bottom="1440" w:gutter="0" w:footer="0" w:header="0"/>
        </w:sectPr>
      </w:pPr>
    </w:p>
    <w:bookmarkStart w:id="55" w:name="page56"/>
    <w:bookmarkEnd w:id="55"/>
    <w:p>
      <w:pPr>
        <w:spacing w:after="0" w:line="247" w:lineRule="auto"/>
        <w:rPr>
          <w:sz w:val="20"/>
          <w:szCs w:val="20"/>
          <w:color w:val="auto"/>
        </w:rPr>
      </w:pPr>
      <w:r>
        <w:rPr>
          <w:rFonts w:ascii="Arial" w:cs="Arial" w:eastAsia="Arial" w:hAnsi="Arial"/>
          <w:sz w:val="20"/>
          <w:szCs w:val="20"/>
          <w:color w:val="auto"/>
        </w:rPr>
        <w:t>resulting from an isolated, insubstantial and inadvertent action not taken in bad faith and which is remedied by Employer or its Affiliate promptly after receipt of notice thereof from Employee):</w:t>
      </w:r>
    </w:p>
    <w:p>
      <w:pPr>
        <w:spacing w:after="0" w:line="215" w:lineRule="exact"/>
        <w:rPr>
          <w:sz w:val="20"/>
          <w:szCs w:val="20"/>
          <w:color w:val="auto"/>
        </w:rPr>
      </w:pPr>
    </w:p>
    <w:p>
      <w:pPr>
        <w:ind w:left="1680" w:hanging="387"/>
        <w:spacing w:after="0"/>
        <w:tabs>
          <w:tab w:leader="none" w:pos="16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Employer or an Affiliate reduces Employee’s Base Salary (as defined in Subparagraph 7(a) below);</w:t>
      </w:r>
    </w:p>
    <w:p>
      <w:pPr>
        <w:spacing w:after="0" w:line="229" w:lineRule="exact"/>
        <w:rPr>
          <w:rFonts w:ascii="Arial" w:cs="Arial" w:eastAsia="Arial" w:hAnsi="Arial"/>
          <w:sz w:val="20"/>
          <w:szCs w:val="20"/>
          <w:color w:val="auto"/>
        </w:rPr>
      </w:pPr>
    </w:p>
    <w:p>
      <w:pPr>
        <w:jc w:val="both"/>
        <w:ind w:left="640" w:firstLine="653"/>
        <w:spacing w:after="0" w:line="242" w:lineRule="auto"/>
        <w:tabs>
          <w:tab w:leader="none" w:pos="1785" w:val="left"/>
        </w:tabs>
        <w:numPr>
          <w:ilvl w:val="0"/>
          <w:numId w:val="24"/>
        </w:numPr>
        <w:rPr>
          <w:rFonts w:ascii="Arial" w:cs="Arial" w:eastAsia="Arial" w:hAnsi="Arial"/>
          <w:sz w:val="20"/>
          <w:szCs w:val="20"/>
          <w:color w:val="auto"/>
        </w:rPr>
      </w:pPr>
      <w:r>
        <w:rPr>
          <w:rFonts w:ascii="Arial" w:cs="Arial" w:eastAsia="Arial" w:hAnsi="Arial"/>
          <w:sz w:val="20"/>
          <w:szCs w:val="20"/>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20" w:lineRule="exact"/>
        <w:rPr>
          <w:rFonts w:ascii="Arial" w:cs="Arial" w:eastAsia="Arial" w:hAnsi="Arial"/>
          <w:sz w:val="20"/>
          <w:szCs w:val="20"/>
          <w:color w:val="auto"/>
        </w:rPr>
      </w:pPr>
    </w:p>
    <w:p>
      <w:pPr>
        <w:ind w:left="640" w:firstLine="653"/>
        <w:spacing w:after="0" w:line="247" w:lineRule="auto"/>
        <w:tabs>
          <w:tab w:leader="none" w:pos="1866" w:val="left"/>
        </w:tabs>
        <w:numPr>
          <w:ilvl w:val="0"/>
          <w:numId w:val="24"/>
        </w:numPr>
        <w:rPr>
          <w:rFonts w:ascii="Arial" w:cs="Arial" w:eastAsia="Arial" w:hAnsi="Arial"/>
          <w:sz w:val="20"/>
          <w:szCs w:val="20"/>
          <w:color w:val="auto"/>
        </w:rPr>
      </w:pPr>
      <w:r>
        <w:rPr>
          <w:rFonts w:ascii="Arial" w:cs="Arial" w:eastAsia="Arial" w:hAnsi="Arial"/>
          <w:sz w:val="20"/>
          <w:szCs w:val="20"/>
          <w:color w:val="auto"/>
        </w:rPr>
        <w:t>Employer materially reduces the aggregate benefits and perquisites to Employee from those being provided immediately before the Change in Control;</w:t>
      </w:r>
    </w:p>
    <w:p>
      <w:pPr>
        <w:spacing w:after="0" w:line="215" w:lineRule="exact"/>
        <w:rPr>
          <w:rFonts w:ascii="Arial" w:cs="Arial" w:eastAsia="Arial" w:hAnsi="Arial"/>
          <w:sz w:val="20"/>
          <w:szCs w:val="20"/>
          <w:color w:val="auto"/>
        </w:rPr>
      </w:pPr>
    </w:p>
    <w:p>
      <w:pPr>
        <w:jc w:val="both"/>
        <w:ind w:left="640" w:firstLine="653"/>
        <w:spacing w:after="0" w:line="243" w:lineRule="auto"/>
        <w:tabs>
          <w:tab w:leader="none" w:pos="181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219" w:lineRule="exact"/>
        <w:rPr>
          <w:rFonts w:ascii="Arial" w:cs="Arial" w:eastAsia="Arial" w:hAnsi="Arial"/>
          <w:sz w:val="20"/>
          <w:szCs w:val="20"/>
          <w:color w:val="auto"/>
        </w:rPr>
      </w:pPr>
    </w:p>
    <w:p>
      <w:pPr>
        <w:jc w:val="both"/>
        <w:ind w:left="640" w:firstLine="653"/>
        <w:spacing w:after="0" w:line="243" w:lineRule="auto"/>
        <w:tabs>
          <w:tab w:leader="none" w:pos="1765" w:val="left"/>
        </w:tabs>
        <w:numPr>
          <w:ilvl w:val="0"/>
          <w:numId w:val="24"/>
        </w:numPr>
        <w:rPr>
          <w:rFonts w:ascii="Arial" w:cs="Arial" w:eastAsia="Arial" w:hAnsi="Arial"/>
          <w:sz w:val="20"/>
          <w:szCs w:val="20"/>
          <w:color w:val="auto"/>
        </w:rPr>
      </w:pPr>
      <w:r>
        <w:rPr>
          <w:rFonts w:ascii="Arial" w:cs="Arial" w:eastAsia="Arial" w:hAnsi="Arial"/>
          <w:sz w:val="20"/>
          <w:szCs w:val="20"/>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219" w:lineRule="exact"/>
        <w:rPr>
          <w:rFonts w:ascii="Arial" w:cs="Arial" w:eastAsia="Arial" w:hAnsi="Arial"/>
          <w:sz w:val="20"/>
          <w:szCs w:val="20"/>
          <w:color w:val="auto"/>
        </w:rPr>
      </w:pPr>
    </w:p>
    <w:p>
      <w:pPr>
        <w:ind w:left="640" w:right="20" w:firstLine="653"/>
        <w:spacing w:after="0" w:line="247" w:lineRule="auto"/>
        <w:tabs>
          <w:tab w:leader="none" w:pos="181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successor to Employer fails or refuses expressly to assume in writing the obligations of Employer under this Agreement.</w:t>
      </w:r>
    </w:p>
    <w:p>
      <w:pPr>
        <w:spacing w:after="0" w:line="215" w:lineRule="exact"/>
        <w:rPr>
          <w:sz w:val="20"/>
          <w:szCs w:val="20"/>
          <w:color w:val="auto"/>
        </w:rPr>
      </w:pPr>
    </w:p>
    <w:p>
      <w:pPr>
        <w:ind w:left="640" w:right="20"/>
        <w:spacing w:after="0" w:line="247" w:lineRule="auto"/>
        <w:rPr>
          <w:sz w:val="20"/>
          <w:szCs w:val="20"/>
          <w:color w:val="auto"/>
        </w:rPr>
      </w:pPr>
      <w:r>
        <w:rPr>
          <w:rFonts w:ascii="Arial" w:cs="Arial" w:eastAsia="Arial" w:hAnsi="Arial"/>
          <w:sz w:val="20"/>
          <w:szCs w:val="20"/>
          <w:color w:val="auto"/>
        </w:rPr>
        <w:t>For purposes of this Agreement, a determination by Employee that Employee has “Good Reason” shall be final and binding on Employer and Employee absent a showing of bad faith on Employee’s part.</w:t>
      </w:r>
    </w:p>
    <w:p>
      <w:pPr>
        <w:spacing w:after="0" w:line="232" w:lineRule="exact"/>
        <w:rPr>
          <w:sz w:val="20"/>
          <w:szCs w:val="20"/>
          <w:color w:val="auto"/>
        </w:rPr>
      </w:pPr>
    </w:p>
    <w:p>
      <w:pPr>
        <w:ind w:left="1460" w:hanging="815"/>
        <w:spacing w:after="0"/>
        <w:tabs>
          <w:tab w:leader="none" w:pos="14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means June 3, 2002.</w:t>
      </w:r>
    </w:p>
    <w:p>
      <w:pPr>
        <w:spacing w:after="0" w:line="256" w:lineRule="exact"/>
        <w:rPr>
          <w:rFonts w:ascii="Arial" w:cs="Arial" w:eastAsia="Arial" w:hAnsi="Arial"/>
          <w:sz w:val="20"/>
          <w:szCs w:val="20"/>
          <w:color w:val="auto"/>
        </w:rPr>
      </w:pPr>
    </w:p>
    <w:p>
      <w:pPr>
        <w:jc w:val="both"/>
        <w:ind w:firstLine="645"/>
        <w:spacing w:after="0" w:line="250" w:lineRule="auto"/>
        <w:tabs>
          <w:tab w:leader="none" w:pos="1099" w:val="left"/>
        </w:tabs>
        <w:numPr>
          <w:ilvl w:val="0"/>
          <w:numId w:val="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Payment</w:t>
      </w:r>
      <w:r>
        <w:rPr>
          <w:rFonts w:ascii="Arial" w:cs="Arial" w:eastAsia="Arial" w:hAnsi="Arial"/>
          <w:sz w:val="20"/>
          <w:szCs w:val="20"/>
          <w:color w:val="auto"/>
        </w:rPr>
        <w:t>” means a lump sum equal to (A) Employee’s Base Salary for the remainder of the Term (but not less than 18 months) (as defined in Subparagraph 7(a) of this Agreement), plus (B) the bonus that was paid to Employee under Subparagraph 7(b) for the preceding bonus period, projected over the remainder of the Term (but not less than the preceding bonus that was paid), plus (C) any accrued but unpaid vacation pay.</w:t>
      </w:r>
    </w:p>
    <w:p>
      <w:pPr>
        <w:spacing w:after="0" w:line="230" w:lineRule="exact"/>
        <w:rPr>
          <w:rFonts w:ascii="Arial" w:cs="Arial" w:eastAsia="Arial" w:hAnsi="Arial"/>
          <w:sz w:val="20"/>
          <w:szCs w:val="20"/>
          <w:color w:val="auto"/>
        </w:rPr>
      </w:pPr>
    </w:p>
    <w:p>
      <w:pPr>
        <w:jc w:val="both"/>
        <w:ind w:firstLine="645"/>
        <w:spacing w:after="0" w:line="318" w:lineRule="auto"/>
        <w:tabs>
          <w:tab w:leader="none" w:pos="1472" w:val="left"/>
        </w:tabs>
        <w:numPr>
          <w:ilvl w:val="0"/>
          <w:numId w:val="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Trade Secrets</w:t>
      </w:r>
      <w:r>
        <w:rPr>
          <w:rFonts w:ascii="Arial" w:cs="Arial" w:eastAsia="Arial" w:hAnsi="Arial"/>
          <w:sz w:val="20"/>
          <w:szCs w:val="20"/>
          <w:color w:val="auto"/>
        </w:rPr>
        <w:t>” as used in this Agreement, shall be given its broadest possible interpretation under applicable law and shall mean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w:t>
      </w:r>
    </w:p>
    <w:p>
      <w:pPr>
        <w:spacing w:after="0" w:line="2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60"/>
          </w:cols>
          <w:pgMar w:left="900" w:top="1324" w:right="239" w:bottom="1440" w:gutter="0" w:footer="0" w:header="0"/>
        </w:sectPr>
      </w:pPr>
    </w:p>
    <w:bookmarkStart w:id="56" w:name="page57"/>
    <w:bookmarkEnd w:id="56"/>
    <w:p>
      <w:pPr>
        <w:jc w:val="both"/>
        <w:ind w:left="660"/>
        <w:spacing w:after="0" w:line="313" w:lineRule="auto"/>
        <w:rPr>
          <w:sz w:val="20"/>
          <w:szCs w:val="20"/>
          <w:color w:val="auto"/>
        </w:rPr>
      </w:pPr>
      <w:r>
        <w:rPr>
          <w:rFonts w:ascii="Arial" w:cs="Arial" w:eastAsia="Arial" w:hAnsi="Arial"/>
          <w:sz w:val="20"/>
          <w:szCs w:val="20"/>
          <w:color w:val="auto"/>
        </w:rPr>
        <w:t>photographically, or in writing that (1) Employer has taken reasonable measures to keep secret, and that (2) derives independent economic value, actual or potential, from not being generally known to, and not being readily ascertainable through proper means by, another person who can obtain economic value from the disclosure or use of the information.</w:t>
      </w:r>
    </w:p>
    <w:p>
      <w:pPr>
        <w:spacing w:after="0" w:line="197" w:lineRule="exact"/>
        <w:rPr>
          <w:sz w:val="20"/>
          <w:szCs w:val="20"/>
          <w:color w:val="auto"/>
        </w:rPr>
      </w:pPr>
    </w:p>
    <w:p>
      <w:pPr>
        <w:jc w:val="both"/>
        <w:ind w:left="660" w:firstLine="645"/>
        <w:spacing w:after="0" w:line="316" w:lineRule="auto"/>
        <w:tabs>
          <w:tab w:leader="none" w:pos="2253" w:val="left"/>
        </w:tabs>
        <w:numPr>
          <w:ilvl w:val="1"/>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Work of Authorship</w:t>
      </w:r>
      <w:r>
        <w:rPr>
          <w:rFonts w:ascii="Arial" w:cs="Arial" w:eastAsia="Arial" w:hAnsi="Arial"/>
          <w:sz w:val="20"/>
          <w:szCs w:val="20"/>
          <w:color w:val="auto"/>
        </w:rPr>
        <w:t>”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95" w:lineRule="exact"/>
        <w:rPr>
          <w:rFonts w:ascii="Arial" w:cs="Arial" w:eastAsia="Arial" w:hAnsi="Arial"/>
          <w:sz w:val="20"/>
          <w:szCs w:val="20"/>
          <w:color w:val="auto"/>
        </w:rPr>
      </w:pPr>
    </w:p>
    <w:p>
      <w:pPr>
        <w:jc w:val="both"/>
        <w:ind w:firstLine="656"/>
        <w:spacing w:after="0" w:line="313" w:lineRule="auto"/>
        <w:tabs>
          <w:tab w:leader="none" w:pos="1462"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BASIC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the terms and pursuant to the conditions hereinafter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his primary residence or his primary office outside of Las Vegas, Nevada metropolitan area; provided however, that Employee acknowledges and agrees that Employee’s duties may require Employee to occasionally travel to locations where Employer has operations or is investigating development opportunities. The parties agree that Employer’s requirement that Employee relocate his primary residence or his primary office outside of Las Vegas, Nevada metropolitan area would constitute a breach of this Agreement.</w:t>
      </w:r>
    </w:p>
    <w:p>
      <w:pPr>
        <w:spacing w:after="0" w:line="3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of the Effective Date, this Agreement supersedes and replaces any and all prior employment agreements (including the Prior Agreement), change in control agreements and 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or any agreement providing for a retention or long term incentive bonus. From and after the Effective Date, Employee shall be employed by Employer under the terms and pursuant to the conditions set forth in this Agreement.</w:t>
      </w:r>
    </w:p>
    <w:p>
      <w:pPr>
        <w:spacing w:after="0" w:line="238" w:lineRule="exact"/>
        <w:rPr>
          <w:sz w:val="20"/>
          <w:szCs w:val="20"/>
          <w:color w:val="auto"/>
        </w:rPr>
      </w:pPr>
    </w:p>
    <w:p>
      <w:pPr>
        <w:jc w:val="both"/>
        <w:ind w:firstLine="656"/>
        <w:spacing w:after="0" w:line="326" w:lineRule="auto"/>
        <w:tabs>
          <w:tab w:leader="none" w:pos="1462"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DUTIES OF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perform such duties assigned to Employee by Employer as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associated with the duties of </w:t>
      </w:r>
      <w:r>
        <w:rPr>
          <w:rFonts w:ascii="Arial" w:cs="Arial" w:eastAsia="Arial" w:hAnsi="Arial"/>
          <w:sz w:val="20"/>
          <w:szCs w:val="20"/>
          <w:b w:val="1"/>
          <w:bCs w:val="1"/>
          <w:color w:val="auto"/>
        </w:rPr>
        <w:t>Chief Executive Officer and President</w:t>
      </w:r>
      <w:r>
        <w:rPr>
          <w:rFonts w:ascii="Arial" w:cs="Arial" w:eastAsia="Arial" w:hAnsi="Arial"/>
          <w:sz w:val="20"/>
          <w:szCs w:val="20"/>
          <w:color w:val="auto"/>
        </w:rPr>
        <w:t xml:space="preserve"> for Employer or such similar duties as may be assigned to Employee by Employer as Employer may determine. Employee’s duties shall include: (i) the efficient and continuous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365" w:right="239" w:bottom="1440" w:gutter="0" w:footer="0" w:header="0"/>
        </w:sectPr>
      </w:pPr>
    </w:p>
    <w:bookmarkStart w:id="57" w:name="page58"/>
    <w:bookmarkEnd w:id="57"/>
    <w:p>
      <w:pPr>
        <w:jc w:val="both"/>
        <w:spacing w:after="0" w:line="311" w:lineRule="auto"/>
        <w:rPr>
          <w:sz w:val="20"/>
          <w:szCs w:val="20"/>
          <w:color w:val="auto"/>
        </w:rPr>
      </w:pPr>
      <w:r>
        <w:rPr>
          <w:rFonts w:ascii="Arial" w:cs="Arial" w:eastAsia="Arial" w:hAnsi="Arial"/>
          <w:sz w:val="20"/>
          <w:szCs w:val="20"/>
          <w:color w:val="auto"/>
        </w:rPr>
        <w:t>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related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374" w:lineRule="exact"/>
        <w:rPr>
          <w:sz w:val="20"/>
          <w:szCs w:val="20"/>
          <w:color w:val="auto"/>
        </w:rPr>
      </w:pPr>
    </w:p>
    <w:p>
      <w:pPr>
        <w:jc w:val="both"/>
        <w:ind w:firstLine="656"/>
        <w:spacing w:after="0" w:line="316" w:lineRule="auto"/>
        <w:tabs>
          <w:tab w:leader="none" w:pos="1462"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ACCEPTANCE OF EMPLOYMENT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hereby unconditionally accepts the employment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3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Employee represents and warrants to Employer that the execution and delivery of this Agreement and the performance of the Employee’s duties hereunder shall not violate the terms or conditions of any employment agreement or arrangement or any other agreement to which Employee is a party.</w:t>
      </w:r>
    </w:p>
    <w:p>
      <w:pPr>
        <w:spacing w:after="0" w:line="236" w:lineRule="exact"/>
        <w:rPr>
          <w:sz w:val="20"/>
          <w:szCs w:val="20"/>
          <w:color w:val="auto"/>
        </w:rPr>
      </w:pPr>
    </w:p>
    <w:p>
      <w:pPr>
        <w:jc w:val="both"/>
        <w:ind w:firstLine="656"/>
        <w:spacing w:after="0" w:line="315" w:lineRule="auto"/>
        <w:tabs>
          <w:tab w:leader="none" w:pos="1462"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TERM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sooner terminated as provided in this Agreement,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 of three (3) years commencing on the Effective Date of this Agreement and terminating on the third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3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365" w:right="239" w:bottom="1440" w:gutter="0" w:footer="0" w:header="0"/>
        </w:sectPr>
      </w:pPr>
    </w:p>
    <w:bookmarkStart w:id="58" w:name="page59"/>
    <w:bookmarkEnd w:id="58"/>
    <w:p>
      <w:pPr>
        <w:ind w:left="804" w:hanging="804"/>
        <w:spacing w:after="0"/>
        <w:tabs>
          <w:tab w:leader="none" w:pos="804"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SPECIAL TERMINATION PROVISIONS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color w:val="auto"/>
        </w:rPr>
      </w:pPr>
    </w:p>
    <w:p>
      <w:pPr>
        <w:spacing w:after="0" w:line="296" w:lineRule="exact"/>
        <w:rPr>
          <w:rFonts w:ascii="Arial" w:cs="Arial" w:eastAsia="Arial" w:hAnsi="Arial"/>
          <w:sz w:val="20"/>
          <w:szCs w:val="20"/>
          <w:b w:val="1"/>
          <w:bCs w:val="1"/>
          <w:color w:val="auto"/>
        </w:rPr>
      </w:pPr>
    </w:p>
    <w:p>
      <w:pPr>
        <w:ind w:left="4" w:firstLine="645"/>
        <w:spacing w:after="0" w:line="317" w:lineRule="auto"/>
        <w:tabs>
          <w:tab w:leader="none" w:pos="1542" w:val="left"/>
        </w:tabs>
        <w:numPr>
          <w:ilvl w:val="1"/>
          <w:numId w:val="31"/>
        </w:numPr>
        <w:rPr>
          <w:rFonts w:ascii="Arial" w:cs="Arial" w:eastAsia="Arial" w:hAnsi="Arial"/>
          <w:sz w:val="20"/>
          <w:szCs w:val="20"/>
          <w:color w:val="auto"/>
        </w:rPr>
      </w:pPr>
      <w:r>
        <w:rPr>
          <w:rFonts w:ascii="Arial" w:cs="Arial" w:eastAsia="Arial" w:hAnsi="Arial"/>
          <w:sz w:val="20"/>
          <w:szCs w:val="20"/>
          <w:color w:val="auto"/>
        </w:rPr>
        <w:t>Notwithstanding the provisions of Section 5, this Agreement shall terminate upon the occurrence of any of the following events:</w:t>
      </w:r>
    </w:p>
    <w:p>
      <w:pPr>
        <w:spacing w:after="0" w:line="391" w:lineRule="exact"/>
        <w:rPr>
          <w:rFonts w:ascii="Arial" w:cs="Arial" w:eastAsia="Arial" w:hAnsi="Arial"/>
          <w:sz w:val="20"/>
          <w:szCs w:val="20"/>
          <w:color w:val="auto"/>
        </w:rPr>
      </w:pPr>
    </w:p>
    <w:p>
      <w:pPr>
        <w:ind w:left="2124" w:hanging="665"/>
        <w:spacing w:after="0"/>
        <w:tabs>
          <w:tab w:leader="none" w:pos="2124" w:val="left"/>
        </w:tabs>
        <w:numPr>
          <w:ilvl w:val="2"/>
          <w:numId w:val="31"/>
        </w:numPr>
        <w:rPr>
          <w:rFonts w:ascii="Arial" w:cs="Arial" w:eastAsia="Arial" w:hAnsi="Arial"/>
          <w:sz w:val="20"/>
          <w:szCs w:val="20"/>
          <w:color w:val="auto"/>
        </w:rPr>
      </w:pPr>
      <w:r>
        <w:rPr>
          <w:rFonts w:ascii="Arial" w:cs="Arial" w:eastAsia="Arial" w:hAnsi="Arial"/>
          <w:sz w:val="20"/>
          <w:szCs w:val="20"/>
          <w:color w:val="auto"/>
        </w:rPr>
        <w:t>the death of Employee;</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44" w:firstLine="815"/>
        <w:spacing w:after="0" w:line="317" w:lineRule="auto"/>
        <w:tabs>
          <w:tab w:leader="none" w:pos="2160" w:val="left"/>
        </w:tabs>
        <w:numPr>
          <w:ilvl w:val="2"/>
          <w:numId w:val="31"/>
        </w:numPr>
        <w:rPr>
          <w:rFonts w:ascii="Arial" w:cs="Arial" w:eastAsia="Arial" w:hAnsi="Arial"/>
          <w:sz w:val="20"/>
          <w:szCs w:val="20"/>
          <w:color w:val="auto"/>
        </w:rPr>
      </w:pPr>
      <w:r>
        <w:rPr>
          <w:rFonts w:ascii="Arial" w:cs="Arial" w:eastAsia="Arial" w:hAnsi="Arial"/>
          <w:sz w:val="20"/>
          <w:szCs w:val="20"/>
          <w:color w:val="auto"/>
        </w:rPr>
        <w:t>the giving of written notice from Employer to Employee of the termination of this Agreement upon the Complete Disability of Employee;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644" w:firstLine="815"/>
        <w:spacing w:after="0" w:line="311" w:lineRule="auto"/>
        <w:tabs>
          <w:tab w:leader="none" w:pos="2204" w:val="left"/>
        </w:tabs>
        <w:numPr>
          <w:ilvl w:val="2"/>
          <w:numId w:val="31"/>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upon the discharge of Employee for Cause (Employer’s right to terminate for Cause (as defined in Section 1(c) shall survive the expiration of this Agreement)). It is expressly acknowledged and agreed that the decision as to whether “Cause” exists for termination of the employment relationship by Employer is delegated to the Employer’s board of directors. If Employee disagrees with the decision reached by Employer’s board of directors, any dispute as to the “Cause” determination will be limited to whether Employer’s board of directors reached its decision in good faith, based upon facts reasonably believed by Employer’s board of directors to be true, and not for any arbitrary, capricious or illegal reason. This shall be the standard applied by any fact finder, and Employee shall bear the burden to prove that “Cause,” under this standard, did not exist;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left="644" w:firstLine="815"/>
        <w:spacing w:after="0" w:line="313" w:lineRule="auto"/>
        <w:tabs>
          <w:tab w:leader="none" w:pos="2215" w:val="left"/>
        </w:tabs>
        <w:numPr>
          <w:ilvl w:val="2"/>
          <w:numId w:val="31"/>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following a disapproval of this Agreement or the denial, suspension, limitation or revocation of Employee’s License (as defined in Section 8(b) of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44" w:firstLine="896"/>
        <w:spacing w:after="0" w:line="311" w:lineRule="auto"/>
        <w:tabs>
          <w:tab w:leader="none" w:pos="215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giving of written notice by Employee to Employer upon a material breach of this Agreement by Employer, which material breach remains uncured for a period of thirty (30) days after the giving of such notice.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or if</w:t>
      </w:r>
    </w:p>
    <w:p>
      <w:pPr>
        <w:spacing w:after="0" w:line="400"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64"/>
          </w:cols>
          <w:pgMar w:left="896" w:top="1341" w:right="239" w:bottom="1440" w:gutter="0" w:footer="0" w:header="0"/>
        </w:sectPr>
      </w:pPr>
    </w:p>
    <w:bookmarkStart w:id="59" w:name="page60"/>
    <w:bookmarkEnd w:id="59"/>
    <w:p>
      <w:pPr>
        <w:jc w:val="both"/>
        <w:ind w:left="100"/>
        <w:spacing w:after="0" w:line="311" w:lineRule="auto"/>
        <w:rPr>
          <w:sz w:val="20"/>
          <w:szCs w:val="20"/>
          <w:color w:val="auto"/>
        </w:rPr>
      </w:pPr>
      <w:r>
        <w:rPr>
          <w:rFonts w:ascii="Arial" w:cs="Arial" w:eastAsia="Arial" w:hAnsi="Arial"/>
          <w:sz w:val="20"/>
          <w:szCs w:val="20"/>
          <w:color w:val="auto"/>
        </w:rPr>
        <w:t>such position is the only position with Employer, or its Affiliates, irrespective of the title of the position, or a material reduction in Employee’s Base Salary; provided, however, that “material breach” shall not be construed to include any change in reporting structure alone with no material change to title, duties and responsibilities, any changes to Employee’s duties pursuant to Section 6(a)(vi), any changes to Employee’s duties and responsibilities as a result of a request by the Authorities under Section 8, or the temporary suspension of the Employee from duty, pursuant to Employer’s policy, pending investigation by Employer of any incident or occurrence that could give rise to discipline or termination of employment. Termination of employment pursuant to this Section 6(a)(v) does not relieve Employee of his duties and responsibilities under Sections 9, 10, 11, and 21 of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00" w:firstLine="815"/>
        <w:spacing w:after="0" w:line="310" w:lineRule="auto"/>
        <w:tabs>
          <w:tab w:leader="none" w:pos="1671"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giving of written two-week notice by Employer to Employee of Employer’s intention to terminate this Agreement without Cause for any reason deemed sufficient by Employer to be effective at the end of such two-week period. During such two-week notice period, Employer shall be permitted to reduce Employee’s responsibilities and time commitment to Employer; provided however, Employer may not reduce Employee’s salary or benefits during such two-week period. At the end of such two-week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two-week period. If Employee elects to resign in lieu of termination, Employee must exercise this option in writing within 72 hours of receipt of the Employer’s notice of intention to terminate this Agreement without Cause. Employee’s written resignation in lieu of termination must be transmitted to Employer by email or hand delivery;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jc w:val="both"/>
        <w:ind w:left="100" w:firstLine="815"/>
        <w:spacing w:after="0" w:line="336" w:lineRule="auto"/>
        <w:tabs>
          <w:tab w:leader="none" w:pos="1715" w:val="left"/>
        </w:tabs>
        <w:numPr>
          <w:ilvl w:val="1"/>
          <w:numId w:val="33"/>
        </w:numPr>
        <w:rPr>
          <w:rFonts w:ascii="Arial" w:cs="Arial" w:eastAsia="Arial" w:hAnsi="Arial"/>
          <w:sz w:val="19"/>
          <w:szCs w:val="19"/>
          <w:color w:val="auto"/>
        </w:rPr>
      </w:pPr>
      <w:r>
        <w:rPr>
          <w:rFonts w:ascii="Arial" w:cs="Arial" w:eastAsia="Arial" w:hAnsi="Arial"/>
          <w:sz w:val="19"/>
          <w:szCs w:val="19"/>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w:t>
      </w:r>
    </w:p>
    <w:p>
      <w:pPr>
        <w:spacing w:after="0" w:line="200" w:lineRule="exact"/>
        <w:rPr>
          <w:rFonts w:ascii="Arial" w:cs="Arial" w:eastAsia="Arial" w:hAnsi="Arial"/>
          <w:sz w:val="19"/>
          <w:szCs w:val="19"/>
          <w:color w:val="auto"/>
        </w:rPr>
      </w:pPr>
    </w:p>
    <w:p>
      <w:pPr>
        <w:spacing w:after="0" w:line="394" w:lineRule="exact"/>
        <w:rPr>
          <w:rFonts w:ascii="Arial" w:cs="Arial" w:eastAsia="Arial" w:hAnsi="Arial"/>
          <w:sz w:val="19"/>
          <w:szCs w:val="19"/>
          <w:color w:val="auto"/>
        </w:rPr>
      </w:pPr>
    </w:p>
    <w:p>
      <w:pPr>
        <w:ind w:left="1000" w:hanging="895"/>
        <w:spacing w:after="0"/>
        <w:tabs>
          <w:tab w:leader="none" w:pos="100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Consequences of Termination</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100" w:right="20" w:firstLine="653"/>
        <w:spacing w:after="0" w:line="317" w:lineRule="auto"/>
        <w:tabs>
          <w:tab w:leader="none" w:pos="1572"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event Employee resigns pursuant to Section 6(a)(v), 6(a)(vi), or 6(a)(vii), Employer’s sole liability to Employee shall be payment of the Separation</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20"/>
          </w:cols>
          <w:pgMar w:left="1440" w:top="1365" w:right="239" w:bottom="1440" w:gutter="0" w:footer="0" w:header="0"/>
        </w:sectPr>
      </w:pPr>
    </w:p>
    <w:bookmarkStart w:id="60" w:name="page61"/>
    <w:bookmarkEnd w:id="60"/>
    <w:p>
      <w:pPr>
        <w:jc w:val="both"/>
        <w:ind w:left="100"/>
        <w:spacing w:after="0" w:line="310" w:lineRule="auto"/>
        <w:rPr>
          <w:sz w:val="20"/>
          <w:szCs w:val="20"/>
          <w:color w:val="auto"/>
        </w:rPr>
      </w:pPr>
      <w:r>
        <w:rPr>
          <w:rFonts w:ascii="Arial" w:cs="Arial" w:eastAsia="Arial" w:hAnsi="Arial"/>
          <w:sz w:val="20"/>
          <w:szCs w:val="20"/>
          <w:color w:val="auto"/>
        </w:rPr>
        <w:t>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20"/>
          </w:cols>
          <w:pgMar w:left="1440" w:top="1365" w:right="239" w:bottom="1440" w:gutter="0" w:footer="0" w:header="0"/>
        </w:sectPr>
      </w:pPr>
    </w:p>
    <w:bookmarkStart w:id="61" w:name="page62"/>
    <w:bookmarkEnd w:id="61"/>
    <w:p>
      <w:pPr>
        <w:jc w:val="both"/>
        <w:ind w:left="1300" w:firstLine="653"/>
        <w:spacing w:after="0" w:line="311" w:lineRule="auto"/>
        <w:tabs>
          <w:tab w:leader="none" w:pos="2816" w:val="left"/>
        </w:tabs>
        <w:numPr>
          <w:ilvl w:val="2"/>
          <w:numId w:val="36"/>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 6(a)(ii) or 6(a)(iv),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00" w:lineRule="exact"/>
        <w:rPr>
          <w:rFonts w:ascii="Arial" w:cs="Arial" w:eastAsia="Arial" w:hAnsi="Arial"/>
          <w:sz w:val="20"/>
          <w:szCs w:val="20"/>
          <w:color w:val="auto"/>
        </w:rPr>
      </w:pPr>
    </w:p>
    <w:p>
      <w:pPr>
        <w:spacing w:after="0" w:line="376" w:lineRule="exact"/>
        <w:rPr>
          <w:rFonts w:ascii="Arial" w:cs="Arial" w:eastAsia="Arial" w:hAnsi="Arial"/>
          <w:sz w:val="20"/>
          <w:szCs w:val="20"/>
          <w:color w:val="auto"/>
        </w:rPr>
      </w:pPr>
    </w:p>
    <w:p>
      <w:pPr>
        <w:jc w:val="both"/>
        <w:ind w:left="1300" w:firstLine="653"/>
        <w:spacing w:after="0" w:line="312" w:lineRule="auto"/>
        <w:tabs>
          <w:tab w:leader="none" w:pos="2860" w:val="left"/>
        </w:tabs>
        <w:numPr>
          <w:ilvl w:val="2"/>
          <w:numId w:val="36"/>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left="1300" w:firstLine="653"/>
        <w:spacing w:after="0" w:line="313" w:lineRule="auto"/>
        <w:tabs>
          <w:tab w:leader="none" w:pos="2871" w:val="left"/>
        </w:tabs>
        <w:numPr>
          <w:ilvl w:val="2"/>
          <w:numId w:val="36"/>
        </w:numPr>
        <w:rPr>
          <w:rFonts w:ascii="Arial" w:cs="Arial" w:eastAsia="Arial" w:hAnsi="Arial"/>
          <w:sz w:val="20"/>
          <w:szCs w:val="20"/>
          <w:color w:val="auto"/>
        </w:rPr>
      </w:pPr>
      <w:r>
        <w:rPr>
          <w:rFonts w:ascii="Arial" w:cs="Arial" w:eastAsia="Arial" w:hAnsi="Arial"/>
          <w:sz w:val="20"/>
          <w:szCs w:val="20"/>
          <w:color w:val="auto"/>
        </w:rPr>
        <w:t>In the event of a termination of this Agreement for any reason, the termination provisions set forth in any prior stock agreement, including but not limited to the restricted stock agreements referenced in Section 7(d) below, shall control with regard to the vesting of any stock grant.</w:t>
      </w:r>
    </w:p>
    <w:p>
      <w:pPr>
        <w:spacing w:after="0" w:line="200" w:lineRule="exact"/>
        <w:rPr>
          <w:rFonts w:ascii="Arial" w:cs="Arial" w:eastAsia="Arial" w:hAnsi="Arial"/>
          <w:sz w:val="20"/>
          <w:szCs w:val="20"/>
          <w:color w:val="auto"/>
        </w:rPr>
      </w:pPr>
    </w:p>
    <w:p>
      <w:pPr>
        <w:spacing w:after="0" w:line="348" w:lineRule="exact"/>
        <w:rPr>
          <w:rFonts w:ascii="Arial" w:cs="Arial" w:eastAsia="Arial" w:hAnsi="Arial"/>
          <w:sz w:val="20"/>
          <w:szCs w:val="20"/>
          <w:color w:val="auto"/>
        </w:rPr>
      </w:pPr>
    </w:p>
    <w:p>
      <w:pPr>
        <w:jc w:val="both"/>
        <w:ind w:firstLine="656"/>
        <w:spacing w:after="0" w:line="326" w:lineRule="auto"/>
        <w:tabs>
          <w:tab w:leader="none" w:pos="146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of Employee’s duties under this Agreement, Employer hereby covenants and agrees to pay to Employee, and Employee hereby covenants and agrees to accept from Employer, the following items of compensation:</w:t>
      </w:r>
    </w:p>
    <w:p>
      <w:pPr>
        <w:spacing w:after="0" w:line="359" w:lineRule="exact"/>
        <w:rPr>
          <w:rFonts w:ascii="Arial" w:cs="Arial" w:eastAsia="Arial" w:hAnsi="Arial"/>
          <w:sz w:val="20"/>
          <w:szCs w:val="20"/>
          <w:b w:val="1"/>
          <w:bCs w:val="1"/>
          <w:color w:val="auto"/>
        </w:rPr>
      </w:pPr>
    </w:p>
    <w:p>
      <w:pPr>
        <w:ind w:left="2200" w:hanging="895"/>
        <w:spacing w:after="0"/>
        <w:tabs>
          <w:tab w:leader="none" w:pos="2200" w:val="left"/>
        </w:tabs>
        <w:numPr>
          <w:ilvl w:val="1"/>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to pay to Employee, and Employee hereby</w:t>
      </w:r>
    </w:p>
    <w:p>
      <w:pPr>
        <w:spacing w:after="0" w:line="91" w:lineRule="exact"/>
        <w:rPr>
          <w:rFonts w:ascii="Arial" w:cs="Arial" w:eastAsia="Arial" w:hAnsi="Arial"/>
          <w:sz w:val="20"/>
          <w:szCs w:val="20"/>
          <w:color w:val="auto"/>
        </w:rPr>
      </w:pPr>
    </w:p>
    <w:p>
      <w:pPr>
        <w:jc w:val="both"/>
        <w:ind w:left="660"/>
        <w:spacing w:after="0" w:line="311" w:lineRule="auto"/>
        <w:rPr>
          <w:rFonts w:ascii="Arial" w:cs="Arial" w:eastAsia="Arial" w:hAnsi="Arial"/>
          <w:sz w:val="20"/>
          <w:szCs w:val="20"/>
          <w:color w:val="auto"/>
        </w:rPr>
      </w:pPr>
      <w:r>
        <w:rPr>
          <w:rFonts w:ascii="Arial" w:cs="Arial" w:eastAsia="Arial" w:hAnsi="Arial"/>
          <w:sz w:val="20"/>
          <w:szCs w:val="20"/>
          <w:color w:val="auto"/>
        </w:rPr>
        <w:t>covenants and agrees to accept from Employer, a base salary at the rate of Two Million Dollars ($2,000,000.00)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374" w:lineRule="exact"/>
        <w:rPr>
          <w:rFonts w:ascii="Arial" w:cs="Arial" w:eastAsia="Arial" w:hAnsi="Arial"/>
          <w:sz w:val="20"/>
          <w:szCs w:val="20"/>
          <w:color w:val="auto"/>
        </w:rPr>
      </w:pPr>
    </w:p>
    <w:p>
      <w:pPr>
        <w:jc w:val="both"/>
        <w:ind w:left="660" w:firstLine="645"/>
        <w:spacing w:after="0" w:line="326" w:lineRule="auto"/>
        <w:tabs>
          <w:tab w:leader="none" w:pos="2198" w:val="left"/>
        </w:tabs>
        <w:numPr>
          <w:ilvl w:val="1"/>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the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Employee shall also be eligible to receive a bonus at such times and in such amounts 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365" w:right="239" w:bottom="1440" w:gutter="0" w:footer="0" w:header="0"/>
        </w:sectPr>
      </w:pPr>
    </w:p>
    <w:bookmarkStart w:id="62" w:name="page63"/>
    <w:bookmarkEnd w:id="62"/>
    <w:p>
      <w:pPr>
        <w:jc w:val="both"/>
        <w:spacing w:after="0" w:line="313" w:lineRule="auto"/>
        <w:rPr>
          <w:sz w:val="20"/>
          <w:szCs w:val="20"/>
          <w:color w:val="auto"/>
        </w:rPr>
      </w:pPr>
      <w:r>
        <w:rPr>
          <w:rFonts w:ascii="Arial" w:cs="Arial" w:eastAsia="Arial" w:hAnsi="Arial"/>
          <w:sz w:val="20"/>
          <w:szCs w:val="20"/>
          <w:color w:val="auto"/>
        </w:rPr>
        <w:t>Employer in its sole and exclusive discretion may determine. Employee shall have a target annual discretionary bonus of 250% of the annual Base Salary actually received by Employee during the applicable year. Employer retains the discretion to adopt, amend or terminate any bonus plan at any time prior to a Change of Control.</w:t>
      </w:r>
    </w:p>
    <w:p>
      <w:pPr>
        <w:spacing w:after="0" w:line="197" w:lineRule="exact"/>
        <w:rPr>
          <w:sz w:val="20"/>
          <w:szCs w:val="20"/>
          <w:color w:val="auto"/>
        </w:rPr>
      </w:pPr>
    </w:p>
    <w:p>
      <w:pPr>
        <w:jc w:val="both"/>
        <w:ind w:firstLine="645"/>
        <w:spacing w:after="0" w:line="314" w:lineRule="auto"/>
        <w:tabs>
          <w:tab w:leader="none" w:pos="1527"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Benefit Plans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that it shall include Employee, if</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Employee shall also participate in the senior executive health program.</w:t>
      </w:r>
    </w:p>
    <w:p>
      <w:pPr>
        <w:spacing w:after="0" w:line="246" w:lineRule="exact"/>
        <w:rPr>
          <w:sz w:val="20"/>
          <w:szCs w:val="20"/>
          <w:color w:val="auto"/>
        </w:rPr>
      </w:pPr>
    </w:p>
    <w:p>
      <w:pPr>
        <w:jc w:val="both"/>
        <w:ind w:firstLine="645"/>
        <w:spacing w:after="0" w:line="320" w:lineRule="auto"/>
        <w:tabs>
          <w:tab w:leader="none" w:pos="1538"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was granted 200,000 shares of restricted stock of Wynn Resorts,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pursuant to the Wynn Resorts, Limited 2014 Omnibus Incentive Plan. Employee and Employer entered into a separate restricted stock agreement, dated February 28, 2017, and amended on April 17, 2018, incorporating the terms and conditions of the grant, including the grant date, vesting schedule, and termination provisions.</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Employee shall at the earliest possible time after the Effective Date of this Agreement be granted 50,000 shares of restricted stock of Wynn Resorts, Limited common stock pursuant to the Wynn Resorts, Limited 2014 Omnibus Incentive Plan. Employee and Employer will enter into a separate restricted stock agreement incorporating the terms and conditions of the grant, including the grant date, vesting schedule, and termination provisions.</w:t>
      </w:r>
    </w:p>
    <w:p>
      <w:pPr>
        <w:spacing w:after="0" w:line="237" w:lineRule="exact"/>
        <w:rPr>
          <w:sz w:val="20"/>
          <w:szCs w:val="20"/>
          <w:color w:val="auto"/>
        </w:rPr>
      </w:pPr>
    </w:p>
    <w:p>
      <w:pPr>
        <w:jc w:val="both"/>
        <w:ind w:firstLine="645"/>
        <w:spacing w:after="0" w:line="318" w:lineRule="auto"/>
        <w:tabs>
          <w:tab w:leader="none" w:pos="1538"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91" w:lineRule="exact"/>
        <w:rPr>
          <w:rFonts w:ascii="Arial" w:cs="Arial" w:eastAsia="Arial" w:hAnsi="Arial"/>
          <w:sz w:val="20"/>
          <w:szCs w:val="20"/>
          <w:color w:val="auto"/>
        </w:rPr>
      </w:pPr>
    </w:p>
    <w:p>
      <w:pPr>
        <w:jc w:val="both"/>
        <w:ind w:right="20" w:firstLine="645"/>
        <w:spacing w:after="0" w:line="326" w:lineRule="auto"/>
        <w:tabs>
          <w:tab w:leader="none" w:pos="1483"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paid vacation leave in accordance with Employer’s standard policy, but in no event less than four (4) weeks each year of the Term, to be taken at such times as selected by Employee and approved by Employer, and (ii) paid holidays (or, at</w:t>
      </w:r>
    </w:p>
    <w:p>
      <w:pPr>
        <w:spacing w:after="0" w:line="208"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60"/>
          </w:cols>
          <w:pgMar w:left="900" w:top="1365" w:right="239" w:bottom="1440" w:gutter="0" w:footer="0" w:header="0"/>
        </w:sectPr>
      </w:pPr>
    </w:p>
    <w:bookmarkStart w:id="63" w:name="page64"/>
    <w:bookmarkEnd w:id="63"/>
    <w:p>
      <w:pPr>
        <w:ind w:left="4"/>
        <w:spacing w:after="0"/>
        <w:rPr>
          <w:sz w:val="20"/>
          <w:szCs w:val="20"/>
          <w:color w:val="auto"/>
        </w:rPr>
      </w:pPr>
      <w:r>
        <w:rPr>
          <w:rFonts w:ascii="Arial" w:cs="Arial" w:eastAsia="Arial" w:hAnsi="Arial"/>
          <w:sz w:val="20"/>
          <w:szCs w:val="20"/>
          <w:color w:val="auto"/>
        </w:rPr>
        <w:t>Employer’s option, an equivalent number of paid days off) in accordance with Employer’s standard policy.</w:t>
      </w:r>
    </w:p>
    <w:p>
      <w:pPr>
        <w:spacing w:after="0" w:line="273" w:lineRule="exact"/>
        <w:rPr>
          <w:sz w:val="20"/>
          <w:szCs w:val="20"/>
          <w:color w:val="auto"/>
        </w:rPr>
      </w:pPr>
    </w:p>
    <w:p>
      <w:pPr>
        <w:jc w:val="both"/>
        <w:ind w:left="4" w:firstLine="645"/>
        <w:spacing w:after="0" w:line="313" w:lineRule="auto"/>
        <w:tabs>
          <w:tab w:leader="none" w:pos="1542" w:val="left"/>
        </w:tabs>
        <w:numPr>
          <w:ilvl w:val="1"/>
          <w:numId w:val="41"/>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of the Agreement to the contrary, if, at the time</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98" w:lineRule="exact"/>
        <w:rPr>
          <w:rFonts w:ascii="Arial" w:cs="Arial" w:eastAsia="Arial" w:hAnsi="Arial"/>
          <w:sz w:val="20"/>
          <w:szCs w:val="20"/>
          <w:color w:val="auto"/>
        </w:rPr>
      </w:pPr>
    </w:p>
    <w:p>
      <w:pPr>
        <w:ind w:left="4" w:firstLine="645"/>
        <w:spacing w:after="0" w:line="342" w:lineRule="auto"/>
        <w:tabs>
          <w:tab w:leader="none" w:pos="1542" w:val="left"/>
        </w:tabs>
        <w:numPr>
          <w:ilvl w:val="1"/>
          <w:numId w:val="41"/>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applicable federal, state or local employment-related withholdings.</w:t>
      </w:r>
    </w:p>
    <w:p>
      <w:pPr>
        <w:spacing w:after="0" w:line="168" w:lineRule="exact"/>
        <w:rPr>
          <w:rFonts w:ascii="Arial" w:cs="Arial" w:eastAsia="Arial" w:hAnsi="Arial"/>
          <w:sz w:val="20"/>
          <w:szCs w:val="20"/>
          <w:color w:val="auto"/>
        </w:rPr>
      </w:pPr>
    </w:p>
    <w:p>
      <w:pPr>
        <w:ind w:left="1464" w:hanging="815"/>
        <w:spacing w:after="0"/>
        <w:tabs>
          <w:tab w:leader="none" w:pos="1464" w:val="left"/>
        </w:tabs>
        <w:numPr>
          <w:ilvl w:val="1"/>
          <w:numId w:val="41"/>
        </w:numPr>
        <w:rPr>
          <w:rFonts w:ascii="Arial" w:cs="Arial" w:eastAsia="Arial" w:hAnsi="Arial"/>
          <w:sz w:val="20"/>
          <w:szCs w:val="20"/>
          <w:color w:val="auto"/>
        </w:rPr>
      </w:pPr>
      <w:r>
        <w:rPr>
          <w:rFonts w:ascii="Arial" w:cs="Arial" w:eastAsia="Arial" w:hAnsi="Arial"/>
          <w:sz w:val="20"/>
          <w:szCs w:val="20"/>
          <w:b w:val="1"/>
          <w:bCs w:val="1"/>
          <w:u w:val="single" w:color="auto"/>
          <w:color w:val="auto"/>
        </w:rPr>
        <w:t>Original Hire Date</w:t>
      </w:r>
      <w:r>
        <w:rPr>
          <w:rFonts w:ascii="Arial" w:cs="Arial" w:eastAsia="Arial" w:hAnsi="Arial"/>
          <w:sz w:val="20"/>
          <w:szCs w:val="20"/>
          <w:color w:val="auto"/>
        </w:rPr>
        <w:t>. Employee's Original Hire Date shall be used for determining all other benefits.</w:t>
      </w:r>
    </w:p>
    <w:p>
      <w:pPr>
        <w:spacing w:after="0" w:line="296" w:lineRule="exact"/>
        <w:rPr>
          <w:rFonts w:ascii="Arial" w:cs="Arial" w:eastAsia="Arial" w:hAnsi="Arial"/>
          <w:sz w:val="20"/>
          <w:szCs w:val="20"/>
          <w:color w:val="auto"/>
        </w:rPr>
      </w:pPr>
    </w:p>
    <w:p>
      <w:pPr>
        <w:ind w:left="804" w:hanging="804"/>
        <w:spacing w:after="0"/>
        <w:tabs>
          <w:tab w:leader="none" w:pos="804" w:val="left"/>
        </w:tabs>
        <w:numPr>
          <w:ilvl w:val="0"/>
          <w:numId w:val="4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LICENSING REQUIREMENTS</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271" w:lineRule="exact"/>
        <w:rPr>
          <w:rFonts w:ascii="Arial" w:cs="Arial" w:eastAsia="Arial" w:hAnsi="Arial"/>
          <w:sz w:val="20"/>
          <w:szCs w:val="20"/>
          <w:b w:val="1"/>
          <w:bCs w:val="1"/>
          <w:i w:val="1"/>
          <w:iCs w:val="1"/>
          <w:color w:val="auto"/>
        </w:rPr>
      </w:pPr>
    </w:p>
    <w:p>
      <w:pPr>
        <w:jc w:val="both"/>
        <w:ind w:left="4" w:firstLine="645"/>
        <w:spacing w:after="0" w:line="310" w:lineRule="auto"/>
        <w:tabs>
          <w:tab w:leader="none" w:pos="1542"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Employer and Employee hereby covenant and agree that this Agreement and/or Employee’s employment may be subject to the approval of one or more gaming regulatory authorities (the “</w:t>
      </w:r>
      <w:r>
        <w:rPr>
          <w:rFonts w:ascii="Arial" w:cs="Arial" w:eastAsia="Arial" w:hAnsi="Arial"/>
          <w:sz w:val="20"/>
          <w:szCs w:val="20"/>
          <w:b w:val="1"/>
          <w:bCs w:val="1"/>
          <w:color w:val="auto"/>
        </w:rPr>
        <w:t>Authorities</w:t>
      </w:r>
      <w:r>
        <w:rPr>
          <w:rFonts w:ascii="Arial" w:cs="Arial" w:eastAsia="Arial" w:hAnsi="Arial"/>
          <w:sz w:val="20"/>
          <w:szCs w:val="20"/>
          <w:color w:val="auto"/>
        </w:rPr>
        <w:t>”) pursuant to the provisions of the relevant gaming regulatory statutes (the “</w:t>
      </w:r>
      <w:r>
        <w:rPr>
          <w:rFonts w:ascii="Arial" w:cs="Arial" w:eastAsia="Arial" w:hAnsi="Arial"/>
          <w:sz w:val="20"/>
          <w:szCs w:val="20"/>
          <w:b w:val="1"/>
          <w:bCs w:val="1"/>
          <w:color w:val="auto"/>
        </w:rPr>
        <w:t>Gaming Acts</w:t>
      </w:r>
      <w:r>
        <w:rPr>
          <w:rFonts w:ascii="Arial" w:cs="Arial" w:eastAsia="Arial" w:hAnsi="Arial"/>
          <w:sz w:val="20"/>
          <w:szCs w:val="20"/>
          <w:color w:val="auto"/>
        </w:rPr>
        <w:t>”) and the regulations promulgated thereunder (the “</w:t>
      </w:r>
      <w:r>
        <w:rPr>
          <w:rFonts w:ascii="Arial" w:cs="Arial" w:eastAsia="Arial" w:hAnsi="Arial"/>
          <w:sz w:val="20"/>
          <w:szCs w:val="20"/>
          <w:b w:val="1"/>
          <w:bCs w:val="1"/>
          <w:color w:val="auto"/>
        </w:rPr>
        <w:t>Gaming</w:t>
      </w:r>
      <w:r>
        <w:rPr>
          <w:rFonts w:ascii="Arial" w:cs="Arial" w:eastAsia="Arial" w:hAnsi="Arial"/>
          <w:sz w:val="20"/>
          <w:szCs w:val="20"/>
          <w:color w:val="auto"/>
        </w:rPr>
        <w:t xml:space="preserve"> </w:t>
      </w:r>
      <w:r>
        <w:rPr>
          <w:rFonts w:ascii="Arial" w:cs="Arial" w:eastAsia="Arial" w:hAnsi="Arial"/>
          <w:sz w:val="20"/>
          <w:szCs w:val="20"/>
          <w:b w:val="1"/>
          <w:bCs w:val="1"/>
          <w:color w:val="auto"/>
        </w:rPr>
        <w:t>Regulations</w:t>
      </w:r>
      <w:r>
        <w:rPr>
          <w:rFonts w:ascii="Arial" w:cs="Arial" w:eastAsia="Arial" w:hAnsi="Arial"/>
          <w:sz w:val="20"/>
          <w:szCs w:val="20"/>
          <w:color w:val="auto"/>
        </w:rPr>
        <w:t>”). Employer and Employee hereby covenant and agree to use their best efforts to obtain any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either party, subject to any surviving obligations of Employee under Sections 9, 10 and 21.</w:t>
      </w:r>
    </w:p>
    <w:p>
      <w:pPr>
        <w:spacing w:after="0" w:line="200" w:lineRule="exact"/>
        <w:rPr>
          <w:sz w:val="20"/>
          <w:szCs w:val="20"/>
          <w:color w:val="auto"/>
        </w:rPr>
      </w:pPr>
    </w:p>
    <w:p>
      <w:pPr>
        <w:spacing w:after="0" w:line="206"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764"/>
          </w:cols>
          <w:pgMar w:left="896" w:top="1365" w:right="239" w:bottom="1440" w:gutter="0" w:footer="0" w:header="0"/>
        </w:sectPr>
      </w:pPr>
    </w:p>
    <w:bookmarkStart w:id="64" w:name="page65"/>
    <w:bookmarkEnd w:id="64"/>
    <w:p>
      <w:pPr>
        <w:spacing w:after="0" w:line="358" w:lineRule="exact"/>
        <w:rPr>
          <w:sz w:val="20"/>
          <w:szCs w:val="20"/>
          <w:color w:val="auto"/>
        </w:rPr>
      </w:pPr>
    </w:p>
    <w:p>
      <w:pPr>
        <w:jc w:val="both"/>
        <w:ind w:left="4" w:firstLine="645"/>
        <w:spacing w:after="0" w:line="265" w:lineRule="auto"/>
        <w:tabs>
          <w:tab w:leader="none" w:pos="1564" w:val="left"/>
        </w:tabs>
        <w:numPr>
          <w:ilvl w:val="1"/>
          <w:numId w:val="43"/>
        </w:numPr>
        <w:rPr>
          <w:rFonts w:ascii="Arial" w:cs="Arial" w:eastAsia="Arial" w:hAnsi="Arial"/>
          <w:sz w:val="22"/>
          <w:szCs w:val="22"/>
          <w:color w:val="auto"/>
        </w:rPr>
      </w:pPr>
      <w:r>
        <w:rPr>
          <w:rFonts w:ascii="Arial" w:cs="Arial" w:eastAsia="Arial" w:hAnsi="Arial"/>
          <w:sz w:val="20"/>
          <w:szCs w:val="20"/>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20"/>
          <w:szCs w:val="20"/>
          <w:b w:val="1"/>
          <w:bCs w:val="1"/>
          <w:color w:val="auto"/>
        </w:rPr>
        <w:t>License</w:t>
      </w:r>
      <w:r>
        <w:rPr>
          <w:rFonts w:ascii="Arial" w:cs="Arial" w:eastAsia="Arial" w:hAnsi="Arial"/>
          <w:sz w:val="20"/>
          <w:szCs w:val="20"/>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4" w:right="20" w:firstLine="645"/>
        <w:spacing w:after="0" w:line="251" w:lineRule="auto"/>
        <w:tabs>
          <w:tab w:leader="none" w:pos="1552" w:val="left"/>
        </w:tabs>
        <w:numPr>
          <w:ilvl w:val="1"/>
          <w:numId w:val="43"/>
        </w:numPr>
        <w:rPr>
          <w:rFonts w:ascii="Arial" w:cs="Arial" w:eastAsia="Arial" w:hAnsi="Arial"/>
          <w:sz w:val="22"/>
          <w:szCs w:val="22"/>
          <w:color w:val="auto"/>
        </w:rPr>
      </w:pPr>
      <w:r>
        <w:rPr>
          <w:rFonts w:ascii="Arial" w:cs="Arial" w:eastAsia="Arial" w:hAnsi="Arial"/>
          <w:sz w:val="20"/>
          <w:szCs w:val="20"/>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804" w:hanging="804"/>
        <w:spacing w:after="0"/>
        <w:tabs>
          <w:tab w:leader="none" w:pos="804"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CONFIDENTIALITY</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color w:val="auto"/>
        </w:rPr>
      </w:pPr>
    </w:p>
    <w:p>
      <w:pPr>
        <w:spacing w:after="0" w:line="282" w:lineRule="exact"/>
        <w:rPr>
          <w:rFonts w:ascii="Arial" w:cs="Arial" w:eastAsia="Arial" w:hAnsi="Arial"/>
          <w:sz w:val="20"/>
          <w:szCs w:val="20"/>
          <w:b w:val="1"/>
          <w:bCs w:val="1"/>
          <w:color w:val="auto"/>
        </w:rPr>
      </w:pPr>
    </w:p>
    <w:p>
      <w:pPr>
        <w:ind w:left="1304" w:hanging="655"/>
        <w:spacing w:after="0"/>
        <w:tabs>
          <w:tab w:leader="none" w:pos="1304" w:val="left"/>
        </w:tabs>
        <w:numPr>
          <w:ilvl w:val="1"/>
          <w:numId w:val="44"/>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jc w:val="both"/>
        <w:ind w:left="644" w:firstLine="815"/>
        <w:spacing w:after="0" w:line="311" w:lineRule="auto"/>
        <w:tabs>
          <w:tab w:leader="none" w:pos="2116" w:val="left"/>
        </w:tabs>
        <w:numPr>
          <w:ilvl w:val="2"/>
          <w:numId w:val="44"/>
        </w:numPr>
        <w:rPr>
          <w:rFonts w:ascii="Arial" w:cs="Arial" w:eastAsia="Arial" w:hAnsi="Arial"/>
          <w:sz w:val="20"/>
          <w:szCs w:val="20"/>
          <w:color w:val="auto"/>
        </w:rPr>
      </w:pPr>
      <w:r>
        <w:rPr>
          <w:rFonts w:ascii="Arial" w:cs="Arial" w:eastAsia="Arial" w:hAnsi="Arial"/>
          <w:sz w:val="20"/>
          <w:szCs w:val="20"/>
          <w:color w:val="auto"/>
        </w:rPr>
        <w:t>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Affiliates.</w:t>
      </w:r>
    </w:p>
    <w:p>
      <w:pPr>
        <w:spacing w:after="0" w:line="398" w:lineRule="exact"/>
        <w:rPr>
          <w:rFonts w:ascii="Arial" w:cs="Arial" w:eastAsia="Arial" w:hAnsi="Arial"/>
          <w:sz w:val="20"/>
          <w:szCs w:val="20"/>
          <w:color w:val="auto"/>
        </w:rPr>
      </w:pPr>
    </w:p>
    <w:p>
      <w:pPr>
        <w:jc w:val="both"/>
        <w:ind w:left="644" w:firstLine="815"/>
        <w:spacing w:after="0" w:line="311" w:lineRule="auto"/>
        <w:tabs>
          <w:tab w:leader="none" w:pos="2160" w:val="left"/>
        </w:tabs>
        <w:numPr>
          <w:ilvl w:val="2"/>
          <w:numId w:val="44"/>
        </w:numPr>
        <w:rPr>
          <w:rFonts w:ascii="Arial" w:cs="Arial" w:eastAsia="Arial" w:hAnsi="Arial"/>
          <w:sz w:val="20"/>
          <w:szCs w:val="20"/>
          <w:color w:val="auto"/>
        </w:rPr>
      </w:pPr>
      <w:r>
        <w:rPr>
          <w:rFonts w:ascii="Arial" w:cs="Arial" w:eastAsia="Arial" w:hAnsi="Arial"/>
          <w:sz w:val="20"/>
          <w:szCs w:val="20"/>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200" w:lineRule="exact"/>
        <w:rPr>
          <w:sz w:val="20"/>
          <w:szCs w:val="20"/>
          <w:color w:val="auto"/>
        </w:rPr>
      </w:pPr>
    </w:p>
    <w:p>
      <w:pPr>
        <w:spacing w:after="0" w:line="201"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64"/>
          </w:cols>
          <w:pgMar w:left="896" w:top="1440" w:right="239" w:bottom="1440" w:gutter="0" w:footer="0" w:header="0"/>
        </w:sectPr>
      </w:pPr>
    </w:p>
    <w:bookmarkStart w:id="65" w:name="page66"/>
    <w:bookmarkEnd w:id="65"/>
    <w:p>
      <w:pPr>
        <w:spacing w:after="0" w:line="155" w:lineRule="exact"/>
        <w:rPr>
          <w:sz w:val="20"/>
          <w:szCs w:val="20"/>
          <w:color w:val="auto"/>
        </w:rPr>
      </w:pPr>
    </w:p>
    <w:p>
      <w:pPr>
        <w:jc w:val="both"/>
        <w:ind w:left="640" w:firstLine="815"/>
        <w:spacing w:after="0" w:line="310" w:lineRule="auto"/>
        <w:tabs>
          <w:tab w:leader="none" w:pos="22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Upon termination of Employee’s employment with Employer for any reason, Employee shall return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of Authorship; or</w:t>
      </w:r>
    </w:p>
    <w:p>
      <w:pPr>
        <w:ind w:left="640" w:right="20" w:firstLine="5"/>
        <w:spacing w:after="0" w:line="346" w:lineRule="auto"/>
        <w:tabs>
          <w:tab w:leader="none" w:pos="966" w:val="left"/>
        </w:tabs>
        <w:numPr>
          <w:ilvl w:val="0"/>
          <w:numId w:val="46"/>
        </w:numPr>
        <w:rPr>
          <w:rFonts w:ascii="Arial" w:cs="Arial" w:eastAsia="Arial" w:hAnsi="Arial"/>
          <w:sz w:val="19"/>
          <w:szCs w:val="19"/>
          <w:color w:val="auto"/>
        </w:rPr>
      </w:pPr>
      <w:r>
        <w:rPr>
          <w:rFonts w:ascii="Arial" w:cs="Arial" w:eastAsia="Arial" w:hAnsi="Arial"/>
          <w:sz w:val="19"/>
          <w:szCs w:val="19"/>
          <w:color w:val="auto"/>
        </w:rPr>
        <w:t>otherwise relating to Employee’s performance of duties under this Agreement. Employee further acknowledges and agrees that all such documents are the sole and exclusive property of Employer or its Affiliates.</w:t>
      </w:r>
    </w:p>
    <w:p>
      <w:pPr>
        <w:spacing w:after="0" w:line="369" w:lineRule="exact"/>
        <w:rPr>
          <w:sz w:val="20"/>
          <w:szCs w:val="20"/>
          <w:color w:val="auto"/>
        </w:rPr>
      </w:pPr>
    </w:p>
    <w:p>
      <w:pPr>
        <w:jc w:val="both"/>
        <w:ind w:firstLine="645"/>
        <w:spacing w:after="0" w:line="310" w:lineRule="auto"/>
        <w:tabs>
          <w:tab w:leader="none" w:pos="1538" w:val="left"/>
        </w:tabs>
        <w:numPr>
          <w:ilvl w:val="0"/>
          <w:numId w:val="47"/>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w:t>
      </w:r>
    </w:p>
    <w:p>
      <w:pPr>
        <w:jc w:val="both"/>
        <w:spacing w:after="0" w:line="312" w:lineRule="auto"/>
        <w:rPr>
          <w:rFonts w:ascii="Arial" w:cs="Arial" w:eastAsia="Arial" w:hAnsi="Arial"/>
          <w:sz w:val="20"/>
          <w:szCs w:val="20"/>
          <w:color w:val="auto"/>
        </w:rPr>
      </w:pPr>
      <w:r>
        <w:rPr>
          <w:rFonts w:ascii="Arial" w:cs="Arial" w:eastAsia="Arial" w:hAnsi="Arial"/>
          <w:sz w:val="20"/>
          <w:szCs w:val="20"/>
          <w:color w:val="auto"/>
        </w:rPr>
        <w:t>pattern, compilation, program, device, method, technique or process, which Employee is prohibited by contract, or otherwise, to disclose to Employer (the “</w:t>
      </w:r>
      <w:r>
        <w:rPr>
          <w:rFonts w:ascii="Arial" w:cs="Arial" w:eastAsia="Arial" w:hAnsi="Arial"/>
          <w:sz w:val="20"/>
          <w:szCs w:val="20"/>
          <w:b w:val="1"/>
          <w:bCs w:val="1"/>
          <w:color w:val="auto"/>
        </w:rPr>
        <w:t>Restricted Information</w:t>
      </w:r>
      <w:r>
        <w:rPr>
          <w:rFonts w:ascii="Arial" w:cs="Arial" w:eastAsia="Arial" w:hAnsi="Arial"/>
          <w:sz w:val="20"/>
          <w:szCs w:val="20"/>
          <w:color w:val="auto"/>
        </w:rPr>
        <w:t>”). In the event Employer requests Restricted Information from Employee, Employee shall advise Employer that the information requested is Restricted Information and may not be disclosed by Employee.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firstLine="645"/>
        <w:spacing w:after="0" w:line="311" w:lineRule="auto"/>
        <w:tabs>
          <w:tab w:leader="none" w:pos="1527"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Notwithstanding any provision of this Agreement prohibiting the disclosure of Trade Secrets or other Confidential Information, Employee understands that Employee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Employee files a lawsuit or other court proceeding against the Employer for retaliating against Employee for reporting a suspected violation of law, Employee may disclose the trade secret to the attorney representing Employee and use the trade secret in the court proceeding, if Employee files any document containing the trade secret under seal and does not disclose the trade secret, except pursuant to court order.</w:t>
      </w:r>
    </w:p>
    <w:p>
      <w:pPr>
        <w:spacing w:after="0" w:line="397" w:lineRule="exact"/>
        <w:rPr>
          <w:rFonts w:ascii="Arial" w:cs="Arial" w:eastAsia="Arial" w:hAnsi="Arial"/>
          <w:sz w:val="20"/>
          <w:szCs w:val="20"/>
          <w:color w:val="auto"/>
        </w:rPr>
      </w:pPr>
    </w:p>
    <w:p>
      <w:pPr>
        <w:ind w:firstLine="645"/>
        <w:spacing w:after="0" w:line="317" w:lineRule="auto"/>
        <w:tabs>
          <w:tab w:leader="none" w:pos="1538"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obligations of this Section 9 are continuing and shall survive the termination of Employee’s employment with Employer for any reason.</w:t>
      </w:r>
    </w:p>
    <w:p>
      <w:pPr>
        <w:spacing w:after="0" w:line="392"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760"/>
          </w:cols>
          <w:pgMar w:left="900" w:top="1440" w:right="239" w:bottom="1440" w:gutter="0" w:footer="0" w:header="0"/>
        </w:sectPr>
      </w:pPr>
    </w:p>
    <w:bookmarkStart w:id="66" w:name="page67"/>
    <w:bookmarkEnd w:id="66"/>
    <w:p>
      <w:pPr>
        <w:spacing w:after="0" w:line="131" w:lineRule="exact"/>
        <w:rPr>
          <w:sz w:val="20"/>
          <w:szCs w:val="20"/>
          <w:color w:val="auto"/>
        </w:rPr>
      </w:pPr>
    </w:p>
    <w:p>
      <w:pPr>
        <w:ind w:left="924" w:hanging="924"/>
        <w:spacing w:after="0"/>
        <w:tabs>
          <w:tab w:leader="none" w:pos="924" w:val="left"/>
        </w:tabs>
        <w:numPr>
          <w:ilvl w:val="0"/>
          <w:numId w:val="4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RESTRICTIVE COVENANT/NO SOLICITATION</w:t>
      </w:r>
      <w:r>
        <w:rPr>
          <w:rFonts w:ascii="Arial" w:cs="Arial" w:eastAsia="Arial" w:hAnsi="Arial"/>
          <w:sz w:val="20"/>
          <w:szCs w:val="20"/>
          <w:b w:val="1"/>
          <w:bCs w:val="1"/>
          <w:i w:val="1"/>
          <w:iCs w:val="1"/>
          <w:color w:val="auto"/>
        </w:rPr>
        <w:t>.</w:t>
      </w:r>
    </w:p>
    <w:p>
      <w:pPr>
        <w:spacing w:after="0" w:line="200" w:lineRule="exact"/>
        <w:rPr>
          <w:rFonts w:ascii="Arial" w:cs="Arial" w:eastAsia="Arial" w:hAnsi="Arial"/>
          <w:sz w:val="20"/>
          <w:szCs w:val="20"/>
          <w:b w:val="1"/>
          <w:bCs w:val="1"/>
          <w:i w:val="1"/>
          <w:iCs w:val="1"/>
          <w:color w:val="auto"/>
        </w:rPr>
      </w:pPr>
    </w:p>
    <w:p>
      <w:pPr>
        <w:spacing w:after="0" w:line="296" w:lineRule="exact"/>
        <w:rPr>
          <w:rFonts w:ascii="Arial" w:cs="Arial" w:eastAsia="Arial" w:hAnsi="Arial"/>
          <w:sz w:val="20"/>
          <w:szCs w:val="20"/>
          <w:b w:val="1"/>
          <w:bCs w:val="1"/>
          <w:i w:val="1"/>
          <w:iCs w:val="1"/>
          <w:color w:val="auto"/>
        </w:rPr>
      </w:pPr>
    </w:p>
    <w:p>
      <w:pPr>
        <w:jc w:val="both"/>
        <w:ind w:left="4" w:firstLine="645"/>
        <w:spacing w:after="0" w:line="311" w:lineRule="auto"/>
        <w:tabs>
          <w:tab w:leader="none" w:pos="1542" w:val="left"/>
        </w:tabs>
        <w:numPr>
          <w:ilvl w:val="1"/>
          <w:numId w:val="48"/>
        </w:numPr>
        <w:rPr>
          <w:rFonts w:ascii="Arial" w:cs="Arial" w:eastAsia="Arial" w:hAnsi="Arial"/>
          <w:sz w:val="20"/>
          <w:szCs w:val="20"/>
          <w:color w:val="auto"/>
        </w:rPr>
      </w:pPr>
      <w:r>
        <w:rPr>
          <w:rFonts w:ascii="Arial" w:cs="Arial" w:eastAsia="Arial" w:hAnsi="Arial"/>
          <w:sz w:val="20"/>
          <w:szCs w:val="20"/>
          <w:color w:val="auto"/>
        </w:rPr>
        <w:t>Employee hereby covenants and agrees that for such period as Employer employs or compensates Employee (including payments made pursuant to Sections 6(a)(v), 6(a)(vi), or 6(a)(vii)),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 including any hotel, casino, restaurant, lounge, nightclub, day club or beach club.</w:t>
      </w:r>
    </w:p>
    <w:p>
      <w:pPr>
        <w:spacing w:after="0" w:line="200" w:lineRule="exact"/>
        <w:rPr>
          <w:rFonts w:ascii="Arial" w:cs="Arial" w:eastAsia="Arial" w:hAnsi="Arial"/>
          <w:sz w:val="20"/>
          <w:szCs w:val="20"/>
          <w:color w:val="auto"/>
        </w:rPr>
      </w:pPr>
    </w:p>
    <w:p>
      <w:pPr>
        <w:spacing w:after="0" w:line="372" w:lineRule="exact"/>
        <w:rPr>
          <w:rFonts w:ascii="Arial" w:cs="Arial" w:eastAsia="Arial" w:hAnsi="Arial"/>
          <w:sz w:val="20"/>
          <w:szCs w:val="20"/>
          <w:color w:val="auto"/>
        </w:rPr>
      </w:pPr>
    </w:p>
    <w:p>
      <w:pPr>
        <w:jc w:val="both"/>
        <w:ind w:left="4" w:firstLine="645"/>
        <w:spacing w:after="0" w:line="310" w:lineRule="auto"/>
        <w:tabs>
          <w:tab w:leader="none" w:pos="1542" w:val="left"/>
        </w:tabs>
        <w:numPr>
          <w:ilvl w:val="1"/>
          <w:numId w:val="48"/>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for such period as Employer employs or compensates Employee (including payments made pursuant to Sections 6(a)(v), 6(a)(vi), or 6(a)(vii)), and for a period of one (1) year following the termination of employment or compensation, for any reason, with or without Cause, or Employee’s resignation from employment, whichever is later, Employee shall not take any actions, whether directly or indirectly, including by way of a third-party intermediary, to solicit, encourage or otherwise cause any employee of Employer or its Affiliates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or beach club operations. The parties agree that the terms “solicit, encourage or otherwise cause” include Employee’s participation in the recruitment, applicant assessment or review, and employee selection. The parties further agree that this Section 10(b) applies even if the then-Employer’s or Affiliate’s employee makes the initial contact seeking employment with Employee or competitor as defined above.</w:t>
      </w:r>
    </w:p>
    <w:p>
      <w:pPr>
        <w:spacing w:after="0" w:line="200" w:lineRule="exact"/>
        <w:rPr>
          <w:rFonts w:ascii="Arial" w:cs="Arial" w:eastAsia="Arial" w:hAnsi="Arial"/>
          <w:sz w:val="20"/>
          <w:szCs w:val="20"/>
          <w:color w:val="auto"/>
        </w:rPr>
      </w:pPr>
    </w:p>
    <w:p>
      <w:pPr>
        <w:spacing w:after="0" w:line="381" w:lineRule="exact"/>
        <w:rPr>
          <w:rFonts w:ascii="Arial" w:cs="Arial" w:eastAsia="Arial" w:hAnsi="Arial"/>
          <w:sz w:val="20"/>
          <w:szCs w:val="20"/>
          <w:color w:val="auto"/>
        </w:rPr>
      </w:pPr>
    </w:p>
    <w:p>
      <w:pPr>
        <w:jc w:val="both"/>
        <w:ind w:left="4" w:firstLine="645"/>
        <w:spacing w:after="0" w:line="311" w:lineRule="auto"/>
        <w:tabs>
          <w:tab w:leader="none" w:pos="1531" w:val="left"/>
        </w:tabs>
        <w:numPr>
          <w:ilvl w:val="1"/>
          <w:numId w:val="48"/>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400" w:lineRule="exact"/>
        <w:rPr>
          <w:sz w:val="20"/>
          <w:szCs w:val="20"/>
          <w:color w:val="auto"/>
        </w:rPr>
      </w:pPr>
    </w:p>
    <w:p>
      <w:pPr>
        <w:ind w:left="4944"/>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764"/>
          </w:cols>
          <w:pgMar w:left="896" w:top="1440" w:right="239" w:bottom="1440" w:gutter="0" w:footer="0" w:header="0"/>
        </w:sectPr>
      </w:pPr>
    </w:p>
    <w:bookmarkStart w:id="67" w:name="page68"/>
    <w:bookmarkEnd w:id="67"/>
    <w:p>
      <w:pPr>
        <w:spacing w:after="0" w:line="155" w:lineRule="exact"/>
        <w:rPr>
          <w:sz w:val="20"/>
          <w:szCs w:val="20"/>
          <w:color w:val="auto"/>
        </w:rPr>
      </w:pPr>
    </w:p>
    <w:p>
      <w:pPr>
        <w:ind w:left="660" w:right="20" w:firstLine="645"/>
        <w:spacing w:after="0" w:line="317" w:lineRule="auto"/>
        <w:tabs>
          <w:tab w:leader="none" w:pos="2198" w:val="left"/>
        </w:tabs>
        <w:numPr>
          <w:ilvl w:val="1"/>
          <w:numId w:val="49"/>
        </w:numPr>
        <w:rPr>
          <w:rFonts w:ascii="Arial" w:cs="Arial" w:eastAsia="Arial" w:hAnsi="Arial"/>
          <w:sz w:val="20"/>
          <w:szCs w:val="20"/>
          <w:color w:val="auto"/>
        </w:rPr>
      </w:pPr>
      <w:r>
        <w:rPr>
          <w:rFonts w:ascii="Arial" w:cs="Arial" w:eastAsia="Arial" w:hAnsi="Arial"/>
          <w:sz w:val="20"/>
          <w:szCs w:val="20"/>
          <w:color w:val="auto"/>
        </w:rPr>
        <w:t>Employee hereby agrees that any subsequent material change or changes in Employee’s title, duties, salary or compensation will not affect the validity or scope of this Section 10, or invalidate this Section 10 in any way.</w:t>
      </w:r>
    </w:p>
    <w:p>
      <w:pPr>
        <w:spacing w:after="0" w:line="200" w:lineRule="exact"/>
        <w:rPr>
          <w:rFonts w:ascii="Arial" w:cs="Arial" w:eastAsia="Arial" w:hAnsi="Arial"/>
          <w:sz w:val="20"/>
          <w:szCs w:val="20"/>
          <w:color w:val="auto"/>
        </w:rPr>
      </w:pPr>
    </w:p>
    <w:p>
      <w:pPr>
        <w:spacing w:after="0" w:line="343" w:lineRule="exact"/>
        <w:rPr>
          <w:rFonts w:ascii="Arial" w:cs="Arial" w:eastAsia="Arial" w:hAnsi="Arial"/>
          <w:sz w:val="20"/>
          <w:szCs w:val="20"/>
          <w:color w:val="auto"/>
        </w:rPr>
      </w:pPr>
    </w:p>
    <w:p>
      <w:pPr>
        <w:jc w:val="both"/>
        <w:ind w:firstLine="656"/>
        <w:spacing w:after="0" w:line="312"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REMEDIES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acknowledges that Employer has and will continue to deliver, provide and expose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Employee further agrees that the time period covered by the covenants of this Agreement will not include and shall be extended by any period(s) of time required for litigation brought by the Company to enforce any covenant or in which Employee is in violation of his/her promises contained in Section 10.</w:t>
      </w:r>
    </w:p>
    <w:p>
      <w:pPr>
        <w:spacing w:after="0" w:line="375" w:lineRule="exact"/>
        <w:rPr>
          <w:rFonts w:ascii="Arial" w:cs="Arial" w:eastAsia="Arial" w:hAnsi="Arial"/>
          <w:sz w:val="20"/>
          <w:szCs w:val="20"/>
          <w:b w:val="1"/>
          <w:bCs w:val="1"/>
          <w:color w:val="auto"/>
        </w:rPr>
      </w:pPr>
    </w:p>
    <w:p>
      <w:pPr>
        <w:ind w:firstLine="656"/>
        <w:spacing w:after="0" w:line="342"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BEST EVIDENCE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executed in original and “Xerox” or photostatic copies and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copy bearing original signatures in ink shall be deemed an original.</w:t>
      </w:r>
    </w:p>
    <w:p>
      <w:pPr>
        <w:spacing w:after="0" w:line="343" w:lineRule="exact"/>
        <w:rPr>
          <w:rFonts w:ascii="Arial" w:cs="Arial" w:eastAsia="Arial" w:hAnsi="Arial"/>
          <w:sz w:val="20"/>
          <w:szCs w:val="20"/>
          <w:b w:val="1"/>
          <w:bCs w:val="1"/>
          <w:color w:val="auto"/>
        </w:rPr>
      </w:pPr>
    </w:p>
    <w:p>
      <w:pPr>
        <w:ind w:firstLine="656"/>
        <w:spacing w:after="0" w:line="342"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SUCCESSION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binding upon and inure to the benefit of the parties hereto and their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heirs, executors, administrators, personal representatives, successors and permitted assigns.</w:t>
      </w:r>
    </w:p>
    <w:p>
      <w:pPr>
        <w:spacing w:after="0" w:line="343" w:lineRule="exact"/>
        <w:rPr>
          <w:rFonts w:ascii="Arial" w:cs="Arial" w:eastAsia="Arial" w:hAnsi="Arial"/>
          <w:sz w:val="20"/>
          <w:szCs w:val="20"/>
          <w:b w:val="1"/>
          <w:bCs w:val="1"/>
          <w:color w:val="auto"/>
        </w:rPr>
      </w:pPr>
    </w:p>
    <w:p>
      <w:pPr>
        <w:jc w:val="both"/>
        <w:ind w:firstLine="656"/>
        <w:spacing w:after="0" w:line="318" w:lineRule="auto"/>
        <w:tabs>
          <w:tab w:leader="none" w:pos="157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ASSIGNMENT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not assign this Agreement or delegate Employee’s duties hereunder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express written prior consent of Employer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1440" w:right="239" w:bottom="1440" w:gutter="0" w:footer="0" w:header="0"/>
        </w:sectPr>
      </w:pPr>
    </w:p>
    <w:bookmarkStart w:id="68" w:name="page69"/>
    <w:bookmarkEnd w:id="68"/>
    <w:p>
      <w:pPr>
        <w:ind w:right="20"/>
        <w:spacing w:after="0" w:line="317" w:lineRule="auto"/>
        <w:rPr>
          <w:sz w:val="20"/>
          <w:szCs w:val="20"/>
          <w:color w:val="auto"/>
        </w:rPr>
      </w:pPr>
      <w:r>
        <w:rPr>
          <w:rFonts w:ascii="Arial" w:cs="Arial" w:eastAsia="Arial" w:hAnsi="Arial"/>
          <w:sz w:val="20"/>
          <w:szCs w:val="20"/>
          <w:color w:val="auto"/>
        </w:rPr>
        <w:t>that is additional to and separate from the consideration provided to Employee in exchange for the other covenants in this Agreement.</w:t>
      </w:r>
    </w:p>
    <w:p>
      <w:pPr>
        <w:spacing w:after="0" w:line="368" w:lineRule="exact"/>
        <w:rPr>
          <w:sz w:val="20"/>
          <w:szCs w:val="20"/>
          <w:color w:val="auto"/>
        </w:rPr>
      </w:pPr>
    </w:p>
    <w:p>
      <w:pPr>
        <w:ind w:firstLine="656"/>
        <w:spacing w:after="0" w:line="342" w:lineRule="auto"/>
        <w:tabs>
          <w:tab w:leader="none" w:pos="1572"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AMENDMENT OR MODIFICATION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may not be amended, modified, changed or altered except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a writing signed by both Employer and Employee.</w:t>
      </w:r>
    </w:p>
    <w:p>
      <w:pPr>
        <w:spacing w:after="0" w:line="343" w:lineRule="exact"/>
        <w:rPr>
          <w:rFonts w:ascii="Arial" w:cs="Arial" w:eastAsia="Arial" w:hAnsi="Arial"/>
          <w:sz w:val="20"/>
          <w:szCs w:val="20"/>
          <w:b w:val="1"/>
          <w:bCs w:val="1"/>
          <w:color w:val="auto"/>
        </w:rPr>
      </w:pPr>
    </w:p>
    <w:p>
      <w:pPr>
        <w:ind w:firstLine="656"/>
        <w:spacing w:after="0" w:line="342" w:lineRule="auto"/>
        <w:tabs>
          <w:tab w:leader="none" w:pos="1572"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GOVERNING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governed by and construed in accordance with the laws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of Nevada, without regard to conflict of laws principles.</w:t>
      </w:r>
    </w:p>
    <w:p>
      <w:pPr>
        <w:spacing w:after="0" w:line="343" w:lineRule="exact"/>
        <w:rPr>
          <w:rFonts w:ascii="Arial" w:cs="Arial" w:eastAsia="Arial" w:hAnsi="Arial"/>
          <w:sz w:val="20"/>
          <w:szCs w:val="20"/>
          <w:b w:val="1"/>
          <w:bCs w:val="1"/>
          <w:color w:val="auto"/>
        </w:rPr>
      </w:pPr>
    </w:p>
    <w:p>
      <w:pPr>
        <w:ind w:firstLine="656"/>
        <w:spacing w:after="0" w:line="342" w:lineRule="auto"/>
        <w:tabs>
          <w:tab w:leader="none" w:pos="1572"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NOTICES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and all notices required under this Agreement shall be in writing and shall be either hand-delivered or mailed, certified mail, return receipt requested, addressed to:</w:t>
      </w: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EMPLOYER:</w:t>
            </w:r>
          </w:p>
        </w:tc>
        <w:tc>
          <w:tcPr>
            <w:tcW w:w="3840" w:type="dxa"/>
            <w:vAlign w:val="bottom"/>
          </w:tcPr>
          <w:p>
            <w:pPr>
              <w:ind w:left="220"/>
              <w:spacing w:after="0"/>
              <w:rPr>
                <w:sz w:val="20"/>
                <w:szCs w:val="20"/>
                <w:color w:val="auto"/>
              </w:rPr>
            </w:pPr>
            <w:r>
              <w:rPr>
                <w:rFonts w:ascii="Arial" w:cs="Arial" w:eastAsia="Arial" w:hAnsi="Arial"/>
                <w:sz w:val="20"/>
                <w:szCs w:val="20"/>
                <w:color w:val="auto"/>
              </w:rPr>
              <w:t>Wynn Resorts, Limited</w:t>
            </w:r>
          </w:p>
        </w:tc>
      </w:tr>
      <w:tr>
        <w:trPr>
          <w:trHeight w:val="246"/>
        </w:trPr>
        <w:tc>
          <w:tcPr>
            <w:tcW w:w="1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w w:val="97"/>
              </w:rPr>
              <w:t>3131 Las Vegas Boulevard South</w:t>
            </w:r>
          </w:p>
        </w:tc>
      </w:tr>
      <w:tr>
        <w:trPr>
          <w:trHeight w:val="230"/>
        </w:trPr>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Las Vegas, Nevada 89109</w:t>
            </w:r>
          </w:p>
        </w:tc>
      </w:tr>
      <w:tr>
        <w:trPr>
          <w:trHeight w:val="237"/>
        </w:trPr>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Attn: Legal Department</w:t>
            </w:r>
          </w:p>
        </w:tc>
      </w:tr>
      <w:tr>
        <w:trPr>
          <w:trHeight w:val="415"/>
        </w:trPr>
        <w:tc>
          <w:tcPr>
            <w:tcW w:w="1700" w:type="dxa"/>
            <w:vAlign w:val="bottom"/>
            <w:gridSpan w:val="3"/>
          </w:tcPr>
          <w:p>
            <w:pPr>
              <w:spacing w:after="0"/>
              <w:rPr>
                <w:sz w:val="20"/>
                <w:szCs w:val="20"/>
                <w:color w:val="auto"/>
              </w:rPr>
            </w:pPr>
            <w:r>
              <w:rPr>
                <w:rFonts w:ascii="Arial" w:cs="Arial" w:eastAsia="Arial" w:hAnsi="Arial"/>
                <w:sz w:val="20"/>
                <w:szCs w:val="20"/>
                <w:color w:val="auto"/>
              </w:rPr>
              <w:t>TO EMPLOYEE:</w:t>
            </w:r>
          </w:p>
        </w:tc>
        <w:tc>
          <w:tcPr>
            <w:tcW w:w="3840" w:type="dxa"/>
            <w:vAlign w:val="bottom"/>
          </w:tcPr>
          <w:p>
            <w:pPr>
              <w:ind w:left="220"/>
              <w:spacing w:after="0"/>
              <w:rPr>
                <w:sz w:val="20"/>
                <w:szCs w:val="20"/>
                <w:color w:val="auto"/>
              </w:rPr>
            </w:pPr>
            <w:r>
              <w:rPr>
                <w:rFonts w:ascii="Arial" w:cs="Arial" w:eastAsia="Arial" w:hAnsi="Arial"/>
                <w:sz w:val="20"/>
                <w:szCs w:val="20"/>
                <w:color w:val="auto"/>
              </w:rPr>
              <w:t>Matt Maddox</w:t>
            </w:r>
          </w:p>
        </w:tc>
      </w:tr>
      <w:tr>
        <w:trPr>
          <w:trHeight w:val="246"/>
        </w:trPr>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[intentionally omitted]</w:t>
            </w:r>
          </w:p>
        </w:tc>
      </w:tr>
      <w:tr>
        <w:trPr>
          <w:trHeight w:val="237"/>
        </w:trPr>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ind w:left="900"/>
              <w:spacing w:after="0"/>
              <w:rPr>
                <w:sz w:val="20"/>
                <w:szCs w:val="20"/>
                <w:color w:val="auto"/>
              </w:rPr>
            </w:pPr>
            <w:r>
              <w:rPr>
                <w:rFonts w:ascii="Arial" w:cs="Arial" w:eastAsia="Arial" w:hAnsi="Arial"/>
                <w:sz w:val="20"/>
                <w:szCs w:val="20"/>
                <w:color w:val="auto"/>
              </w:rPr>
              <w:t>[intentionally omitted]</w:t>
            </w:r>
          </w:p>
        </w:tc>
      </w:tr>
    </w:tbl>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36" w:lineRule="exact"/>
        <w:rPr>
          <w:sz w:val="20"/>
          <w:szCs w:val="20"/>
          <w:color w:val="auto"/>
        </w:rPr>
      </w:pPr>
    </w:p>
    <w:p>
      <w:pPr>
        <w:jc w:val="both"/>
        <w:ind w:firstLine="656"/>
        <w:spacing w:after="0" w:line="320" w:lineRule="auto"/>
        <w:tabs>
          <w:tab w:leader="none" w:pos="157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INTERPRETATION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preamble recitals to this Agreement are incorporated into and made a part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spacing w:after="0" w:line="367" w:lineRule="exact"/>
        <w:rPr>
          <w:rFonts w:ascii="Arial" w:cs="Arial" w:eastAsia="Arial" w:hAnsi="Arial"/>
          <w:sz w:val="20"/>
          <w:szCs w:val="20"/>
          <w:b w:val="1"/>
          <w:bCs w:val="1"/>
          <w:color w:val="auto"/>
        </w:rPr>
      </w:pPr>
    </w:p>
    <w:p>
      <w:pPr>
        <w:jc w:val="both"/>
        <w:ind w:firstLine="656"/>
        <w:spacing w:after="0" w:line="326" w:lineRule="auto"/>
        <w:tabs>
          <w:tab w:leader="none" w:pos="157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SEVERABILITY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any one or more provisions of this Agreement is declared judicially void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unenforceable, the remainder of this Agreement shall survive and such provision(s) shall be deemed modified or amended so as to fulfill the intent of the parties hereto.</w:t>
      </w:r>
    </w:p>
    <w:p>
      <w:pPr>
        <w:spacing w:after="0" w:line="359" w:lineRule="exact"/>
        <w:rPr>
          <w:rFonts w:ascii="Arial" w:cs="Arial" w:eastAsia="Arial" w:hAnsi="Arial"/>
          <w:sz w:val="20"/>
          <w:szCs w:val="20"/>
          <w:b w:val="1"/>
          <w:bCs w:val="1"/>
          <w:color w:val="auto"/>
        </w:rPr>
      </w:pPr>
    </w:p>
    <w:p>
      <w:pPr>
        <w:jc w:val="both"/>
        <w:ind w:firstLine="656"/>
        <w:spacing w:after="0" w:line="320" w:lineRule="auto"/>
        <w:tabs>
          <w:tab w:leader="none" w:pos="157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WAIVER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None of the terms of this Agreement, including this Section 20, or any term, right or remedy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365" w:right="239" w:bottom="1440" w:gutter="0" w:footer="0" w:header="0"/>
        </w:sectPr>
      </w:pPr>
    </w:p>
    <w:bookmarkStart w:id="69" w:name="page70"/>
    <w:bookmarkEnd w:id="69"/>
    <w:p>
      <w:pPr>
        <w:spacing w:after="0" w:line="131" w:lineRule="exact"/>
        <w:rPr>
          <w:sz w:val="20"/>
          <w:szCs w:val="20"/>
          <w:color w:val="auto"/>
        </w:rPr>
      </w:pPr>
    </w:p>
    <w:p>
      <w:pPr>
        <w:jc w:val="both"/>
        <w:ind w:firstLine="656"/>
        <w:spacing w:after="0" w:line="316" w:lineRule="auto"/>
        <w:tabs>
          <w:tab w:leader="none" w:pos="1572"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DISPUTE RESOLUTION</w:t>
      </w:r>
      <w:r>
        <w:rPr>
          <w:rFonts w:ascii="Arial" w:cs="Arial" w:eastAsia="Arial" w:hAnsi="Arial"/>
          <w:sz w:val="20"/>
          <w:szCs w:val="20"/>
          <w:color w:val="auto"/>
        </w:rPr>
        <w:t>. Except for a claim by either Employee or Employer for injunctive relief where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w:t>
      </w:r>
    </w:p>
    <w:p>
      <w:pPr>
        <w:spacing w:after="0" w:line="1" w:lineRule="exact"/>
        <w:rPr>
          <w:rFonts w:ascii="Arial" w:cs="Arial" w:eastAsia="Arial" w:hAnsi="Arial"/>
          <w:sz w:val="20"/>
          <w:szCs w:val="20"/>
          <w:b w:val="1"/>
          <w:bCs w:val="1"/>
          <w:color w:val="auto"/>
        </w:rPr>
      </w:pPr>
    </w:p>
    <w:p>
      <w:pPr>
        <w:jc w:val="both"/>
        <w:spacing w:after="0" w:line="311" w:lineRule="auto"/>
        <w:rPr>
          <w:rFonts w:ascii="Arial" w:cs="Arial" w:eastAsia="Arial" w:hAnsi="Arial"/>
          <w:sz w:val="20"/>
          <w:szCs w:val="20"/>
          <w:b w:val="1"/>
          <w:bCs w:val="1"/>
          <w:color w:val="auto"/>
        </w:rPr>
      </w:pPr>
      <w:r>
        <w:rPr>
          <w:rFonts w:ascii="Arial" w:cs="Arial" w:eastAsia="Arial" w:hAnsi="Arial"/>
          <w:sz w:val="20"/>
          <w:szCs w:val="20"/>
          <w:color w:val="auto"/>
        </w:rPr>
        <w:t>statutory or common law, shall be submitted to binding arbitration in accordance with the employment arbitration rules then in effect of 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xml:space="preserve">”), to the extent not inconsistent with this Section as set forth below, and the Federal Arbitration Act, 9 U.S.C. §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and the Uniform Arbitration Act as adopted in Nevada Revised Statutes 38.015,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This Section 21 applies to any claim Employee might have against any officer, director, employee, or agent of Employer or its</w:t>
      </w:r>
      <w:r>
        <w:rPr>
          <w:rFonts w:ascii="Arial" w:cs="Arial" w:eastAsia="Arial" w:hAnsi="Arial"/>
          <w:sz w:val="20"/>
          <w:szCs w:val="20"/>
          <w:i w:val="1"/>
          <w:iCs w:val="1"/>
          <w:color w:val="auto"/>
        </w:rPr>
        <w:t xml:space="preserve"> </w:t>
      </w:r>
      <w:r>
        <w:rPr>
          <w:rFonts w:ascii="Arial" w:cs="Arial" w:eastAsia="Arial" w:hAnsi="Arial"/>
          <w:sz w:val="20"/>
          <w:szCs w:val="20"/>
          <w:color w:val="auto"/>
        </w:rPr>
        <w:t>Affiliate, and all successors and assigns of any of them. These arbitration provisions shall survive the termination of Employee’s employment with Employer and the expiration of this Agreement.</w:t>
      </w:r>
    </w:p>
    <w:p>
      <w:pPr>
        <w:spacing w:after="0" w:line="399" w:lineRule="exact"/>
        <w:rPr>
          <w:rFonts w:ascii="Arial" w:cs="Arial" w:eastAsia="Arial" w:hAnsi="Arial"/>
          <w:sz w:val="20"/>
          <w:szCs w:val="20"/>
          <w:b w:val="1"/>
          <w:bCs w:val="1"/>
          <w:color w:val="auto"/>
        </w:rPr>
      </w:pPr>
    </w:p>
    <w:p>
      <w:pPr>
        <w:jc w:val="both"/>
        <w:ind w:left="660" w:firstLine="645"/>
        <w:spacing w:after="0" w:line="310" w:lineRule="auto"/>
        <w:tabs>
          <w:tab w:leader="none" w:pos="2198" w:val="left"/>
        </w:tabs>
        <w:numPr>
          <w:ilvl w:val="1"/>
          <w:numId w:val="53"/>
        </w:numPr>
        <w:rPr>
          <w:rFonts w:ascii="Arial" w:cs="Arial" w:eastAsia="Arial" w:hAnsi="Arial"/>
          <w:sz w:val="20"/>
          <w:szCs w:val="20"/>
          <w:color w:val="auto"/>
        </w:rPr>
      </w:pPr>
      <w:r>
        <w:rPr>
          <w:rFonts w:ascii="Arial" w:cs="Arial" w:eastAsia="Arial" w:hAnsi="Arial"/>
          <w:sz w:val="20"/>
          <w:szCs w:val="20"/>
          <w:color w:val="auto"/>
        </w:rPr>
        <w:t>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wrongful discharge; and any and all unlawful employment discrimination and/or harassment claims.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365" w:lineRule="exact"/>
        <w:rPr>
          <w:sz w:val="20"/>
          <w:szCs w:val="20"/>
          <w:color w:val="auto"/>
        </w:rPr>
      </w:pPr>
    </w:p>
    <w:p>
      <w:pPr>
        <w:jc w:val="both"/>
        <w:ind w:left="660" w:firstLine="648"/>
        <w:spacing w:after="0" w:line="241" w:lineRule="auto"/>
        <w:rPr>
          <w:sz w:val="20"/>
          <w:szCs w:val="20"/>
          <w:color w:val="auto"/>
        </w:rPr>
      </w:pPr>
      <w:r>
        <w:rPr>
          <w:rFonts w:ascii="Arial" w:cs="Arial" w:eastAsia="Arial" w:hAnsi="Arial"/>
          <w:sz w:val="20"/>
          <w:szCs w:val="20"/>
          <w:color w:val="auto"/>
        </w:rPr>
        <w:t>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for injunctive or equitable relief for violations of non-competition and/or confidentiality covenants contained in Sections 9, 10 and 11; or any claims that are prohibited as a matter of law from being covered by this Section 21.</w:t>
      </w:r>
    </w:p>
    <w:p>
      <w:pPr>
        <w:spacing w:after="0" w:line="263" w:lineRule="exact"/>
        <w:rPr>
          <w:sz w:val="20"/>
          <w:szCs w:val="20"/>
          <w:color w:val="auto"/>
        </w:rPr>
      </w:pPr>
    </w:p>
    <w:p>
      <w:pPr>
        <w:jc w:val="both"/>
        <w:ind w:left="660" w:firstLine="645"/>
        <w:spacing w:after="0" w:line="313" w:lineRule="auto"/>
        <w:tabs>
          <w:tab w:leader="none" w:pos="2198" w:val="left"/>
        </w:tabs>
        <w:numPr>
          <w:ilvl w:val="0"/>
          <w:numId w:val="54"/>
        </w:numPr>
        <w:rPr>
          <w:rFonts w:ascii="Arial" w:cs="Arial" w:eastAsia="Arial" w:hAnsi="Arial"/>
          <w:sz w:val="20"/>
          <w:szCs w:val="20"/>
          <w:color w:val="auto"/>
        </w:rPr>
      </w:pPr>
      <w:r>
        <w:rPr>
          <w:rFonts w:ascii="Arial" w:cs="Arial" w:eastAsia="Arial" w:hAnsi="Arial"/>
          <w:sz w:val="20"/>
          <w:szCs w:val="20"/>
          <w:color w:val="auto"/>
        </w:rPr>
        <w:t>Waiver of Rights to Pursue Claims in Court and to Jury Trial: This Section 21 does not in any manner waive any rights or remedies available under applicable statutes or common law, but does waive Employer’s and Employee's rights to pursue those rights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1440" w:right="239" w:bottom="1440" w:gutter="0" w:footer="0" w:header="0"/>
        </w:sectPr>
      </w:pPr>
    </w:p>
    <w:bookmarkStart w:id="70" w:name="page71"/>
    <w:bookmarkEnd w:id="70"/>
    <w:p>
      <w:pPr>
        <w:jc w:val="both"/>
        <w:spacing w:after="0" w:line="311" w:lineRule="auto"/>
        <w:rPr>
          <w:sz w:val="20"/>
          <w:szCs w:val="20"/>
          <w:color w:val="auto"/>
        </w:rPr>
      </w:pPr>
      <w:r>
        <w:rPr>
          <w:rFonts w:ascii="Arial" w:cs="Arial" w:eastAsia="Arial" w:hAnsi="Arial"/>
          <w:sz w:val="20"/>
          <w:szCs w:val="20"/>
          <w:color w:val="auto"/>
        </w:rPr>
        <w:t>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400" w:lineRule="exact"/>
        <w:rPr>
          <w:sz w:val="20"/>
          <w:szCs w:val="20"/>
          <w:color w:val="auto"/>
        </w:rPr>
      </w:pPr>
    </w:p>
    <w:p>
      <w:pPr>
        <w:jc w:val="both"/>
        <w:ind w:firstLine="645"/>
        <w:spacing w:after="0" w:line="311" w:lineRule="auto"/>
        <w:tabs>
          <w:tab w:leader="none" w:pos="1527" w:val="left"/>
        </w:tabs>
        <w:numPr>
          <w:ilvl w:val="1"/>
          <w:numId w:val="55"/>
        </w:numPr>
        <w:rPr>
          <w:rFonts w:ascii="Arial" w:cs="Arial" w:eastAsia="Arial" w:hAnsi="Arial"/>
          <w:sz w:val="20"/>
          <w:szCs w:val="20"/>
          <w:color w:val="auto"/>
        </w:rPr>
      </w:pPr>
      <w:r>
        <w:rPr>
          <w:rFonts w:ascii="Arial" w:cs="Arial" w:eastAsia="Arial" w:hAnsi="Arial"/>
          <w:sz w:val="20"/>
          <w:szCs w:val="20"/>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398" w:lineRule="exact"/>
        <w:rPr>
          <w:rFonts w:ascii="Arial" w:cs="Arial" w:eastAsia="Arial" w:hAnsi="Arial"/>
          <w:sz w:val="20"/>
          <w:szCs w:val="20"/>
          <w:color w:val="auto"/>
        </w:rPr>
      </w:pPr>
    </w:p>
    <w:p>
      <w:pPr>
        <w:jc w:val="both"/>
        <w:ind w:firstLine="645"/>
        <w:spacing w:after="0" w:line="329" w:lineRule="auto"/>
        <w:tabs>
          <w:tab w:leader="none" w:pos="153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388" w:lineRule="exact"/>
        <w:rPr>
          <w:rFonts w:ascii="Arial" w:cs="Arial" w:eastAsia="Arial" w:hAnsi="Arial"/>
          <w:sz w:val="19"/>
          <w:szCs w:val="19"/>
          <w:color w:val="auto"/>
        </w:rPr>
      </w:pPr>
    </w:p>
    <w:p>
      <w:pPr>
        <w:jc w:val="both"/>
        <w:ind w:firstLine="645"/>
        <w:spacing w:after="0" w:line="311" w:lineRule="auto"/>
        <w:tabs>
          <w:tab w:leader="none" w:pos="1538" w:val="left"/>
        </w:tabs>
        <w:numPr>
          <w:ilvl w:val="1"/>
          <w:numId w:val="55"/>
        </w:numPr>
        <w:rPr>
          <w:rFonts w:ascii="Arial" w:cs="Arial" w:eastAsia="Arial" w:hAnsi="Arial"/>
          <w:sz w:val="20"/>
          <w:szCs w:val="20"/>
          <w:color w:val="auto"/>
        </w:rPr>
      </w:pPr>
      <w:r>
        <w:rPr>
          <w:rFonts w:ascii="Arial" w:cs="Arial" w:eastAsia="Arial" w:hAnsi="Arial"/>
          <w:sz w:val="20"/>
          <w:szCs w:val="20"/>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399"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760"/>
          </w:cols>
          <w:pgMar w:left="900" w:top="1365" w:right="239" w:bottom="1440" w:gutter="0" w:footer="0" w:header="0"/>
        </w:sectPr>
      </w:pPr>
    </w:p>
    <w:bookmarkStart w:id="71" w:name="page72"/>
    <w:bookmarkEnd w:id="71"/>
    <w:p>
      <w:pPr>
        <w:spacing w:after="0" w:line="155" w:lineRule="exact"/>
        <w:rPr>
          <w:sz w:val="20"/>
          <w:szCs w:val="20"/>
          <w:color w:val="auto"/>
        </w:rPr>
      </w:pPr>
    </w:p>
    <w:p>
      <w:pPr>
        <w:jc w:val="both"/>
        <w:ind w:left="-540" w:firstLine="645"/>
        <w:spacing w:after="0" w:line="310" w:lineRule="auto"/>
        <w:tabs>
          <w:tab w:leader="none" w:pos="943" w:val="left"/>
        </w:tabs>
        <w:numPr>
          <w:ilvl w:val="0"/>
          <w:numId w:val="56"/>
        </w:numPr>
        <w:rPr>
          <w:rFonts w:ascii="Arial" w:cs="Arial" w:eastAsia="Arial" w:hAnsi="Arial"/>
          <w:sz w:val="20"/>
          <w:szCs w:val="20"/>
          <w:color w:val="auto"/>
        </w:rPr>
      </w:pPr>
      <w:r>
        <w:rPr>
          <w:rFonts w:ascii="Arial" w:cs="Arial" w:eastAsia="Arial" w:hAnsi="Arial"/>
          <w:sz w:val="20"/>
          <w:szCs w:val="20"/>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jc w:val="both"/>
        <w:ind w:left="-540" w:firstLine="645"/>
        <w:spacing w:after="0" w:line="311" w:lineRule="auto"/>
        <w:tabs>
          <w:tab w:leader="none" w:pos="998" w:val="left"/>
        </w:tabs>
        <w:numPr>
          <w:ilvl w:val="0"/>
          <w:numId w:val="56"/>
        </w:numPr>
        <w:rPr>
          <w:rFonts w:ascii="Arial" w:cs="Arial" w:eastAsia="Arial" w:hAnsi="Arial"/>
          <w:sz w:val="20"/>
          <w:szCs w:val="20"/>
          <w:color w:val="auto"/>
        </w:rPr>
      </w:pPr>
      <w:r>
        <w:rPr>
          <w:rFonts w:ascii="Arial" w:cs="Arial" w:eastAsia="Arial" w:hAnsi="Arial"/>
          <w:sz w:val="20"/>
          <w:szCs w:val="20"/>
          <w:color w:val="auto"/>
        </w:rPr>
        <w:t>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399" w:lineRule="exact"/>
        <w:rPr>
          <w:rFonts w:ascii="Arial" w:cs="Arial" w:eastAsia="Arial" w:hAnsi="Arial"/>
          <w:sz w:val="20"/>
          <w:szCs w:val="20"/>
          <w:color w:val="auto"/>
        </w:rPr>
      </w:pPr>
    </w:p>
    <w:p>
      <w:pPr>
        <w:jc w:val="both"/>
        <w:ind w:left="-540" w:firstLine="645"/>
        <w:spacing w:after="0" w:line="312" w:lineRule="auto"/>
        <w:tabs>
          <w:tab w:leader="none" w:pos="998" w:val="left"/>
        </w:tabs>
        <w:numPr>
          <w:ilvl w:val="0"/>
          <w:numId w:val="56"/>
        </w:numPr>
        <w:rPr>
          <w:rFonts w:ascii="Arial" w:cs="Arial" w:eastAsia="Arial" w:hAnsi="Arial"/>
          <w:sz w:val="20"/>
          <w:szCs w:val="20"/>
          <w:color w:val="auto"/>
        </w:rPr>
      </w:pPr>
      <w:r>
        <w:rPr>
          <w:rFonts w:ascii="Arial" w:cs="Arial" w:eastAsia="Arial" w:hAnsi="Arial"/>
          <w:sz w:val="20"/>
          <w:szCs w:val="20"/>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w:t>
      </w: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220"/>
          </w:cols>
          <w:pgMar w:left="1440" w:top="1440" w:right="239" w:bottom="1440" w:gutter="0" w:footer="0" w:header="0"/>
        </w:sectPr>
      </w:pPr>
    </w:p>
    <w:bookmarkStart w:id="72" w:name="page73"/>
    <w:bookmarkEnd w:id="72"/>
    <w:p>
      <w:pPr>
        <w:jc w:val="both"/>
        <w:ind w:left="660"/>
        <w:spacing w:after="0" w:line="313" w:lineRule="auto"/>
        <w:rPr>
          <w:sz w:val="20"/>
          <w:szCs w:val="20"/>
          <w:color w:val="auto"/>
        </w:rPr>
      </w:pPr>
      <w:r>
        <w:rPr>
          <w:rFonts w:ascii="Arial" w:cs="Arial" w:eastAsia="Arial" w:hAnsi="Arial"/>
          <w:sz w:val="20"/>
          <w:szCs w:val="20"/>
          <w:color w:val="auto"/>
        </w:rPr>
        <w:t>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397" w:lineRule="exact"/>
        <w:rPr>
          <w:sz w:val="20"/>
          <w:szCs w:val="20"/>
          <w:color w:val="auto"/>
        </w:rPr>
      </w:pPr>
    </w:p>
    <w:p>
      <w:pPr>
        <w:jc w:val="both"/>
        <w:ind w:left="660" w:firstLine="645"/>
        <w:spacing w:after="0" w:line="326" w:lineRule="auto"/>
        <w:tabs>
          <w:tab w:leader="none" w:pos="2132" w:val="left"/>
        </w:tabs>
        <w:numPr>
          <w:ilvl w:val="0"/>
          <w:numId w:val="57"/>
        </w:numPr>
        <w:rPr>
          <w:rFonts w:ascii="Arial" w:cs="Arial" w:eastAsia="Arial" w:hAnsi="Arial"/>
          <w:sz w:val="19"/>
          <w:szCs w:val="19"/>
          <w:color w:val="auto"/>
        </w:rPr>
      </w:pPr>
      <w:r>
        <w:rPr>
          <w:rFonts w:ascii="Arial" w:cs="Arial" w:eastAsia="Arial" w:hAnsi="Arial"/>
          <w:sz w:val="19"/>
          <w:szCs w:val="19"/>
          <w:color w:val="auto"/>
        </w:rPr>
        <w:t>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w:t>
      </w:r>
    </w:p>
    <w:p>
      <w:pPr>
        <w:spacing w:after="0" w:line="1" w:lineRule="exact"/>
        <w:rPr>
          <w:rFonts w:ascii="Arial" w:cs="Arial" w:eastAsia="Arial" w:hAnsi="Arial"/>
          <w:sz w:val="19"/>
          <w:szCs w:val="19"/>
          <w:color w:val="auto"/>
        </w:rPr>
      </w:pPr>
    </w:p>
    <w:p>
      <w:pPr>
        <w:jc w:val="both"/>
        <w:ind w:left="660"/>
        <w:spacing w:after="0" w:line="313" w:lineRule="auto"/>
        <w:rPr>
          <w:rFonts w:ascii="Arial" w:cs="Arial" w:eastAsia="Arial" w:hAnsi="Arial"/>
          <w:sz w:val="19"/>
          <w:szCs w:val="19"/>
          <w:color w:val="auto"/>
        </w:rPr>
      </w:pPr>
      <w:r>
        <w:rPr>
          <w:rFonts w:ascii="Arial" w:cs="Arial" w:eastAsia="Arial" w:hAnsi="Arial"/>
          <w:sz w:val="20"/>
          <w:szCs w:val="20"/>
          <w:color w:val="auto"/>
        </w:rPr>
        <w:t xml:space="preserve">dispute resolution process as to one or more covered claims and/or refuses to enforce the parties’ waiver of class action/collective release, </w:t>
      </w:r>
      <w:r>
        <w:rPr>
          <w:rFonts w:ascii="Arial" w:cs="Arial" w:eastAsia="Arial" w:hAnsi="Arial"/>
          <w:sz w:val="20"/>
          <w:szCs w:val="20"/>
          <w:b w:val="1"/>
          <w:bCs w:val="1"/>
          <w:color w:val="auto"/>
        </w:rPr>
        <w:t>Employee and Employer agree to mutually waive their respective rights to a trial by jury in</w:t>
      </w:r>
      <w:r>
        <w:rPr>
          <w:rFonts w:ascii="Arial" w:cs="Arial" w:eastAsia="Arial" w:hAnsi="Arial"/>
          <w:sz w:val="20"/>
          <w:szCs w:val="20"/>
          <w:color w:val="auto"/>
        </w:rPr>
        <w:t xml:space="preserve"> </w:t>
      </w:r>
      <w:r>
        <w:rPr>
          <w:rFonts w:ascii="Arial" w:cs="Arial" w:eastAsia="Arial" w:hAnsi="Arial"/>
          <w:sz w:val="20"/>
          <w:szCs w:val="20"/>
          <w:b w:val="1"/>
          <w:bCs w:val="1"/>
          <w:color w:val="auto"/>
        </w:rPr>
        <w:t>a court of competent jurisdiction in which an action is filed to resolve any such covered claims</w:t>
      </w:r>
      <w:r>
        <w:rPr>
          <w:rFonts w:ascii="Arial" w:cs="Arial" w:eastAsia="Arial" w:hAnsi="Arial"/>
          <w:sz w:val="20"/>
          <w:szCs w:val="20"/>
          <w:color w:val="auto"/>
        </w:rPr>
        <w:t>.</w:t>
      </w:r>
    </w:p>
    <w:p>
      <w:pPr>
        <w:spacing w:after="0" w:line="332"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color w:val="auto"/>
        </w:rPr>
        <w:t>Employee and Employer agree to sign below to specifically authorize and affirmatively agree to utilize the provisions of Section 21 of this Agreement.</w:t>
      </w:r>
    </w:p>
    <w:p>
      <w:pPr>
        <w:spacing w:after="0" w:line="208" w:lineRule="exact"/>
        <w:rPr>
          <w:sz w:val="20"/>
          <w:szCs w:val="20"/>
          <w:color w:val="auto"/>
        </w:rPr>
      </w:pPr>
    </w:p>
    <w:p>
      <w:pPr>
        <w:jc w:val="both"/>
        <w:ind w:firstLine="656"/>
        <w:spacing w:after="0" w:line="334" w:lineRule="auto"/>
        <w:tabs>
          <w:tab w:leader="none" w:pos="1572"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PAROL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constitutes the entire agreement between Employer and Employee, and supersedes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356" w:lineRule="exact"/>
        <w:rPr>
          <w:rFonts w:ascii="Arial" w:cs="Arial" w:eastAsia="Arial" w:hAnsi="Arial"/>
          <w:sz w:val="19"/>
          <w:szCs w:val="19"/>
          <w:b w:val="1"/>
          <w:bCs w:val="1"/>
          <w:color w:val="auto"/>
        </w:rPr>
      </w:pPr>
    </w:p>
    <w:p>
      <w:pPr>
        <w:jc w:val="both"/>
        <w:ind w:firstLine="656"/>
        <w:spacing w:after="0" w:line="316" w:lineRule="auto"/>
        <w:tabs>
          <w:tab w:leader="none" w:pos="1572"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FCPA COMPLIANCE</w:t>
      </w:r>
      <w:r>
        <w:rPr>
          <w:rFonts w:ascii="Arial" w:cs="Arial" w:eastAsia="Arial" w:hAnsi="Arial"/>
          <w:sz w:val="20"/>
          <w:szCs w:val="20"/>
          <w:color w:val="auto"/>
        </w:rPr>
        <w:t>. Employer advises Employee that the United States Foreign Corrupt Practices Act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FCPA</w:t>
      </w:r>
      <w:r>
        <w:rPr>
          <w:rFonts w:ascii="Arial" w:cs="Arial" w:eastAsia="Arial" w:hAnsi="Arial"/>
          <w:sz w:val="20"/>
          <w:szCs w:val="20"/>
          <w:color w:val="auto"/>
        </w:rPr>
        <w:t>”)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1365" w:right="239" w:bottom="1440" w:gutter="0" w:footer="0" w:header="0"/>
        </w:sectPr>
      </w:pPr>
    </w:p>
    <w:bookmarkStart w:id="73" w:name="page74"/>
    <w:bookmarkEnd w:id="73"/>
    <w:p>
      <w:pPr>
        <w:jc w:val="both"/>
        <w:spacing w:after="0"/>
        <w:rPr>
          <w:sz w:val="20"/>
          <w:szCs w:val="20"/>
          <w:color w:val="auto"/>
        </w:rPr>
      </w:pPr>
      <w:r>
        <w:rPr>
          <w:rFonts w:ascii="Arial" w:cs="Arial" w:eastAsia="Arial" w:hAnsi="Arial"/>
          <w:sz w:val="20"/>
          <w:szCs w:val="20"/>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In case of breach of this provision, the Employer may suspend or terminate this Agreement at any time without notice or indemnity.</w:t>
      </w:r>
    </w:p>
    <w:p>
      <w:pPr>
        <w:spacing w:after="0" w:line="381" w:lineRule="exact"/>
        <w:rPr>
          <w:sz w:val="20"/>
          <w:szCs w:val="20"/>
          <w:color w:val="auto"/>
        </w:rPr>
      </w:pPr>
    </w:p>
    <w:p>
      <w:pPr>
        <w:jc w:val="both"/>
        <w:ind w:firstLine="656"/>
        <w:spacing w:after="0" w:line="326" w:lineRule="auto"/>
        <w:tabs>
          <w:tab w:leader="none" w:pos="1572"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REVIEW BY PARTIES AND THEIR LEGAL COUNSEL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represent that they have read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and acknowledge that they have discussed its contents with their respective legal counsel or have been afforded the opportunity to avail themselves of the opportunity to the extent they each wished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color w:val="auto"/>
        </w:rPr>
        <w:t>**Employee and Employer have read and understand that Section 21 (Dispute Resolution) of this Agreement contains provisions requiring the Employee, as well as the Employer, to submit certain covered disputes between Employee and Employer to arbitration. By signing below, Employee and Employer, specifically authorize and affirmatively agree to utilize the provisions of Section 21 of this Agreement.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1324" w:right="239" w:bottom="1440" w:gutter="0" w:footer="0" w:header="0"/>
        </w:sectPr>
      </w:pPr>
    </w:p>
    <w:bookmarkStart w:id="74" w:name="page75"/>
    <w:bookmarkEnd w:id="74"/>
    <w:p>
      <w:pPr>
        <w:spacing w:after="0" w:line="23" w:lineRule="exact"/>
        <w:rPr>
          <w:sz w:val="20"/>
          <w:szCs w:val="20"/>
          <w:color w:val="auto"/>
        </w:rPr>
      </w:pPr>
    </w:p>
    <w:tbl>
      <w:tblPr>
        <w:tblLayout w:type="fixed"/>
        <w:tblInd w:w="1020" w:type="dxa"/>
        <w:tblCellMar>
          <w:top w:w="0" w:type="dxa"/>
          <w:left w:w="0" w:type="dxa"/>
          <w:bottom w:w="0" w:type="dxa"/>
          <w:right w:w="0" w:type="dxa"/>
        </w:tblCellMar>
      </w:tblPr>
      <w:tr>
        <w:trPr>
          <w:trHeight w:val="261"/>
        </w:trPr>
        <w:tc>
          <w:tcPr>
            <w:tcW w:w="6840" w:type="dxa"/>
            <w:vAlign w:val="bottom"/>
            <w:gridSpan w:val="3"/>
          </w:tcPr>
          <w:p>
            <w:pPr>
              <w:jc w:val="center"/>
              <w:ind w:right="3160"/>
              <w:spacing w:after="0"/>
              <w:rPr>
                <w:sz w:val="20"/>
                <w:szCs w:val="20"/>
                <w:color w:val="auto"/>
              </w:rPr>
            </w:pPr>
            <w:r>
              <w:rPr>
                <w:rFonts w:ascii="Arial" w:cs="Arial" w:eastAsia="Arial" w:hAnsi="Arial"/>
                <w:sz w:val="20"/>
                <w:szCs w:val="20"/>
                <w:b w:val="1"/>
                <w:bCs w:val="1"/>
                <w:color w:val="auto"/>
                <w:w w:val="99"/>
              </w:rPr>
              <w:t>WYNN RESORTS, LIMITED</w:t>
            </w: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20"/>
        </w:trPr>
        <w:tc>
          <w:tcPr>
            <w:tcW w:w="92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D. Boone Wayson</w:t>
            </w:r>
          </w:p>
        </w:tc>
        <w:tc>
          <w:tcPr>
            <w:tcW w:w="406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Matt Maddox</w:t>
            </w:r>
          </w:p>
        </w:tc>
      </w:tr>
      <w:tr>
        <w:trPr>
          <w:trHeight w:val="295"/>
        </w:trPr>
        <w:tc>
          <w:tcPr>
            <w:tcW w:w="6840" w:type="dxa"/>
            <w:vAlign w:val="bottom"/>
            <w:gridSpan w:val="3"/>
          </w:tcPr>
          <w:p>
            <w:pPr>
              <w:jc w:val="center"/>
              <w:ind w:right="3160"/>
              <w:spacing w:after="0"/>
              <w:rPr>
                <w:sz w:val="20"/>
                <w:szCs w:val="20"/>
                <w:color w:val="auto"/>
              </w:rPr>
            </w:pPr>
            <w:r>
              <w:rPr>
                <w:rFonts w:ascii="Arial" w:cs="Arial" w:eastAsia="Arial" w:hAnsi="Arial"/>
                <w:sz w:val="20"/>
                <w:szCs w:val="20"/>
                <w:color w:val="auto"/>
                <w:w w:val="98"/>
              </w:rPr>
              <w:t>D. Boone Wayson, Chairman of the Board</w:t>
            </w: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Matt Maddox</w:t>
            </w:r>
          </w:p>
        </w:tc>
      </w:tr>
    </w:tbl>
    <w:p>
      <w:pPr>
        <w:spacing w:after="0" w:line="200" w:lineRule="exact"/>
        <w:rPr>
          <w:sz w:val="20"/>
          <w:szCs w:val="20"/>
          <w:color w:val="auto"/>
        </w:rPr>
      </w:pPr>
    </w:p>
    <w:p>
      <w:pPr>
        <w:spacing w:after="0" w:line="241" w:lineRule="exact"/>
        <w:rPr>
          <w:sz w:val="20"/>
          <w:szCs w:val="20"/>
          <w:color w:val="auto"/>
        </w:rPr>
      </w:pPr>
    </w:p>
    <w:p>
      <w:pPr>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IN WITNESS WHEREOF AND INTENDING TO BE LEGALLY BOUND THEREBY, </w:t>
      </w:r>
      <w:r>
        <w:rPr>
          <w:rFonts w:ascii="Arial" w:cs="Arial" w:eastAsia="Arial" w:hAnsi="Arial"/>
          <w:sz w:val="20"/>
          <w:szCs w:val="20"/>
          <w:color w:val="auto"/>
        </w:rPr>
        <w:t>the parties hereto have executed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delivered this Agreement as of the year and date first above written.</w:t>
      </w:r>
    </w:p>
    <w:p>
      <w:pPr>
        <w:spacing w:after="0" w:line="200" w:lineRule="exact"/>
        <w:rPr>
          <w:sz w:val="20"/>
          <w:szCs w:val="20"/>
          <w:color w:val="auto"/>
        </w:rPr>
      </w:pPr>
    </w:p>
    <w:p>
      <w:pPr>
        <w:spacing w:after="0" w:line="359" w:lineRule="exact"/>
        <w:rPr>
          <w:sz w:val="20"/>
          <w:szCs w:val="20"/>
          <w:color w:val="auto"/>
        </w:rPr>
      </w:pPr>
    </w:p>
    <w:tbl>
      <w:tblPr>
        <w:tblLayout w:type="fixed"/>
        <w:tblInd w:w="1020" w:type="dxa"/>
        <w:tblCellMar>
          <w:top w:w="0" w:type="dxa"/>
          <w:left w:w="0" w:type="dxa"/>
          <w:bottom w:w="0" w:type="dxa"/>
          <w:right w:w="0" w:type="dxa"/>
        </w:tblCellMar>
      </w:tblPr>
      <w:tr>
        <w:trPr>
          <w:trHeight w:val="261"/>
        </w:trPr>
        <w:tc>
          <w:tcPr>
            <w:tcW w:w="6840" w:type="dxa"/>
            <w:vAlign w:val="bottom"/>
            <w:gridSpan w:val="3"/>
          </w:tcPr>
          <w:p>
            <w:pPr>
              <w:jc w:val="center"/>
              <w:ind w:right="3160"/>
              <w:spacing w:after="0"/>
              <w:rPr>
                <w:sz w:val="20"/>
                <w:szCs w:val="20"/>
                <w:color w:val="auto"/>
              </w:rPr>
            </w:pPr>
            <w:r>
              <w:rPr>
                <w:rFonts w:ascii="Arial" w:cs="Arial" w:eastAsia="Arial" w:hAnsi="Arial"/>
                <w:sz w:val="20"/>
                <w:szCs w:val="20"/>
                <w:b w:val="1"/>
                <w:bCs w:val="1"/>
                <w:color w:val="auto"/>
                <w:w w:val="99"/>
              </w:rPr>
              <w:t>WYNN RESORTS, LIMITED</w:t>
            </w: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8"/>
              </w:rPr>
              <w:t>EMPLOYEE</w:t>
            </w:r>
          </w:p>
        </w:tc>
      </w:tr>
      <w:tr>
        <w:trPr>
          <w:trHeight w:val="820"/>
        </w:trPr>
        <w:tc>
          <w:tcPr>
            <w:tcW w:w="92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D. Boone Wayson</w:t>
            </w:r>
          </w:p>
        </w:tc>
        <w:tc>
          <w:tcPr>
            <w:tcW w:w="406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Matt Maddox</w:t>
            </w:r>
          </w:p>
        </w:tc>
      </w:tr>
      <w:tr>
        <w:trPr>
          <w:trHeight w:val="295"/>
        </w:trPr>
        <w:tc>
          <w:tcPr>
            <w:tcW w:w="6840" w:type="dxa"/>
            <w:vAlign w:val="bottom"/>
            <w:gridSpan w:val="3"/>
          </w:tcPr>
          <w:p>
            <w:pPr>
              <w:jc w:val="center"/>
              <w:ind w:right="3160"/>
              <w:spacing w:after="0"/>
              <w:rPr>
                <w:sz w:val="20"/>
                <w:szCs w:val="20"/>
                <w:color w:val="auto"/>
              </w:rPr>
            </w:pPr>
            <w:r>
              <w:rPr>
                <w:rFonts w:ascii="Arial" w:cs="Arial" w:eastAsia="Arial" w:hAnsi="Arial"/>
                <w:sz w:val="20"/>
                <w:szCs w:val="20"/>
                <w:color w:val="auto"/>
                <w:w w:val="98"/>
              </w:rPr>
              <w:t>D. Boone Wayson, Chairman of the Board</w:t>
            </w: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Matt Maddox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1440" w:right="2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68"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EMPLOYMENT AGREEMENT</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(“Agreement”)</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by and between -</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WYNN RESORTS, LIMITED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(“Employer”)</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and -</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MATT MADDOX</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(“Employee”)</w:t>
      </w: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16" w:lineRule="exact"/>
        <w:rPr>
          <w:sz w:val="20"/>
          <w:szCs w:val="20"/>
          <w:color w:val="auto"/>
        </w:rPr>
      </w:pPr>
    </w:p>
    <w:p>
      <w:pPr>
        <w:jc w:val="center"/>
        <w:ind w:right="-1360"/>
        <w:spacing w:after="0"/>
        <w:tabs>
          <w:tab w:leader="none" w:pos="200" w:val="left"/>
        </w:tabs>
        <w:rPr>
          <w:sz w:val="20"/>
          <w:szCs w:val="20"/>
          <w:color w:val="auto"/>
        </w:rPr>
      </w:pPr>
      <w:r>
        <w:rPr>
          <w:rFonts w:ascii="Arial" w:cs="Arial" w:eastAsia="Arial" w:hAnsi="Arial"/>
          <w:sz w:val="20"/>
          <w:szCs w:val="20"/>
          <w:b w:val="1"/>
          <w:bCs w:val="1"/>
          <w:color w:val="auto"/>
        </w:rPr>
        <w:t>DATED:</w:t>
      </w:r>
      <w:r>
        <w:rPr>
          <w:sz w:val="20"/>
          <w:szCs w:val="20"/>
          <w:color w:val="auto"/>
        </w:rPr>
        <w:tab/>
      </w:r>
      <w:r>
        <w:rPr>
          <w:rFonts w:ascii="Arial" w:cs="Arial" w:eastAsia="Arial" w:hAnsi="Arial"/>
          <w:sz w:val="20"/>
          <w:szCs w:val="20"/>
          <w:color w:val="auto"/>
        </w:rPr>
        <w:t>April 17, 2018</w:t>
      </w:r>
    </w:p>
    <w:p>
      <w:pPr>
        <w:spacing w:after="0" w:line="24" w:lineRule="exact"/>
        <w:rPr>
          <w:sz w:val="20"/>
          <w:szCs w:val="20"/>
          <w:color w:val="auto"/>
        </w:rPr>
      </w:pPr>
    </w:p>
    <w:p>
      <w:pPr>
        <w:ind w:left="2100"/>
        <w:spacing w:after="0"/>
        <w:rPr>
          <w:sz w:val="20"/>
          <w:szCs w:val="20"/>
          <w:color w:val="auto"/>
        </w:rPr>
      </w:pPr>
      <w:r>
        <w:rPr>
          <w:rFonts w:ascii="Arial" w:cs="Arial" w:eastAsia="Arial" w:hAnsi="Arial"/>
          <w:sz w:val="19"/>
          <w:szCs w:val="19"/>
          <w:b w:val="1"/>
          <w:bCs w:val="1"/>
          <w:u w:val="single" w:color="auto"/>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9019"/>
          </w:cols>
          <w:pgMar w:left="1440" w:top="1440"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10.6</w:t>
      </w:r>
    </w:p>
    <w:p>
      <w:pPr>
        <w:spacing w:after="0" w:line="220"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FIRST AMENDMENT TO</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AMENDED AND RESTATED</w:t>
      </w:r>
    </w:p>
    <w:p>
      <w:pPr>
        <w:ind w:left="4360"/>
        <w:spacing w:after="0"/>
        <w:rPr>
          <w:sz w:val="20"/>
          <w:szCs w:val="20"/>
          <w:color w:val="auto"/>
        </w:rPr>
      </w:pPr>
      <w:r>
        <w:rPr>
          <w:rFonts w:ascii="Arial" w:cs="Arial" w:eastAsia="Arial" w:hAnsi="Arial"/>
          <w:sz w:val="20"/>
          <w:szCs w:val="20"/>
          <w:b w:val="1"/>
          <w:bCs w:val="1"/>
          <w:color w:val="auto"/>
        </w:rPr>
        <w:t>EMPLOYMENT AGREEMENT</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FIRST AMENDMENT TO AMENDED AND RESTATED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17th day of April, 2018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Wynn Resorts, Limited (“</w:t>
      </w:r>
      <w:r>
        <w:rPr>
          <w:rFonts w:ascii="Arial" w:cs="Arial" w:eastAsia="Arial" w:hAnsi="Arial"/>
          <w:sz w:val="20"/>
          <w:szCs w:val="20"/>
          <w:b w:val="1"/>
          <w:bCs w:val="1"/>
          <w:color w:val="auto"/>
        </w:rPr>
        <w:t>Employer</w:t>
      </w:r>
      <w:r>
        <w:rPr>
          <w:rFonts w:ascii="Arial" w:cs="Arial" w:eastAsia="Arial" w:hAnsi="Arial"/>
          <w:sz w:val="20"/>
          <w:szCs w:val="20"/>
          <w:color w:val="auto"/>
        </w:rPr>
        <w:t>”) and Kim Sinatra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190"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 and Employee have entered into that certain Amended and Restated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effective as of November 4, 2016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54"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 is willing and Employee desires to modify certain terms and conditions to the Agreement as more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fully set forth herein;</w:t>
      </w:r>
    </w:p>
    <w:p>
      <w:pPr>
        <w:spacing w:after="0" w:line="154"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NOW, THEREFORE</w:t>
      </w:r>
      <w:r>
        <w:rPr>
          <w:rFonts w:ascii="Arial" w:cs="Arial" w:eastAsia="Arial" w:hAnsi="Arial"/>
          <w:sz w:val="20"/>
          <w:szCs w:val="20"/>
          <w:color w:val="auto"/>
        </w:rPr>
        <w:t>, in consideration of the foregoing and the respective representations, warranties, covenants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set forth in this Amendment, the parties hereto agree as follows:</w:t>
      </w:r>
    </w:p>
    <w:p>
      <w:pPr>
        <w:spacing w:after="0" w:line="191" w:lineRule="exact"/>
        <w:rPr>
          <w:sz w:val="20"/>
          <w:szCs w:val="20"/>
          <w:color w:val="auto"/>
        </w:rPr>
      </w:pPr>
    </w:p>
    <w:p>
      <w:pPr>
        <w:ind w:left="1460" w:hanging="804"/>
        <w:spacing w:after="0"/>
        <w:tabs>
          <w:tab w:leader="none" w:pos="14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Amendments.</w:t>
      </w:r>
    </w:p>
    <w:p>
      <w:pPr>
        <w:spacing w:after="0" w:line="252" w:lineRule="exact"/>
        <w:rPr>
          <w:sz w:val="20"/>
          <w:szCs w:val="20"/>
          <w:color w:val="auto"/>
        </w:rPr>
      </w:pPr>
    </w:p>
    <w:p>
      <w:pPr>
        <w:ind w:left="1640" w:hanging="335"/>
        <w:spacing w:after="0"/>
        <w:tabs>
          <w:tab w:leader="none" w:pos="1640" w:val="left"/>
        </w:tabs>
        <w:numPr>
          <w:ilvl w:val="0"/>
          <w:numId w:val="61"/>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1(d) of the Agreement in its entirety to read as follows:</w:t>
      </w:r>
    </w:p>
    <w:p>
      <w:pPr>
        <w:spacing w:after="0" w:line="212" w:lineRule="exact"/>
        <w:rPr>
          <w:sz w:val="20"/>
          <w:szCs w:val="20"/>
          <w:color w:val="auto"/>
        </w:rPr>
      </w:pPr>
    </w:p>
    <w:p>
      <w:pPr>
        <w:ind w:left="1760" w:hanging="455"/>
        <w:spacing w:after="0"/>
        <w:tabs>
          <w:tab w:leader="none" w:pos="1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53" w:lineRule="exact"/>
        <w:rPr>
          <w:rFonts w:ascii="Arial" w:cs="Arial" w:eastAsia="Arial" w:hAnsi="Arial"/>
          <w:sz w:val="20"/>
          <w:szCs w:val="20"/>
          <w:color w:val="auto"/>
        </w:rPr>
      </w:pPr>
    </w:p>
    <w:p>
      <w:pPr>
        <w:jc w:val="both"/>
        <w:ind w:left="1960" w:hanging="7"/>
        <w:spacing w:after="0" w:line="241" w:lineRule="auto"/>
        <w:tabs>
          <w:tab w:leader="none" w:pos="2381" w:val="left"/>
        </w:tabs>
        <w:numPr>
          <w:ilvl w:val="1"/>
          <w:numId w:val="62"/>
        </w:numPr>
        <w:rPr>
          <w:rFonts w:ascii="Arial" w:cs="Arial" w:eastAsia="Arial" w:hAnsi="Arial"/>
          <w:sz w:val="20"/>
          <w:szCs w:val="20"/>
          <w:color w:val="auto"/>
        </w:rPr>
      </w:pPr>
      <w:r>
        <w:rPr>
          <w:rFonts w:ascii="Arial" w:cs="Arial" w:eastAsia="Arial" w:hAnsi="Arial"/>
          <w:sz w:val="20"/>
          <w:szCs w:val="20"/>
          <w:color w:val="auto"/>
        </w:rPr>
        <w:t>any "Person" or "Group" (as such terms are defined in Section 13(d) of the Securities Exchange Act of 1934 (the "Exchange Act") and the rules and regulations promulgated thereunder)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221" w:lineRule="exact"/>
        <w:rPr>
          <w:rFonts w:ascii="Arial" w:cs="Arial" w:eastAsia="Arial" w:hAnsi="Arial"/>
          <w:sz w:val="20"/>
          <w:szCs w:val="20"/>
          <w:color w:val="auto"/>
        </w:rPr>
      </w:pPr>
    </w:p>
    <w:p>
      <w:pPr>
        <w:jc w:val="both"/>
        <w:ind w:left="1960" w:hanging="7"/>
        <w:spacing w:after="0" w:line="241" w:lineRule="auto"/>
        <w:tabs>
          <w:tab w:leader="none" w:pos="2443"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w:t>
      </w:r>
    </w:p>
    <w:p>
      <w:pPr>
        <w:spacing w:after="0" w:line="379"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8" w:right="239" w:bottom="1440" w:gutter="0" w:footer="0" w:header="0"/>
        </w:sectPr>
      </w:pPr>
    </w:p>
    <w:bookmarkStart w:id="77" w:name="page78"/>
    <w:bookmarkEnd w:id="77"/>
    <w:p>
      <w:pPr>
        <w:jc w:val="both"/>
        <w:ind w:left="1300"/>
        <w:spacing w:after="0" w:line="241" w:lineRule="auto"/>
        <w:rPr>
          <w:sz w:val="20"/>
          <w:szCs w:val="20"/>
          <w:color w:val="auto"/>
        </w:rPr>
      </w:pPr>
      <w:r>
        <w:rPr>
          <w:rFonts w:ascii="Arial" w:cs="Arial" w:eastAsia="Arial" w:hAnsi="Arial"/>
          <w:sz w:val="20"/>
          <w:szCs w:val="20"/>
          <w:color w:val="auto"/>
        </w:rPr>
        <w:t>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23" w:lineRule="exact"/>
        <w:rPr>
          <w:sz w:val="20"/>
          <w:szCs w:val="20"/>
          <w:color w:val="auto"/>
        </w:rPr>
      </w:pPr>
    </w:p>
    <w:p>
      <w:pPr>
        <w:jc w:val="both"/>
        <w:ind w:left="1300" w:hanging="7"/>
        <w:spacing w:after="0"/>
        <w:tabs>
          <w:tab w:leader="none" w:pos="1795"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246" w:lineRule="exact"/>
        <w:rPr>
          <w:rFonts w:ascii="Arial" w:cs="Arial" w:eastAsia="Arial" w:hAnsi="Arial"/>
          <w:sz w:val="20"/>
          <w:szCs w:val="20"/>
          <w:color w:val="auto"/>
        </w:rPr>
      </w:pPr>
    </w:p>
    <w:p>
      <w:pPr>
        <w:ind w:left="980" w:hanging="335"/>
        <w:spacing w:after="0"/>
        <w:tabs>
          <w:tab w:leader="none" w:pos="980" w:val="left"/>
        </w:tabs>
        <w:numPr>
          <w:ilvl w:val="0"/>
          <w:numId w:val="64"/>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1(k) of the Agreement in its entirety to read as follows</w:t>
      </w:r>
    </w:p>
    <w:p>
      <w:pPr>
        <w:spacing w:after="0" w:line="236" w:lineRule="exact"/>
        <w:rPr>
          <w:sz w:val="20"/>
          <w:szCs w:val="20"/>
          <w:color w:val="auto"/>
        </w:rPr>
      </w:pPr>
    </w:p>
    <w:p>
      <w:pPr>
        <w:jc w:val="both"/>
        <w:ind w:left="640" w:firstLine="5"/>
        <w:spacing w:after="0" w:line="242" w:lineRule="auto"/>
        <w:tabs>
          <w:tab w:leader="none" w:pos="1114" w:val="left"/>
        </w:tabs>
        <w:numPr>
          <w:ilvl w:val="0"/>
          <w:numId w:val="65"/>
        </w:numPr>
        <w:rPr>
          <w:rFonts w:ascii="Arial" w:cs="Arial" w:eastAsia="Arial" w:hAnsi="Arial"/>
          <w:sz w:val="20"/>
          <w:szCs w:val="20"/>
          <w:color w:val="auto"/>
        </w:rPr>
      </w:pPr>
      <w:r>
        <w:rPr>
          <w:rFonts w:ascii="Arial" w:cs="Arial" w:eastAsia="Arial" w:hAnsi="Arial"/>
          <w:sz w:val="20"/>
          <w:szCs w:val="20"/>
          <w:color w:val="auto"/>
        </w:rPr>
        <w:t>“Separation Payment” means a lump sum equal to (A) Employee’s Base Salary for the remainder of the Term (but not less than 12 months) (as defined in Subparagraph 7(a) of this Agreement), plus (B) the bonus that was paid to Employee under Subparagraph 7(b) for the preceding bonus period, projected over the remainder of the Term (but not less than the preceding bonus that was paid), plus (C) any accrued but unpaid vacation pay.</w:t>
      </w:r>
    </w:p>
    <w:p>
      <w:pPr>
        <w:spacing w:after="0" w:line="232" w:lineRule="exact"/>
        <w:rPr>
          <w:sz w:val="20"/>
          <w:szCs w:val="20"/>
          <w:color w:val="auto"/>
        </w:rPr>
      </w:pPr>
    </w:p>
    <w:p>
      <w:pPr>
        <w:ind w:left="1060" w:hanging="415"/>
        <w:spacing w:after="0"/>
        <w:tabs>
          <w:tab w:leader="none" w:pos="1060" w:val="left"/>
        </w:tabs>
        <w:numPr>
          <w:ilvl w:val="0"/>
          <w:numId w:val="66"/>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6(b)(ii) of the Agreement in its entirety to read as</w:t>
      </w:r>
    </w:p>
    <w:p>
      <w:pPr>
        <w:spacing w:after="0" w:line="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0"/>
          <w:szCs w:val="20"/>
          <w:color w:val="auto"/>
        </w:rPr>
        <w:t>follows:</w:t>
      </w:r>
    </w:p>
    <w:p>
      <w:pPr>
        <w:spacing w:after="0" w:line="243" w:lineRule="exact"/>
        <w:rPr>
          <w:sz w:val="20"/>
          <w:szCs w:val="20"/>
          <w:color w:val="auto"/>
        </w:rPr>
      </w:pPr>
    </w:p>
    <w:p>
      <w:pPr>
        <w:ind w:left="640" w:firstLine="5"/>
        <w:spacing w:after="0" w:line="247" w:lineRule="auto"/>
        <w:tabs>
          <w:tab w:leader="none" w:pos="11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 or 6(a)</w:t>
      </w:r>
    </w:p>
    <w:p>
      <w:pPr>
        <w:spacing w:after="0" w:line="373"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379" w:right="239" w:bottom="1440" w:gutter="0" w:footer="0" w:header="0"/>
        </w:sectPr>
      </w:pPr>
    </w:p>
    <w:bookmarkStart w:id="78" w:name="page79"/>
    <w:bookmarkEnd w:id="78"/>
    <w:p>
      <w:pPr>
        <w:jc w:val="both"/>
        <w:ind w:left="1300"/>
        <w:spacing w:after="0" w:line="241" w:lineRule="auto"/>
        <w:rPr>
          <w:sz w:val="20"/>
          <w:szCs w:val="20"/>
          <w:color w:val="auto"/>
        </w:rPr>
      </w:pPr>
      <w:r>
        <w:rPr>
          <w:rFonts w:ascii="Arial" w:cs="Arial" w:eastAsia="Arial" w:hAnsi="Arial"/>
          <w:sz w:val="20"/>
          <w:szCs w:val="20"/>
          <w:color w:val="auto"/>
        </w:rPr>
        <w:t>(vi), prior to the final vesting date, a pro-rated portion of the stock award granted to Employee pursuant to Section 7(d) below equal to the number of full calendar months elapsed between the grant date and the date of such termination of employment divided by the number of full calendar months between the grant date and the final vesting date shall vest, less those shares that have already vested or have been forfeited, and become payable within 30 days following such termination of employment.</w:t>
      </w:r>
    </w:p>
    <w:p>
      <w:pPr>
        <w:spacing w:after="0" w:line="234" w:lineRule="exact"/>
        <w:rPr>
          <w:sz w:val="20"/>
          <w:szCs w:val="20"/>
          <w:color w:val="auto"/>
        </w:rPr>
      </w:pPr>
    </w:p>
    <w:p>
      <w:pPr>
        <w:ind w:left="1720" w:hanging="415"/>
        <w:spacing w:after="0"/>
        <w:tabs>
          <w:tab w:leader="none" w:pos="1720" w:val="left"/>
        </w:tabs>
        <w:numPr>
          <w:ilvl w:val="0"/>
          <w:numId w:val="68"/>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6(b)(iii) of the Agreement in its entirety to read as</w:t>
      </w:r>
    </w:p>
    <w:p>
      <w:pPr>
        <w:spacing w:after="0" w:line="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0"/>
          <w:szCs w:val="20"/>
          <w:color w:val="auto"/>
        </w:rPr>
        <w:t>follows:</w:t>
      </w:r>
    </w:p>
    <w:p>
      <w:pPr>
        <w:spacing w:after="0" w:line="243" w:lineRule="exact"/>
        <w:rPr>
          <w:sz w:val="20"/>
          <w:szCs w:val="20"/>
          <w:color w:val="auto"/>
        </w:rPr>
      </w:pPr>
    </w:p>
    <w:p>
      <w:pPr>
        <w:jc w:val="both"/>
        <w:ind w:left="1300" w:firstLine="5"/>
        <w:spacing w:after="0" w:line="243" w:lineRule="auto"/>
        <w:tabs>
          <w:tab w:leader="none" w:pos="1817"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6(a)(vii), any unvested shares of restricted stock of Wynn Resorts, Limited granted to Employee pursuant to Section 7(d) below shall immediately vest upon the termination date.</w:t>
      </w:r>
    </w:p>
    <w:p>
      <w:pPr>
        <w:spacing w:after="0" w:line="243" w:lineRule="exact"/>
        <w:rPr>
          <w:sz w:val="20"/>
          <w:szCs w:val="20"/>
          <w:color w:val="auto"/>
        </w:rPr>
      </w:pPr>
    </w:p>
    <w:p>
      <w:pPr>
        <w:ind w:left="1640" w:hanging="335"/>
        <w:spacing w:after="0"/>
        <w:tabs>
          <w:tab w:leader="none" w:pos="1640" w:val="left"/>
        </w:tabs>
        <w:numPr>
          <w:ilvl w:val="0"/>
          <w:numId w:val="70"/>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7(d) of the Agreement in its entirety to read as follows:</w:t>
      </w:r>
    </w:p>
    <w:p>
      <w:pPr>
        <w:spacing w:after="0" w:line="212" w:lineRule="exact"/>
        <w:rPr>
          <w:sz w:val="20"/>
          <w:szCs w:val="20"/>
          <w:color w:val="auto"/>
        </w:rPr>
      </w:pPr>
    </w:p>
    <w:p>
      <w:pPr>
        <w:jc w:val="both"/>
        <w:ind w:left="1300" w:firstLine="5"/>
        <w:spacing w:after="0" w:line="250" w:lineRule="auto"/>
        <w:tabs>
          <w:tab w:leader="none" w:pos="1802"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was granted 100,000 shares of restricted stock of Wynn Resorts, Limited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pursuant to the Wynn Resorts, Limited 2014 Omnibus Incentive Plan. Employee and Employer entered into a separate restricted stock agreement, dated February 28, 2017, and amended on April 17, 2018, incorporating the terms and conditions of the grant, including the grant date, vesting schedule, and termination provisions.</w:t>
      </w:r>
    </w:p>
    <w:p>
      <w:pPr>
        <w:spacing w:after="0" w:line="225" w:lineRule="exact"/>
        <w:rPr>
          <w:sz w:val="20"/>
          <w:szCs w:val="20"/>
          <w:color w:val="auto"/>
        </w:rPr>
      </w:pPr>
    </w:p>
    <w:p>
      <w:pPr>
        <w:ind w:left="1620" w:hanging="315"/>
        <w:spacing w:after="0"/>
        <w:tabs>
          <w:tab w:leader="none" w:pos="1620" w:val="left"/>
        </w:tabs>
        <w:numPr>
          <w:ilvl w:val="1"/>
          <w:numId w:val="72"/>
        </w:numPr>
        <w:rPr>
          <w:rFonts w:ascii="Arial" w:cs="Arial" w:eastAsia="Arial" w:hAnsi="Arial"/>
          <w:sz w:val="22"/>
          <w:szCs w:val="22"/>
          <w:color w:val="auto"/>
        </w:rPr>
      </w:pPr>
      <w:r>
        <w:rPr>
          <w:rFonts w:ascii="Arial" w:cs="Arial" w:eastAsia="Arial" w:hAnsi="Arial"/>
          <w:sz w:val="20"/>
          <w:szCs w:val="20"/>
          <w:color w:val="auto"/>
        </w:rPr>
        <w:t>Employer and Employee hereby agree that Exhibit 1 to the Agreement is hereby removed in its entirety.</w:t>
      </w:r>
    </w:p>
    <w:p>
      <w:pPr>
        <w:spacing w:after="0" w:line="200" w:lineRule="exact"/>
        <w:rPr>
          <w:rFonts w:ascii="Arial" w:cs="Arial" w:eastAsia="Arial" w:hAnsi="Arial"/>
          <w:sz w:val="22"/>
          <w:szCs w:val="22"/>
          <w:color w:val="auto"/>
        </w:rPr>
      </w:pPr>
    </w:p>
    <w:p>
      <w:pPr>
        <w:spacing w:after="0" w:line="278" w:lineRule="exact"/>
        <w:rPr>
          <w:rFonts w:ascii="Arial" w:cs="Arial" w:eastAsia="Arial" w:hAnsi="Arial"/>
          <w:sz w:val="22"/>
          <w:szCs w:val="22"/>
          <w:color w:val="auto"/>
        </w:rPr>
      </w:pPr>
    </w:p>
    <w:p>
      <w:pPr>
        <w:ind w:firstLine="656"/>
        <w:spacing w:after="0" w:line="275" w:lineRule="auto"/>
        <w:tabs>
          <w:tab w:leader="none" w:pos="1462"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18"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IN WITNESS WHEREOF, the parties hereto have caused this Amendment to be executed and effective as of the date first written above.</w:t>
      </w:r>
    </w:p>
    <w:p>
      <w:pPr>
        <w:spacing w:after="0" w:line="200" w:lineRule="exact"/>
        <w:rPr>
          <w:sz w:val="20"/>
          <w:szCs w:val="20"/>
          <w:color w:val="auto"/>
        </w:rPr>
      </w:pPr>
    </w:p>
    <w:p>
      <w:pPr>
        <w:spacing w:after="0" w:line="207"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b w:val="1"/>
          <w:bCs w:val="1"/>
          <w:color w:val="auto"/>
        </w:rPr>
        <w:t>WYNN RESORTS, LIMITED</w:t>
      </w:r>
      <w:r>
        <w:rPr>
          <w:sz w:val="20"/>
          <w:szCs w:val="20"/>
          <w:color w:val="auto"/>
        </w:rPr>
        <w:tab/>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Matt Maddox______________ /s/ Kim Sinatra______________</w:t>
      </w:r>
    </w:p>
    <w:p>
      <w:pPr>
        <w:spacing w:after="0"/>
        <w:tabs>
          <w:tab w:leader="none" w:pos="3480" w:val="left"/>
        </w:tabs>
        <w:rPr>
          <w:sz w:val="20"/>
          <w:szCs w:val="20"/>
          <w:color w:val="auto"/>
        </w:rPr>
      </w:pPr>
      <w:r>
        <w:rPr>
          <w:rFonts w:ascii="Arial" w:cs="Arial" w:eastAsia="Arial" w:hAnsi="Arial"/>
          <w:sz w:val="20"/>
          <w:szCs w:val="20"/>
          <w:color w:val="auto"/>
        </w:rPr>
        <w:t>Matt Maddox, Chief Executive Officer</w:t>
      </w:r>
      <w:r>
        <w:rPr>
          <w:sz w:val="20"/>
          <w:szCs w:val="20"/>
          <w:color w:val="auto"/>
        </w:rPr>
        <w:tab/>
      </w:r>
      <w:r>
        <w:rPr>
          <w:rFonts w:ascii="Arial" w:cs="Arial" w:eastAsia="Arial" w:hAnsi="Arial"/>
          <w:sz w:val="19"/>
          <w:szCs w:val="19"/>
          <w:color w:val="auto"/>
        </w:rPr>
        <w:t>Kim Sinatra</w:t>
      </w:r>
    </w:p>
    <w:p>
      <w:pPr>
        <w:spacing w:after="0" w:line="387"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10.7</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FIRST AMENDMENT TO</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EMPLOYMENT AGREEMENT</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This FIRST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is entered into as of the 17th day of April, 2018,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CRAIG BILLINGS</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effective as of March 1, 2017</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Employee is willing and Employer desires to modify certain terms and conditions to the Agreement as more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fully set forth herein;</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respective representations, warranties, covenants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set forth in the Agreement, the parties hereto agree as follows:</w:t>
      </w:r>
    </w:p>
    <w:p>
      <w:pPr>
        <w:spacing w:after="0" w:line="205" w:lineRule="exact"/>
        <w:rPr>
          <w:sz w:val="20"/>
          <w:szCs w:val="20"/>
          <w:color w:val="auto"/>
        </w:rPr>
      </w:pPr>
    </w:p>
    <w:p>
      <w:pPr>
        <w:ind w:left="1460" w:hanging="804"/>
        <w:spacing w:after="0"/>
        <w:tabs>
          <w:tab w:leader="none" w:pos="146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65" w:lineRule="exact"/>
        <w:rPr>
          <w:sz w:val="20"/>
          <w:szCs w:val="20"/>
          <w:color w:val="auto"/>
        </w:rPr>
      </w:pPr>
    </w:p>
    <w:p>
      <w:pPr>
        <w:ind w:left="1640" w:hanging="335"/>
        <w:spacing w:after="0"/>
        <w:tabs>
          <w:tab w:leader="none" w:pos="1640" w:val="left"/>
        </w:tabs>
        <w:numPr>
          <w:ilvl w:val="0"/>
          <w:numId w:val="75"/>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1(d) of the Agreement in its entirety to read as follows:</w:t>
      </w:r>
    </w:p>
    <w:p>
      <w:pPr>
        <w:spacing w:after="0" w:line="212" w:lineRule="exact"/>
        <w:rPr>
          <w:sz w:val="20"/>
          <w:szCs w:val="20"/>
          <w:color w:val="auto"/>
        </w:rPr>
      </w:pPr>
    </w:p>
    <w:p>
      <w:pPr>
        <w:ind w:left="1760" w:hanging="455"/>
        <w:spacing w:after="0"/>
        <w:tabs>
          <w:tab w:leader="none" w:pos="17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53" w:lineRule="exact"/>
        <w:rPr>
          <w:rFonts w:ascii="Arial" w:cs="Arial" w:eastAsia="Arial" w:hAnsi="Arial"/>
          <w:sz w:val="20"/>
          <w:szCs w:val="20"/>
          <w:color w:val="auto"/>
        </w:rPr>
      </w:pPr>
    </w:p>
    <w:p>
      <w:pPr>
        <w:jc w:val="both"/>
        <w:ind w:left="1960" w:hanging="7"/>
        <w:spacing w:after="0" w:line="241" w:lineRule="auto"/>
        <w:tabs>
          <w:tab w:leader="none" w:pos="2381"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 "Person" or "Group" (as such terms are defined in Section 13(d) of the Securities Exchange Act of 1934 (the "Exchange Act") and the rules and regulations promulgated thereunder)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221" w:lineRule="exact"/>
        <w:rPr>
          <w:rFonts w:ascii="Arial" w:cs="Arial" w:eastAsia="Arial" w:hAnsi="Arial"/>
          <w:sz w:val="20"/>
          <w:szCs w:val="20"/>
          <w:color w:val="auto"/>
        </w:rPr>
      </w:pPr>
    </w:p>
    <w:p>
      <w:pPr>
        <w:jc w:val="both"/>
        <w:ind w:left="1960" w:hanging="7"/>
        <w:spacing w:after="0"/>
        <w:tabs>
          <w:tab w:leader="none" w:pos="2443"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w:t>
      </w:r>
    </w:p>
    <w:p>
      <w:pPr>
        <w:sectPr>
          <w:pgSz w:w="11900" w:h="16838" w:orient="portrait"/>
          <w:cols w:equalWidth="0" w:num="1">
            <w:col w:w="11420"/>
          </w:cols>
          <w:pgMar w:left="240" w:top="369" w:right="239" w:bottom="1440" w:gutter="0" w:footer="0" w:header="0"/>
        </w:sectPr>
      </w:pPr>
    </w:p>
    <w:bookmarkStart w:id="80" w:name="page81"/>
    <w:bookmarkEnd w:id="80"/>
    <w:p>
      <w:pPr>
        <w:jc w:val="both"/>
        <w:ind w:left="760"/>
        <w:spacing w:after="0" w:line="242" w:lineRule="auto"/>
        <w:rPr>
          <w:sz w:val="20"/>
          <w:szCs w:val="20"/>
          <w:color w:val="auto"/>
        </w:rPr>
      </w:pPr>
      <w:r>
        <w:rPr>
          <w:rFonts w:ascii="Arial" w:cs="Arial" w:eastAsia="Arial" w:hAnsi="Arial"/>
          <w:sz w:val="20"/>
          <w:szCs w:val="20"/>
          <w:color w:val="auto"/>
        </w:rPr>
        <w:t>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20" w:lineRule="exact"/>
        <w:rPr>
          <w:sz w:val="20"/>
          <w:szCs w:val="20"/>
          <w:color w:val="auto"/>
        </w:rPr>
      </w:pPr>
    </w:p>
    <w:p>
      <w:pPr>
        <w:jc w:val="both"/>
        <w:ind w:left="760" w:hanging="7"/>
        <w:spacing w:after="0"/>
        <w:tabs>
          <w:tab w:leader="none" w:pos="1255"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234" w:lineRule="exact"/>
        <w:rPr>
          <w:rFonts w:ascii="Arial" w:cs="Arial" w:eastAsia="Arial" w:hAnsi="Arial"/>
          <w:sz w:val="20"/>
          <w:szCs w:val="20"/>
          <w:color w:val="auto"/>
        </w:rPr>
      </w:pPr>
    </w:p>
    <w:p>
      <w:pPr>
        <w:ind w:left="440" w:hanging="335"/>
        <w:spacing w:after="0"/>
        <w:tabs>
          <w:tab w:leader="none" w:pos="440" w:val="left"/>
        </w:tabs>
        <w:numPr>
          <w:ilvl w:val="0"/>
          <w:numId w:val="78"/>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5 of the Agreement in its entirety to read as follows</w:t>
      </w:r>
    </w:p>
    <w:p>
      <w:pPr>
        <w:spacing w:after="0" w:line="212" w:lineRule="exact"/>
        <w:rPr>
          <w:sz w:val="20"/>
          <w:szCs w:val="20"/>
          <w:color w:val="auto"/>
        </w:rPr>
      </w:pPr>
    </w:p>
    <w:p>
      <w:pPr>
        <w:jc w:val="both"/>
        <w:ind w:left="100" w:firstLine="5"/>
        <w:spacing w:after="0" w:line="244" w:lineRule="auto"/>
        <w:tabs>
          <w:tab w:leader="none" w:pos="498"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TERM</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Unless sooner terminated as provided in this Agreement, the term of this Agreement (the “</w:t>
      </w:r>
      <w:r>
        <w:rPr>
          <w:rFonts w:ascii="Arial" w:cs="Arial" w:eastAsia="Arial" w:hAnsi="Arial"/>
          <w:sz w:val="20"/>
          <w:szCs w:val="20"/>
          <w:b w:val="1"/>
          <w:bCs w:val="1"/>
          <w:color w:val="auto"/>
        </w:rPr>
        <w:t>Term</w:t>
      </w:r>
      <w:r>
        <w:rPr>
          <w:rFonts w:ascii="Arial" w:cs="Arial" w:eastAsia="Arial" w:hAnsi="Arial"/>
          <w:sz w:val="20"/>
          <w:szCs w:val="20"/>
          <w:color w:val="auto"/>
        </w:rPr>
        <w:t>”)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 of four (4) years commencing on the Effective Date of this Agreement and terminating on the fourth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00" w:lineRule="exact"/>
        <w:rPr>
          <w:rFonts w:ascii="Arial" w:cs="Arial" w:eastAsia="Arial" w:hAnsi="Arial"/>
          <w:sz w:val="20"/>
          <w:szCs w:val="20"/>
          <w:b w:val="1"/>
          <w:bCs w:val="1"/>
          <w:color w:val="auto"/>
        </w:rPr>
      </w:pPr>
    </w:p>
    <w:p>
      <w:pPr>
        <w:spacing w:after="0" w:line="245" w:lineRule="exact"/>
        <w:rPr>
          <w:rFonts w:ascii="Arial" w:cs="Arial" w:eastAsia="Arial" w:hAnsi="Arial"/>
          <w:sz w:val="20"/>
          <w:szCs w:val="20"/>
          <w:b w:val="1"/>
          <w:bCs w:val="1"/>
          <w:color w:val="auto"/>
        </w:rPr>
      </w:pPr>
    </w:p>
    <w:p>
      <w:pPr>
        <w:ind w:left="4460" w:hanging="126"/>
        <w:spacing w:after="0"/>
        <w:tabs>
          <w:tab w:leader="none" w:pos="4460" w:val="left"/>
        </w:tabs>
        <w:numPr>
          <w:ilvl w:val="1"/>
          <w:numId w:val="79"/>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220"/>
          </w:cols>
          <w:pgMar w:left="1440" w:top="379" w:right="239" w:bottom="1440" w:gutter="0" w:footer="0" w:header="0"/>
        </w:sectPr>
      </w:pPr>
    </w:p>
    <w:bookmarkStart w:id="81" w:name="page82"/>
    <w:bookmarkEnd w:id="81"/>
    <w:p>
      <w:pPr>
        <w:jc w:val="both"/>
        <w:ind w:left="640" w:right="20"/>
        <w:spacing w:after="0" w:line="262" w:lineRule="auto"/>
        <w:rPr>
          <w:sz w:val="20"/>
          <w:szCs w:val="20"/>
          <w:color w:val="auto"/>
        </w:rPr>
      </w:pPr>
      <w:r>
        <w:rPr>
          <w:rFonts w:ascii="Arial" w:cs="Arial" w:eastAsia="Arial" w:hAnsi="Arial"/>
          <w:sz w:val="19"/>
          <w:szCs w:val="19"/>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01" w:lineRule="exact"/>
        <w:rPr>
          <w:sz w:val="20"/>
          <w:szCs w:val="20"/>
          <w:color w:val="auto"/>
        </w:rPr>
      </w:pPr>
    </w:p>
    <w:p>
      <w:pPr>
        <w:ind w:left="1060" w:hanging="415"/>
        <w:spacing w:after="0"/>
        <w:tabs>
          <w:tab w:leader="none" w:pos="1060" w:val="left"/>
        </w:tabs>
        <w:numPr>
          <w:ilvl w:val="0"/>
          <w:numId w:val="80"/>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6(b)(ii) of the Agreement in its entirety to read as</w:t>
      </w:r>
    </w:p>
    <w:p>
      <w:pPr>
        <w:spacing w:after="0" w:line="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0"/>
          <w:szCs w:val="20"/>
          <w:color w:val="auto"/>
        </w:rPr>
        <w:t>follows:</w:t>
      </w:r>
    </w:p>
    <w:p>
      <w:pPr>
        <w:spacing w:after="0" w:line="243" w:lineRule="exact"/>
        <w:rPr>
          <w:sz w:val="20"/>
          <w:szCs w:val="20"/>
          <w:color w:val="auto"/>
        </w:rPr>
      </w:pPr>
    </w:p>
    <w:p>
      <w:pPr>
        <w:jc w:val="both"/>
        <w:ind w:left="640" w:firstLine="5"/>
        <w:spacing w:after="0" w:line="241" w:lineRule="auto"/>
        <w:tabs>
          <w:tab w:leader="none" w:pos="11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 or 6(a)(vi), prior to the final vesting date, a pro-rated portion of the stock awards granted to Employee pursuant to Section 7(d) below equal to the number of full calendar months elapsed between the grant date and the date of such termination of employment divided by the number of full calendar months between the grant date and the final vesting date shall vest, less those shares that have already vested or have been forfeited, and become payable within 30 days following such termination of employment.</w:t>
      </w:r>
    </w:p>
    <w:p>
      <w:pPr>
        <w:spacing w:after="0" w:line="233" w:lineRule="exact"/>
        <w:rPr>
          <w:sz w:val="20"/>
          <w:szCs w:val="20"/>
          <w:color w:val="auto"/>
        </w:rPr>
      </w:pPr>
    </w:p>
    <w:p>
      <w:pPr>
        <w:ind w:left="1060" w:hanging="415"/>
        <w:spacing w:after="0"/>
        <w:tabs>
          <w:tab w:leader="none" w:pos="1060" w:val="left"/>
        </w:tabs>
        <w:numPr>
          <w:ilvl w:val="0"/>
          <w:numId w:val="82"/>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6(b)(iii) of the Agreement in its entirety to read as</w:t>
      </w:r>
    </w:p>
    <w:p>
      <w:pPr>
        <w:spacing w:after="0" w:line="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0"/>
          <w:szCs w:val="20"/>
          <w:color w:val="auto"/>
        </w:rPr>
        <w:t>follows:</w:t>
      </w:r>
    </w:p>
    <w:p>
      <w:pPr>
        <w:spacing w:after="0" w:line="243" w:lineRule="exact"/>
        <w:rPr>
          <w:sz w:val="20"/>
          <w:szCs w:val="20"/>
          <w:color w:val="auto"/>
        </w:rPr>
      </w:pPr>
    </w:p>
    <w:p>
      <w:pPr>
        <w:jc w:val="both"/>
        <w:ind w:left="640" w:firstLine="5"/>
        <w:spacing w:after="0" w:line="243" w:lineRule="auto"/>
        <w:tabs>
          <w:tab w:leader="none" w:pos="1157"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6(a)(vii), any unvested shares of restricted stock of Wynn Resorts, Limited granted to Employee pursuant to Section 7(d) below shall immediately vest upon the termination date.</w:t>
      </w:r>
    </w:p>
    <w:p>
      <w:pPr>
        <w:spacing w:after="0" w:line="243" w:lineRule="exact"/>
        <w:rPr>
          <w:sz w:val="20"/>
          <w:szCs w:val="20"/>
          <w:color w:val="auto"/>
        </w:rPr>
      </w:pPr>
    </w:p>
    <w:p>
      <w:pPr>
        <w:ind w:left="980" w:hanging="335"/>
        <w:spacing w:after="0"/>
        <w:tabs>
          <w:tab w:leader="none" w:pos="980" w:val="left"/>
        </w:tabs>
        <w:numPr>
          <w:ilvl w:val="0"/>
          <w:numId w:val="84"/>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7(a) of the Agreement in its entirety to read as follows:</w:t>
      </w:r>
    </w:p>
    <w:p>
      <w:pPr>
        <w:spacing w:after="0" w:line="212" w:lineRule="exact"/>
        <w:rPr>
          <w:sz w:val="20"/>
          <w:szCs w:val="20"/>
          <w:color w:val="auto"/>
        </w:rPr>
      </w:pPr>
    </w:p>
    <w:p>
      <w:pPr>
        <w:jc w:val="both"/>
        <w:ind w:left="640" w:firstLine="5"/>
        <w:spacing w:after="0" w:line="244" w:lineRule="auto"/>
        <w:tabs>
          <w:tab w:leader="none" w:pos="1129"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to pay to Employee, and Employee hereby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agrees to accept from Employer, a base salary at the rate of Eight Hundred Seventy-Five Thousand Dollars ($875,000.00)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243" w:lineRule="exact"/>
        <w:rPr>
          <w:sz w:val="20"/>
          <w:szCs w:val="20"/>
          <w:color w:val="auto"/>
        </w:rPr>
      </w:pPr>
    </w:p>
    <w:p>
      <w:pPr>
        <w:ind w:left="960" w:hanging="315"/>
        <w:spacing w:after="0"/>
        <w:tabs>
          <w:tab w:leader="none" w:pos="960" w:val="left"/>
        </w:tabs>
        <w:numPr>
          <w:ilvl w:val="0"/>
          <w:numId w:val="86"/>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7(d) of the Agreement in its entirety to read as follows:</w:t>
      </w:r>
    </w:p>
    <w:p>
      <w:pPr>
        <w:spacing w:after="0" w:line="212" w:lineRule="exact"/>
        <w:rPr>
          <w:sz w:val="20"/>
          <w:szCs w:val="20"/>
          <w:color w:val="auto"/>
        </w:rPr>
      </w:pPr>
    </w:p>
    <w:p>
      <w:pPr>
        <w:ind w:left="640" w:right="20" w:firstLine="5"/>
        <w:spacing w:after="0" w:line="272" w:lineRule="auto"/>
        <w:tabs>
          <w:tab w:leader="none" w:pos="1169"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was granted 30,000 shares of restricted stock of Wynn Resorts, Limited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pursuant to the Wynn Resorts, Limited 2014 Omnibus Incentive Plan. Employee and Employer</w:t>
      </w:r>
    </w:p>
    <w:p>
      <w:pPr>
        <w:spacing w:after="0" w:line="200" w:lineRule="exact"/>
        <w:rPr>
          <w:rFonts w:ascii="Arial" w:cs="Arial" w:eastAsia="Arial" w:hAnsi="Arial"/>
          <w:sz w:val="20"/>
          <w:szCs w:val="20"/>
          <w:color w:val="auto"/>
        </w:rPr>
      </w:pPr>
    </w:p>
    <w:p>
      <w:pPr>
        <w:ind w:left="5000" w:hanging="126"/>
        <w:spacing w:after="0"/>
        <w:tabs>
          <w:tab w:leader="none" w:pos="50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760"/>
          </w:cols>
          <w:pgMar w:left="900" w:top="379" w:right="239" w:bottom="1440" w:gutter="0" w:footer="0" w:header="0"/>
        </w:sectPr>
      </w:pPr>
    </w:p>
    <w:bookmarkStart w:id="82" w:name="page83"/>
    <w:bookmarkEnd w:id="82"/>
    <w:p>
      <w:pPr>
        <w:jc w:val="both"/>
        <w:ind w:left="1300"/>
        <w:spacing w:after="0" w:line="243" w:lineRule="auto"/>
        <w:rPr>
          <w:sz w:val="20"/>
          <w:szCs w:val="20"/>
          <w:color w:val="auto"/>
        </w:rPr>
      </w:pPr>
      <w:r>
        <w:rPr>
          <w:rFonts w:ascii="Arial" w:cs="Arial" w:eastAsia="Arial" w:hAnsi="Arial"/>
          <w:sz w:val="20"/>
          <w:szCs w:val="20"/>
          <w:color w:val="auto"/>
        </w:rPr>
        <w:t>entered into a separate restricted stock agreement, dated March 1, 2017, and amended on April 17, 2018, incorporating the terms and conditions of the grant, including the grant date, vesting schedule, and termination provisions.</w:t>
      </w:r>
    </w:p>
    <w:p>
      <w:pPr>
        <w:spacing w:after="0" w:line="220" w:lineRule="exact"/>
        <w:rPr>
          <w:sz w:val="20"/>
          <w:szCs w:val="20"/>
          <w:color w:val="auto"/>
        </w:rPr>
      </w:pPr>
    </w:p>
    <w:p>
      <w:pPr>
        <w:jc w:val="both"/>
        <w:ind w:left="1300"/>
        <w:spacing w:after="0" w:line="242" w:lineRule="auto"/>
        <w:rPr>
          <w:sz w:val="20"/>
          <w:szCs w:val="20"/>
          <w:color w:val="auto"/>
        </w:rPr>
      </w:pPr>
      <w:r>
        <w:rPr>
          <w:rFonts w:ascii="Arial" w:cs="Arial" w:eastAsia="Arial" w:hAnsi="Arial"/>
          <w:sz w:val="20"/>
          <w:szCs w:val="20"/>
          <w:color w:val="auto"/>
        </w:rPr>
        <w:t>Employee shall at the earliest possible time after the Effective Date of this Amendment be granted 25,000 shares of restricted stock of Wynn Resorts, Limited common stock pursuant to the Wynn Resorts, Limited 2014 Omnibus Incentive Plan. Employee and Employer will enter into a separate restricted stock agreement incorporating the terms and conditions of the grant, including the grant date, vesting schedule, and termination provisions.</w:t>
      </w:r>
    </w:p>
    <w:p>
      <w:pPr>
        <w:spacing w:after="0" w:line="200" w:lineRule="exact"/>
        <w:rPr>
          <w:sz w:val="20"/>
          <w:szCs w:val="20"/>
          <w:color w:val="auto"/>
        </w:rPr>
      </w:pPr>
    </w:p>
    <w:p>
      <w:pPr>
        <w:spacing w:after="0" w:line="250" w:lineRule="exact"/>
        <w:rPr>
          <w:sz w:val="20"/>
          <w:szCs w:val="20"/>
          <w:color w:val="auto"/>
        </w:rPr>
      </w:pPr>
    </w:p>
    <w:p>
      <w:pPr>
        <w:ind w:left="1040" w:hanging="384"/>
        <w:spacing w:after="0"/>
        <w:tabs>
          <w:tab w:leader="none" w:pos="104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The amendments set forth in Section 1 shall be effective as of March 1, 2018.</w:t>
      </w:r>
    </w:p>
    <w:p>
      <w:pPr>
        <w:spacing w:after="0" w:line="229" w:lineRule="exact"/>
        <w:rPr>
          <w:rFonts w:ascii="Arial" w:cs="Arial" w:eastAsia="Arial" w:hAnsi="Arial"/>
          <w:sz w:val="20"/>
          <w:szCs w:val="20"/>
          <w:color w:val="auto"/>
        </w:rPr>
      </w:pPr>
    </w:p>
    <w:p>
      <w:pPr>
        <w:ind w:right="20" w:firstLine="656"/>
        <w:spacing w:after="0" w:line="247" w:lineRule="auto"/>
        <w:tabs>
          <w:tab w:leader="none" w:pos="106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hereto have caused this Amendment to be executed as of the date first written</w:t>
      </w:r>
    </w:p>
    <w:p>
      <w:pPr>
        <w:spacing w:after="0"/>
        <w:rPr>
          <w:sz w:val="20"/>
          <w:szCs w:val="20"/>
          <w:color w:val="auto"/>
        </w:rPr>
      </w:pPr>
      <w:r>
        <w:rPr>
          <w:rFonts w:ascii="Arial" w:cs="Arial" w:eastAsia="Arial" w:hAnsi="Arial"/>
          <w:sz w:val="20"/>
          <w:szCs w:val="20"/>
          <w:color w:val="auto"/>
        </w:rPr>
        <w:t>above.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340" w:type="dxa"/>
            <w:vAlign w:val="bottom"/>
            <w:gridSpan w:val="3"/>
          </w:tcPr>
          <w:p>
            <w:pPr>
              <w:spacing w:after="0"/>
              <w:rPr>
                <w:sz w:val="20"/>
                <w:szCs w:val="20"/>
                <w:color w:val="auto"/>
              </w:rPr>
            </w:pPr>
            <w:r>
              <w:rPr>
                <w:rFonts w:ascii="Arial" w:cs="Arial" w:eastAsia="Arial" w:hAnsi="Arial"/>
                <w:sz w:val="20"/>
                <w:szCs w:val="20"/>
                <w:b w:val="1"/>
                <w:bCs w:val="1"/>
                <w:color w:val="auto"/>
              </w:rPr>
              <w:t>WYNN RESORTS, LIMITED</w:t>
            </w:r>
          </w:p>
        </w:tc>
        <w:tc>
          <w:tcPr>
            <w:tcW w:w="1520" w:type="dxa"/>
            <w:vAlign w:val="bottom"/>
            <w:gridSpan w:val="2"/>
          </w:tcPr>
          <w:p>
            <w:pPr>
              <w:ind w:left="60"/>
              <w:spacing w:after="0"/>
              <w:rPr>
                <w:sz w:val="20"/>
                <w:szCs w:val="20"/>
                <w:color w:val="auto"/>
              </w:rPr>
            </w:pPr>
            <w:r>
              <w:rPr>
                <w:rFonts w:ascii="Arial" w:cs="Arial" w:eastAsia="Arial" w:hAnsi="Arial"/>
                <w:sz w:val="20"/>
                <w:szCs w:val="20"/>
                <w:b w:val="1"/>
                <w:bCs w:val="1"/>
                <w:color w:val="auto"/>
              </w:rPr>
              <w:t>EMPLOYEE</w:t>
            </w:r>
          </w:p>
        </w:tc>
      </w:tr>
      <w:tr>
        <w:trPr>
          <w:trHeight w:val="644"/>
        </w:trPr>
        <w:tc>
          <w:tcPr>
            <w:tcW w:w="2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c>
          <w:tcPr>
            <w:tcW w:w="440" w:type="dxa"/>
            <w:vAlign w:val="bottom"/>
          </w:tcPr>
          <w:p>
            <w:pPr>
              <w:spacing w:after="0"/>
              <w:rPr>
                <w:sz w:val="24"/>
                <w:szCs w:val="24"/>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Craig Billings</w:t>
            </w:r>
          </w:p>
        </w:tc>
        <w:tc>
          <w:tcPr>
            <w:tcW w:w="480" w:type="dxa"/>
            <w:vAlign w:val="bottom"/>
          </w:tcPr>
          <w:p>
            <w:pPr>
              <w:spacing w:after="0"/>
              <w:rPr>
                <w:sz w:val="24"/>
                <w:szCs w:val="24"/>
                <w:color w:val="auto"/>
              </w:rPr>
            </w:pPr>
          </w:p>
        </w:tc>
      </w:tr>
      <w:tr>
        <w:trPr>
          <w:trHeight w:val="254"/>
        </w:trPr>
        <w:tc>
          <w:tcPr>
            <w:tcW w:w="3340" w:type="dxa"/>
            <w:vAlign w:val="bottom"/>
            <w:gridSpan w:val="3"/>
          </w:tcPr>
          <w:p>
            <w:pPr>
              <w:spacing w:after="0"/>
              <w:rPr>
                <w:sz w:val="20"/>
                <w:szCs w:val="20"/>
                <w:color w:val="auto"/>
              </w:rPr>
            </w:pPr>
            <w:r>
              <w:rPr>
                <w:rFonts w:ascii="Arial" w:cs="Arial" w:eastAsia="Arial" w:hAnsi="Arial"/>
                <w:sz w:val="20"/>
                <w:szCs w:val="20"/>
                <w:color w:val="auto"/>
              </w:rPr>
              <w:t>Matt Maddox, Chief Executive Officer</w:t>
            </w:r>
          </w:p>
        </w:tc>
        <w:tc>
          <w:tcPr>
            <w:tcW w:w="1520" w:type="dxa"/>
            <w:vAlign w:val="bottom"/>
            <w:gridSpan w:val="2"/>
          </w:tcPr>
          <w:p>
            <w:pPr>
              <w:ind w:left="380"/>
              <w:spacing w:after="0"/>
              <w:rPr>
                <w:sz w:val="20"/>
                <w:szCs w:val="20"/>
                <w:color w:val="auto"/>
              </w:rPr>
            </w:pPr>
            <w:r>
              <w:rPr>
                <w:rFonts w:ascii="Arial" w:cs="Arial" w:eastAsia="Arial" w:hAnsi="Arial"/>
                <w:sz w:val="20"/>
                <w:szCs w:val="20"/>
                <w:color w:val="auto"/>
                <w:w w:val="95"/>
              </w:rPr>
              <w:t>Craig Billings</w:t>
            </w: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37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171" w:lineRule="exact"/>
        <w:rPr>
          <w:sz w:val="20"/>
          <w:szCs w:val="20"/>
          <w:color w:val="auto"/>
        </w:rPr>
      </w:pPr>
    </w:p>
    <w:p>
      <w:pPr>
        <w:ind w:left="820" w:hanging="812"/>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2018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Matt Maddox</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May 9, 2018</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May 9, 2018</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x"/>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1)"/>
      <w:numFmt w:val="lowerLetter"/>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decimal"/>
      <w:start w:val="1"/>
    </w:lvl>
    <w:lvl w:ilvl="1">
      <w:lvlJc w:val="left"/>
      <w:lvlText w:val="(%2)"/>
      <w:numFmt w:val="lowerLetter"/>
      <w:start w:val="1"/>
    </w:lvl>
  </w:abstractNum>
  <w:abstractNum w:abstractNumId="20">
    <w:nsid w:val="275AC794"/>
    <w:multiLevelType w:val="hybridMultilevel"/>
    <w:lvl w:ilvl="0">
      <w:lvlJc w:val="left"/>
      <w:lvlText w:val="(%1)"/>
      <w:numFmt w:val="lowerLetter"/>
      <w:start w:val="2"/>
    </w:lvl>
    <w:lvl w:ilvl="1">
      <w:lvlJc w:val="left"/>
      <w:lvlText w:val="(%2)"/>
      <w:numFmt w:val="lowerRoman"/>
      <w:start w:val="1"/>
    </w:lvl>
  </w:abstractNum>
  <w:abstractNum w:abstractNumId="21">
    <w:nsid w:val="39386575"/>
    <w:multiLevelType w:val="hybridMultilevel"/>
    <w:lvl w:ilvl="0">
      <w:lvlJc w:val="left"/>
      <w:lvlText w:val="(%1)"/>
      <w:numFmt w:val="lowerLetter"/>
      <w:start w:val="4"/>
    </w:lvl>
    <w:lvl w:ilvl="1">
      <w:lvlJc w:val="left"/>
      <w:lvlText w:val="(%2)"/>
      <w:numFmt w:val="lowerRoman"/>
      <w:start w:val="1"/>
    </w:lvl>
  </w:abstractNum>
  <w:abstractNum w:abstractNumId="22">
    <w:nsid w:val="1CF10FD8"/>
    <w:multiLevelType w:val="hybridMultilevel"/>
    <w:lvl w:ilvl="0">
      <w:lvlJc w:val="left"/>
      <w:lvlText w:val="(%1)"/>
      <w:numFmt w:val="lowerLetter"/>
      <w:start w:val="5"/>
    </w:lvl>
  </w:abstractNum>
  <w:abstractNum w:abstractNumId="23">
    <w:nsid w:val="180115BE"/>
    <w:multiLevelType w:val="hybridMultilevel"/>
    <w:lvl w:ilvl="0">
      <w:lvlJc w:val="left"/>
      <w:lvlText w:val="(%1)"/>
      <w:numFmt w:val="lowerRoman"/>
      <w:start w:val="1"/>
    </w:lvl>
  </w:abstractNum>
  <w:abstractNum w:abstractNumId="24">
    <w:nsid w:val="235BA861"/>
    <w:multiLevelType w:val="hybridMultilevel"/>
    <w:lvl w:ilvl="0">
      <w:lvlJc w:val="left"/>
      <w:lvlText w:val="(%1)"/>
      <w:numFmt w:val="lowerLetter"/>
      <w:start w:val="10"/>
    </w:lvl>
  </w:abstractNum>
  <w:abstractNum w:abstractNumId="25">
    <w:nsid w:val="47398C89"/>
    <w:multiLevelType w:val="hybridMultilevel"/>
    <w:lvl w:ilvl="0">
      <w:lvlJc w:val="left"/>
      <w:lvlText w:val="%1"/>
      <w:numFmt w:val="decimal"/>
      <w:start w:val="1"/>
    </w:lvl>
    <w:lvl w:ilvl="1">
      <w:lvlJc w:val="left"/>
      <w:lvlText w:val="(%2)"/>
      <w:numFmt w:val="lowerLetter"/>
      <w:start w:val="13"/>
    </w:lvl>
  </w:abstractNum>
  <w:abstractNum w:abstractNumId="26">
    <w:nsid w:val="354FE9F9"/>
    <w:multiLevelType w:val="hybridMultilevel"/>
    <w:lvl w:ilvl="0">
      <w:lvlJc w:val="left"/>
      <w:lvlText w:val="%1."/>
      <w:numFmt w:val="decimal"/>
      <w:start w:val="2"/>
    </w:lvl>
    <w:lvl w:ilvl="1">
      <w:lvlJc w:val="left"/>
      <w:lvlText w:val="%2"/>
      <w:numFmt w:val="lowerLetter"/>
      <w:start w:val="1"/>
    </w:lvl>
  </w:abstractNum>
  <w:abstractNum w:abstractNumId="27">
    <w:nsid w:val="15B5AF5C"/>
    <w:multiLevelType w:val="hybridMultilevel"/>
    <w:lvl w:ilvl="0">
      <w:lvlJc w:val="left"/>
      <w:lvlText w:val="%1."/>
      <w:numFmt w:val="decimal"/>
      <w:start w:val="3"/>
    </w:lvl>
  </w:abstractNum>
  <w:abstractNum w:abstractNumId="28">
    <w:nsid w:val="741226BB"/>
    <w:multiLevelType w:val="hybridMultilevel"/>
    <w:lvl w:ilvl="0">
      <w:lvlJc w:val="left"/>
      <w:lvlText w:val="%1."/>
      <w:numFmt w:val="decimal"/>
      <w:start w:val="4"/>
    </w:lvl>
  </w:abstractNum>
  <w:abstractNum w:abstractNumId="29">
    <w:nsid w:val="D34B6A8"/>
    <w:multiLevelType w:val="hybridMultilevel"/>
    <w:lvl w:ilvl="0">
      <w:lvlJc w:val="left"/>
      <w:lvlText w:val="%1."/>
      <w:numFmt w:val="decimal"/>
      <w:start w:val="5"/>
    </w:lvl>
  </w:abstractNum>
  <w:abstractNum w:abstractNumId="30">
    <w:nsid w:val="10233C9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
    <w:nsid w:val="3F6AB60F"/>
    <w:multiLevelType w:val="hybridMultilevel"/>
    <w:lvl w:ilvl="0">
      <w:lvlJc w:val="left"/>
      <w:lvlText w:val="(%1)"/>
      <w:numFmt w:val="lowerRoman"/>
      <w:start w:val="5"/>
    </w:lvl>
  </w:abstractNum>
  <w:abstractNum w:abstractNumId="32">
    <w:nsid w:val="61574095"/>
    <w:multiLevelType w:val="hybridMultilevel"/>
    <w:lvl w:ilvl="0">
      <w:lvlJc w:val="left"/>
      <w:lvlText w:val="%1"/>
      <w:numFmt w:val="lowerLetter"/>
      <w:start w:val="1"/>
    </w:lvl>
    <w:lvl w:ilvl="1">
      <w:lvlJc w:val="left"/>
      <w:lvlText w:val="(%2)"/>
      <w:numFmt w:val="lowerRoman"/>
      <w:start w:val="6"/>
    </w:lvl>
  </w:abstractNum>
  <w:abstractNum w:abstractNumId="33">
    <w:nsid w:val="7E0C57B1"/>
    <w:multiLevelType w:val="hybridMultilevel"/>
    <w:lvl w:ilvl="0">
      <w:lvlJc w:val="left"/>
      <w:lvlText w:val="(%1)"/>
      <w:numFmt w:val="lowerLetter"/>
      <w:start w:val="2"/>
    </w:lvl>
    <w:lvl w:ilvl="1">
      <w:lvlJc w:val="left"/>
      <w:lvlText w:val="%2"/>
      <w:numFmt w:val="lowerRoman"/>
      <w:start w:val="1"/>
    </w:lvl>
  </w:abstractNum>
  <w:abstractNum w:abstractNumId="34">
    <w:nsid w:val="77AE35EB"/>
    <w:multiLevelType w:val="hybridMultilevel"/>
    <w:lvl w:ilvl="0">
      <w:lvlJc w:val="left"/>
      <w:lvlText w:val="(%1)"/>
      <w:numFmt w:val="lowerRoman"/>
      <w:start w:val="1"/>
    </w:lvl>
  </w:abstractNum>
  <w:abstractNum w:abstractNumId="35">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
    <w:nsid w:val="310C50B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7">
    <w:nsid w:val="5FF87E05"/>
    <w:multiLevelType w:val="hybridMultilevel"/>
    <w:lvl w:ilvl="0">
      <w:lvlJc w:val="left"/>
      <w:lvlText w:val="(%1)"/>
      <w:numFmt w:val="lowerLetter"/>
      <w:start w:val="3"/>
    </w:lvl>
  </w:abstractNum>
  <w:abstractNum w:abstractNumId="38">
    <w:nsid w:val="2F305DEF"/>
    <w:multiLevelType w:val="hybridMultilevel"/>
    <w:lvl w:ilvl="0">
      <w:lvlJc w:val="left"/>
      <w:lvlText w:val="(%1)"/>
      <w:numFmt w:val="lowerLetter"/>
      <w:start w:val="4"/>
    </w:lvl>
  </w:abstractNum>
  <w:abstractNum w:abstractNumId="39">
    <w:nsid w:val="25A70BF7"/>
    <w:multiLevelType w:val="hybridMultilevel"/>
    <w:lvl w:ilvl="0">
      <w:lvlJc w:val="left"/>
      <w:lvlText w:val="(%1)"/>
      <w:numFmt w:val="lowerLetter"/>
      <w:start w:val="5"/>
    </w:lvl>
  </w:abstractNum>
  <w:abstractNum w:abstractNumId="40">
    <w:nsid w:val="1DBABF00"/>
    <w:multiLevelType w:val="hybridMultilevel"/>
    <w:lvl w:ilvl="0">
      <w:lvlJc w:val="left"/>
      <w:lvlText w:val="%1"/>
      <w:numFmt w:val="decimal"/>
      <w:start w:val="1"/>
    </w:lvl>
    <w:lvl w:ilvl="1">
      <w:lvlJc w:val="left"/>
      <w:lvlText w:val="(%2)"/>
      <w:numFmt w:val="lowerLetter"/>
      <w:start w:val="7"/>
    </w:lvl>
  </w:abstractNum>
  <w:abstractNum w:abstractNumId="41">
    <w:nsid w:val="4AD084E9"/>
    <w:multiLevelType w:val="hybridMultilevel"/>
    <w:lvl w:ilvl="0">
      <w:lvlJc w:val="left"/>
      <w:lvlText w:val="%1."/>
      <w:numFmt w:val="decimal"/>
      <w:start w:val="8"/>
    </w:lvl>
    <w:lvl w:ilvl="1">
      <w:lvlJc w:val="left"/>
      <w:lvlText w:val="(%2)"/>
      <w:numFmt w:val="lowerLetter"/>
      <w:start w:val="1"/>
    </w:lvl>
  </w:abstractNum>
  <w:abstractNum w:abstractNumId="42">
    <w:nsid w:val="1F48EAA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3">
    <w:nsid w:val="1381823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4">
    <w:nsid w:val="5DB70AE5"/>
    <w:multiLevelType w:val="hybridMultilevel"/>
    <w:lvl w:ilvl="0">
      <w:lvlJc w:val="left"/>
      <w:lvlText w:val="%1"/>
      <w:numFmt w:val="lowerRoman"/>
      <w:start w:val="1"/>
    </w:lvl>
    <w:lvl w:ilvl="1">
      <w:lvlJc w:val="left"/>
      <w:lvlText w:val="(%2)"/>
      <w:numFmt w:val="lowerRoman"/>
      <w:start w:val="3"/>
    </w:lvl>
  </w:abstractNum>
  <w:abstractNum w:abstractNumId="45">
    <w:nsid w:val="100F8FCA"/>
    <w:multiLevelType w:val="hybridMultilevel"/>
    <w:lvl w:ilvl="0">
      <w:lvlJc w:val="left"/>
      <w:lvlText w:val="(%1)"/>
      <w:numFmt w:val="lowerRoman"/>
      <w:start w:val="3"/>
    </w:lvl>
    <w:lvl w:ilvl="1">
      <w:lvlJc w:val="left"/>
      <w:lvlText w:val="%2"/>
      <w:numFmt w:val="lowerRoman"/>
      <w:start w:val="1"/>
    </w:lvl>
  </w:abstractNum>
  <w:abstractNum w:abstractNumId="46">
    <w:nsid w:val="6590700B"/>
    <w:multiLevelType w:val="hybridMultilevel"/>
    <w:lvl w:ilvl="0">
      <w:lvlJc w:val="left"/>
      <w:lvlText w:val="(%1)"/>
      <w:numFmt w:val="lowerLetter"/>
      <w:start w:val="2"/>
    </w:lvl>
  </w:abstractNum>
  <w:abstractNum w:abstractNumId="47">
    <w:nsid w:val="15014ACB"/>
    <w:multiLevelType w:val="hybridMultilevel"/>
    <w:lvl w:ilvl="0">
      <w:lvlJc w:val="left"/>
      <w:lvlText w:val="%1."/>
      <w:numFmt w:val="decimal"/>
      <w:start w:val="10"/>
    </w:lvl>
    <w:lvl w:ilvl="1">
      <w:lvlJc w:val="left"/>
      <w:lvlText w:val="(%2)"/>
      <w:numFmt w:val="lowerLetter"/>
      <w:start w:val="1"/>
    </w:lvl>
  </w:abstractNum>
  <w:abstractNum w:abstractNumId="48">
    <w:nsid w:val="5F5E7FD0"/>
    <w:multiLevelType w:val="hybridMultilevel"/>
    <w:lvl w:ilvl="0">
      <w:lvlJc w:val="left"/>
      <w:lvlText w:val="%1"/>
      <w:numFmt w:val="decimal"/>
      <w:start w:val="1"/>
    </w:lvl>
    <w:lvl w:ilvl="1">
      <w:lvlJc w:val="left"/>
      <w:lvlText w:val="(%2)"/>
      <w:numFmt w:val="lowerLetter"/>
      <w:start w:val="4"/>
    </w:lvl>
  </w:abstractNum>
  <w:abstractNum w:abstractNumId="49">
    <w:nsid w:val="98A3148"/>
    <w:multiLevelType w:val="hybridMultilevel"/>
    <w:lvl w:ilvl="0">
      <w:lvlJc w:val="left"/>
      <w:lvlText w:val="%1."/>
      <w:numFmt w:val="decimal"/>
      <w:start w:val="11"/>
    </w:lvl>
    <w:lvl w:ilvl="1">
      <w:lvlJc w:val="left"/>
      <w:lvlText w:val="%2"/>
      <w:numFmt w:val="lowerLetter"/>
      <w:start w:val="1"/>
    </w:lvl>
  </w:abstractNum>
  <w:abstractNum w:abstractNumId="50">
    <w:nsid w:val="799D0247"/>
    <w:multiLevelType w:val="hybridMultilevel"/>
    <w:lvl w:ilvl="0">
      <w:lvlJc w:val="left"/>
      <w:lvlText w:val="%1."/>
      <w:numFmt w:val="decimal"/>
      <w:start w:val="15"/>
    </w:lvl>
  </w:abstractNum>
  <w:abstractNum w:abstractNumId="51">
    <w:nsid w:val="6B94764"/>
    <w:multiLevelType w:val="hybridMultilevel"/>
    <w:lvl w:ilvl="0">
      <w:lvlJc w:val="left"/>
      <w:lvlText w:val="%1."/>
      <w:numFmt w:val="decimal"/>
      <w:start w:val="18"/>
    </w:lvl>
  </w:abstractNum>
  <w:abstractNum w:abstractNumId="52">
    <w:nsid w:val="42C296BD"/>
    <w:multiLevelType w:val="hybridMultilevel"/>
    <w:lvl w:ilvl="0">
      <w:lvlJc w:val="left"/>
      <w:lvlText w:val="%1."/>
      <w:numFmt w:val="decimal"/>
      <w:start w:val="21"/>
    </w:lvl>
    <w:lvl w:ilvl="1">
      <w:lvlJc w:val="left"/>
      <w:lvlText w:val="(%2)"/>
      <w:numFmt w:val="lowerLetter"/>
      <w:start w:val="1"/>
    </w:lvl>
  </w:abstractNum>
  <w:abstractNum w:abstractNumId="53">
    <w:nsid w:val="168E121F"/>
    <w:multiLevelType w:val="hybridMultilevel"/>
    <w:lvl w:ilvl="0">
      <w:lvlJc w:val="left"/>
      <w:lvlText w:val="(%1)"/>
      <w:numFmt w:val="lowerLetter"/>
      <w:start w:val="2"/>
    </w:lvl>
  </w:abstractNum>
  <w:abstractNum w:abstractNumId="54">
    <w:nsid w:val="1EBA5D23"/>
    <w:multiLevelType w:val="hybridMultilevel"/>
    <w:lvl w:ilvl="0">
      <w:lvlJc w:val="left"/>
      <w:lvlText w:val="%1"/>
      <w:numFmt w:val="upperLetter"/>
      <w:start w:val="1"/>
    </w:lvl>
    <w:lvl w:ilvl="1">
      <w:lvlJc w:val="left"/>
      <w:lvlText w:val="(%2)"/>
      <w:numFmt w:val="lowerLetter"/>
      <w:start w:val="3"/>
    </w:lvl>
  </w:abstractNum>
  <w:abstractNum w:abstractNumId="55">
    <w:nsid w:val="661E3F1E"/>
    <w:multiLevelType w:val="hybridMultilevel"/>
    <w:lvl w:ilvl="0">
      <w:lvlJc w:val="left"/>
      <w:lvlText w:val="(%1)"/>
      <w:numFmt w:val="lowerLetter"/>
      <w:start w:val="6"/>
    </w:lvl>
  </w:abstractNum>
  <w:abstractNum w:abstractNumId="56">
    <w:nsid w:val="5DC79EA8"/>
    <w:multiLevelType w:val="hybridMultilevel"/>
    <w:lvl w:ilvl="0">
      <w:lvlJc w:val="left"/>
      <w:lvlText w:val="(%1)"/>
      <w:numFmt w:val="lowerRoman"/>
      <w:start w:val="1"/>
    </w:lvl>
  </w:abstractNum>
  <w:abstractNum w:abstractNumId="57">
    <w:nsid w:val="540A471C"/>
    <w:multiLevelType w:val="hybridMultilevel"/>
    <w:lvl w:ilvl="0">
      <w:lvlJc w:val="left"/>
      <w:lvlText w:val="%1."/>
      <w:numFmt w:val="decimal"/>
      <w:start w:val="22"/>
    </w:lvl>
  </w:abstractNum>
  <w:abstractNum w:abstractNumId="58">
    <w:nsid w:val="7BD3EE7B"/>
    <w:multiLevelType w:val="hybridMultilevel"/>
    <w:lvl w:ilvl="0">
      <w:lvlJc w:val="left"/>
      <w:lvlText w:val="%1."/>
      <w:numFmt w:val="decimal"/>
      <w:start w:val="24"/>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Letter"/>
      <w:start w:val="4"/>
    </w:lvl>
    <w:lvl w:ilvl="1">
      <w:lvlJc w:val="left"/>
      <w:lvlText w:val="(%2)"/>
      <w:numFmt w:val="lowerRoman"/>
      <w:start w:val="1"/>
    </w:lvl>
  </w:abstractNum>
  <w:abstractNum w:abstractNumId="62">
    <w:nsid w:val="11447B73"/>
    <w:multiLevelType w:val="hybridMultilevel"/>
    <w:lvl w:ilvl="0">
      <w:lvlJc w:val="left"/>
      <w:lvlText w:val="%1"/>
      <w:numFmt w:val="lowerLetter"/>
      <w:start w:val="1"/>
    </w:lvl>
    <w:lvl w:ilvl="1">
      <w:lvlJc w:val="left"/>
      <w:lvlText w:val="(%2)"/>
      <w:numFmt w:val="lowerRoman"/>
      <w:start w:val="3"/>
    </w:lvl>
  </w:abstractNum>
  <w:abstractNum w:abstractNumId="63">
    <w:nsid w:val="42963E5A"/>
    <w:multiLevelType w:val="hybridMultilevel"/>
    <w:lvl w:ilvl="0">
      <w:lvlJc w:val="left"/>
      <w:lvlText w:val="%1."/>
      <w:numFmt w:val="lowerLetter"/>
      <w:start w:val="2"/>
    </w:lvl>
    <w:lvl w:ilvl="1">
      <w:lvlJc w:val="left"/>
      <w:lvlText w:val="%2"/>
      <w:numFmt w:val="lowerRoman"/>
      <w:start w:val="1"/>
    </w:lvl>
  </w:abstractNum>
  <w:abstractNum w:abstractNumId="64">
    <w:nsid w:val="A0382C5"/>
    <w:multiLevelType w:val="hybridMultilevel"/>
    <w:lvl w:ilvl="0">
      <w:lvlJc w:val="left"/>
      <w:lvlText w:val="(%1)"/>
      <w:numFmt w:val="lowerLetter"/>
      <w:start w:val="11"/>
    </w:lvl>
  </w:abstractNum>
  <w:abstractNum w:abstractNumId="65">
    <w:nsid w:val="8F2B15E"/>
    <w:multiLevelType w:val="hybridMultilevel"/>
    <w:lvl w:ilvl="0">
      <w:lvlJc w:val="left"/>
      <w:lvlText w:val="%1."/>
      <w:numFmt w:val="lowerLetter"/>
      <w:start w:val="3"/>
    </w:lvl>
  </w:abstractNum>
  <w:abstractNum w:abstractNumId="66">
    <w:nsid w:val="1A32234B"/>
    <w:multiLevelType w:val="hybridMultilevel"/>
    <w:lvl w:ilvl="0">
      <w:lvlJc w:val="left"/>
      <w:lvlText w:val="(%1)"/>
      <w:numFmt w:val="lowerRoman"/>
      <w:start w:val="2"/>
    </w:lvl>
  </w:abstractNum>
  <w:abstractNum w:abstractNumId="67">
    <w:nsid w:val="3B0FD379"/>
    <w:multiLevelType w:val="hybridMultilevel"/>
    <w:lvl w:ilvl="0">
      <w:lvlJc w:val="left"/>
      <w:lvlText w:val="%1."/>
      <w:numFmt w:val="lowerLetter"/>
      <w:start w:val="4"/>
    </w:lvl>
  </w:abstractNum>
  <w:abstractNum w:abstractNumId="68">
    <w:nsid w:val="68EB2F63"/>
    <w:multiLevelType w:val="hybridMultilevel"/>
    <w:lvl w:ilvl="0">
      <w:lvlJc w:val="left"/>
      <w:lvlText w:val="(%1)"/>
      <w:numFmt w:val="lowerRoman"/>
      <w:start w:val="3"/>
    </w:lvl>
  </w:abstractNum>
  <w:abstractNum w:abstractNumId="69">
    <w:nsid w:val="4962813B"/>
    <w:multiLevelType w:val="hybridMultilevel"/>
    <w:lvl w:ilvl="0">
      <w:lvlJc w:val="left"/>
      <w:lvlText w:val="%1."/>
      <w:numFmt w:val="lowerLetter"/>
      <w:start w:val="5"/>
    </w:lvl>
  </w:abstractNum>
  <w:abstractNum w:abstractNumId="70">
    <w:nsid w:val="60B6DF70"/>
    <w:multiLevelType w:val="hybridMultilevel"/>
    <w:lvl w:ilvl="0">
      <w:lvlJc w:val="left"/>
      <w:lvlText w:val="(%1)"/>
      <w:numFmt w:val="lowerLetter"/>
      <w:start w:val="4"/>
    </w:lvl>
  </w:abstractNum>
  <w:abstractNum w:abstractNumId="71">
    <w:nsid w:val="6A5EE64"/>
    <w:multiLevelType w:val="hybridMultilevel"/>
    <w:lvl w:ilvl="0">
      <w:lvlJc w:val="left"/>
      <w:lvlText w:val="%1"/>
      <w:numFmt w:val="decimal"/>
      <w:start w:val="1"/>
    </w:lvl>
    <w:lvl w:ilvl="1">
      <w:lvlJc w:val="left"/>
      <w:lvlText w:val="%2."/>
      <w:numFmt w:val="lowerLetter"/>
      <w:start w:val="6"/>
    </w:lvl>
  </w:abstractNum>
  <w:abstractNum w:abstractNumId="72">
    <w:nsid w:val="14330624"/>
    <w:multiLevelType w:val="hybridMultilevel"/>
    <w:lvl w:ilvl="0">
      <w:lvlJc w:val="left"/>
      <w:lvlText w:val="%1."/>
      <w:numFmt w:val="decimal"/>
      <w:start w:val="2"/>
    </w:lvl>
    <w:lvl w:ilvl="1">
      <w:lvlJc w:val="left"/>
      <w:lvlText w:val="%2"/>
      <w:numFmt w:val="lowerLetter"/>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4"/>
    </w:lvl>
    <w:lvl w:ilvl="1">
      <w:lvlJc w:val="left"/>
      <w:lvlText w:val="(%2)"/>
      <w:numFmt w:val="lowerRoman"/>
      <w:start w:val="1"/>
    </w:lvl>
  </w:abstractNum>
  <w:abstractNum w:abstractNumId="76">
    <w:nsid w:val="100F59DC"/>
    <w:multiLevelType w:val="hybridMultilevel"/>
    <w:lvl w:ilvl="0">
      <w:lvlJc w:val="left"/>
      <w:lvlText w:val="%1"/>
      <w:numFmt w:val="lowerLetter"/>
      <w:start w:val="1"/>
    </w:lvl>
    <w:lvl w:ilvl="1">
      <w:lvlJc w:val="left"/>
      <w:lvlText w:val="(%2)"/>
      <w:numFmt w:val="lowerRoman"/>
      <w:start w:val="3"/>
    </w:lvl>
  </w:abstractNum>
  <w:abstractNum w:abstractNumId="77">
    <w:nsid w:val="7FB7E0AA"/>
    <w:multiLevelType w:val="hybridMultilevel"/>
    <w:lvl w:ilvl="0">
      <w:lvlJc w:val="left"/>
      <w:lvlText w:val="%1."/>
      <w:numFmt w:val="lowerLetter"/>
      <w:start w:val="2"/>
    </w:lvl>
    <w:lvl w:ilvl="1">
      <w:lvlJc w:val="left"/>
      <w:lvlText w:val="%2"/>
      <w:numFmt w:val="lowerRoman"/>
      <w:start w:val="1"/>
    </w:lvl>
  </w:abstractNum>
  <w:abstractNum w:abstractNumId="78">
    <w:nsid w:val="6EB5BD4"/>
    <w:multiLevelType w:val="hybridMultilevel"/>
    <w:lvl w:ilvl="0">
      <w:lvlJc w:val="left"/>
      <w:lvlText w:val="%1."/>
      <w:numFmt w:val="decimal"/>
      <w:start w:val="5"/>
    </w:lvl>
    <w:lvl w:ilvl="1">
      <w:lvlJc w:val="left"/>
      <w:lvlText w:val="-"/>
      <w:numFmt w:val="bullet"/>
      <w:start w:val="1"/>
    </w:lvl>
  </w:abstractNum>
  <w:abstractNum w:abstractNumId="79">
    <w:nsid w:val="6F6DD9AC"/>
    <w:multiLevelType w:val="hybridMultilevel"/>
    <w:lvl w:ilvl="0">
      <w:lvlJc w:val="left"/>
      <w:lvlText w:val="%1."/>
      <w:numFmt w:val="lowerLetter"/>
      <w:start w:val="3"/>
    </w:lvl>
  </w:abstractNum>
  <w:abstractNum w:abstractNumId="80">
    <w:nsid w:val="94211F2"/>
    <w:multiLevelType w:val="hybridMultilevel"/>
    <w:lvl w:ilvl="0">
      <w:lvlJc w:val="left"/>
      <w:lvlText w:val="(%1)"/>
      <w:numFmt w:val="lowerRoman"/>
      <w:start w:val="2"/>
    </w:lvl>
  </w:abstractNum>
  <w:abstractNum w:abstractNumId="81">
    <w:nsid w:val="885E1B"/>
    <w:multiLevelType w:val="hybridMultilevel"/>
    <w:lvl w:ilvl="0">
      <w:lvlJc w:val="left"/>
      <w:lvlText w:val="%1."/>
      <w:numFmt w:val="lowerLetter"/>
      <w:start w:val="4"/>
    </w:lvl>
  </w:abstractNum>
  <w:abstractNum w:abstractNumId="82">
    <w:nsid w:val="76272110"/>
    <w:multiLevelType w:val="hybridMultilevel"/>
    <w:lvl w:ilvl="0">
      <w:lvlJc w:val="left"/>
      <w:lvlText w:val="(%1)"/>
      <w:numFmt w:val="lowerRoman"/>
      <w:start w:val="3"/>
    </w:lvl>
  </w:abstractNum>
  <w:abstractNum w:abstractNumId="83">
    <w:nsid w:val="4C04A8AF"/>
    <w:multiLevelType w:val="hybridMultilevel"/>
    <w:lvl w:ilvl="0">
      <w:lvlJc w:val="left"/>
      <w:lvlText w:val="%1."/>
      <w:numFmt w:val="lowerLetter"/>
      <w:start w:val="5"/>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lowerLetter"/>
      <w:start w:val="6"/>
    </w:lvl>
  </w:abstractNum>
  <w:abstractNum w:abstractNumId="86">
    <w:nsid w:val="3222E7CD"/>
    <w:multiLevelType w:val="hybridMultilevel"/>
    <w:lvl w:ilvl="0">
      <w:lvlJc w:val="left"/>
      <w:lvlText w:val="(%1)"/>
      <w:numFmt w:val="lowerLetter"/>
      <w:start w:val="4"/>
    </w:lvl>
    <w:lvl w:ilvl="1">
      <w:lvlJc w:val="left"/>
      <w:lvlText w:val="-"/>
      <w:numFmt w:val="bullet"/>
      <w:start w:val="1"/>
    </w:lvl>
  </w:abstractNum>
  <w:abstractNum w:abstractNumId="87">
    <w:nsid w:val="74DE0EE3"/>
    <w:multiLevelType w:val="hybridMultilevel"/>
    <w:lvl w:ilvl="0">
      <w:lvlJc w:val="left"/>
      <w:lvlText w:val="%1."/>
      <w:numFmt w:val="decimal"/>
      <w:start w:val="2"/>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31" Type="http://schemas.openxmlformats.org/officeDocument/2006/relationships/hyperlink" Target="http://www.sec.gov/Archives/edgar/data/1174922/000117492215000044/ex-31.htm" TargetMode="External"/><Relationship Id="rId32" Type="http://schemas.openxmlformats.org/officeDocument/2006/relationships/hyperlink" Target="http://www.sec.gov/Archives/edgar/data/1174922/000117492215000106/ex-32.htm" TargetMode="External"/><Relationship Id="rId33" Type="http://schemas.openxmlformats.org/officeDocument/2006/relationships/hyperlink" Target="http://www.sec.gov/Archives/edgar/data/1174922/000117492218000042/ex41x032118x8k.htm" TargetMode="External"/><Relationship Id="rId34" Type="http://schemas.openxmlformats.org/officeDocument/2006/relationships/hyperlink" Target="http://www.sec.gov/Archives/edgar/data/1174922/000119312518093075/d558668dex41.htm" TargetMode="External"/><Relationship Id="rId35" Type="http://schemas.openxmlformats.org/officeDocument/2006/relationships/hyperlink" Target="http://www.sec.gov/Archives/edgar/data/1174922/000119312518093075/d558668dex42.htm" TargetMode="External"/><Relationship Id="rId36" Type="http://schemas.openxmlformats.org/officeDocument/2006/relationships/hyperlink" Target="http://www.sec.gov/Archives/edgar/data/1174922/000119312518047764/d535665dex101.htm" TargetMode="External"/><Relationship Id="rId37" Type="http://schemas.openxmlformats.org/officeDocument/2006/relationships/hyperlink" Target="http://www.sec.gov/Archives/edgar/data/1174922/000117492218000029/ex101x030818x8k.htm" TargetMode="External"/><Relationship Id="rId38" Type="http://schemas.openxmlformats.org/officeDocument/2006/relationships/hyperlink" Target="http://www.sec.gov/Archives/edgar/data/1174922/000117492218000048/ex101x040318x8k.htm" TargetMode="External"/><Relationship Id="rId39" Type="http://schemas.openxmlformats.org/officeDocument/2006/relationships/hyperlink" Target="http://www.sec.gov/Archives/edgar/data/1174922/000117492218000050/ex101x041618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2019-12-28T22:13:32Z</dcterms:created>
  <dcterms:modified xsi:type="dcterms:W3CDTF">2019-12-28T22:13:32Z</dcterms:modified>
</cp:coreProperties>
</file>