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r>
      <w:tr>
        <w:trPr>
          <w:trHeight w:val="408"/>
        </w:trPr>
        <w:tc>
          <w:tcPr>
            <w:tcW w:w="2820" w:type="dxa"/>
            <w:vAlign w:val="bottom"/>
          </w:tcPr>
          <w:p>
            <w:pPr>
              <w:spacing w:after="0"/>
              <w:rPr>
                <w:sz w:val="24"/>
                <w:szCs w:val="24"/>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14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22, 2018, Wynn Resorts, Limited issued a press release announcing its results of operations for the fourth quarter and year ended December 31, 2017.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30"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6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On January 22, 2018, the Company announced a cash dividend of $0.50 per share, payable on February 27, 2018 to stockholders of record as of February 15, 2018.</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6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Press release, dated January 22, 2018, of Wynn Resorts, Limited.</w:t>
              </w:r>
            </w:hyperlink>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January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2017 Results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LAS VEGAS, January 22, 2018 — Wynn Resorts, Limited (NASDAQ: WYNN) today reported financial results for the fourth quarter and year ended December 31, 2017.</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revenues were $1.69 billion for the fourth quarter of 2017, an increase of 29.9%, or $388.7 million, from $1.30 billion for the same period of 2016. The increase in net revenues was the result of increases of $274.7 million from Wynn Palace and $120.2 million from Wynn Macau, partially offset by a decrease of $6.2 million from our Las Vegas Operations.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a U.S. generally accepted accounting principles ("GAAP") basis, net income attributable to Wynn Resorts, Limited was $491.7 million, or $4.77 per diluted share, for the fourth quarter of 2017, compared to $113.8 million, or $1.12 per diluted share, for the same period of 2016. The increase in net income attributable to Wynn Resorts, Limited was primarily the result of the income tax benefit from U.S. tax reform and increases in operating income from Wynn Palace and Wynn Macau, partially offset by a smaller decrease in the Redemption Note fair value. Adjusted net income attributable to Wynn Resorts, Limited</w:t>
      </w:r>
    </w:p>
    <w:p>
      <w:pPr>
        <w:spacing w:after="0" w:line="2" w:lineRule="exact"/>
        <w:rPr>
          <w:sz w:val="20"/>
          <w:szCs w:val="20"/>
          <w:color w:val="auto"/>
        </w:rPr>
      </w:pPr>
    </w:p>
    <w:p>
      <w:pPr>
        <w:ind w:right="20" w:firstLine="8"/>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was $144.3 million, or $1.40 per diluted share, for the fourth quarter of 2017, compared to $50.8 million, or $0.50 per diluted share, for the same period of 2016.</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2017, legislation commonly known as the U.S. Tax Cuts and Jobs Act ("U.S. tax reform") was enacted. As a result, fourth quarter 2017 results reflect an estimated net tax benefit of $339.9 million in accordance with GAAP as a result of revaluing the Company's U.S. deferred tax assets and liabilities. This estimated net benefit is based on the Company's initial analysis of the U.S. tax reform and may be adjusted in future periods as the Company collects additional information and evaluates any regulatory guidance.</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Adjusted Property EBITDA (2) was $480.2 million for the fourth quarter of 2017, an increase of 40.9%, or $139.3 million, from $340.9 million for the same period of 2016, primarily the result of increases of $112.6 million from Wynn Palace and $37.2 million from Wynn Macau, partially offset by a decrease of $10.5 million from our Las Vegas Operations.</w:t>
      </w:r>
    </w:p>
    <w:p>
      <w:pPr>
        <w:spacing w:after="0" w:line="17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full year, net revenues were $6.31 billion in 2017, an increase of 41.2%, or $1.84 billion, from $4.47 billion for the same period of 2016. The increase in net revenues was the result of increases of $1.56 billion, $221.7 million and $62.5 million from Wynn Palace, which opened in August 2016, Wynn Macau and our Las Vegas Operations, respectively.</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 GAAP basis, net income attributable to Wynn Resorts, Limited was $747.2 million, or $7.28 per diluted share, in 2017, compared to $242.0 million, or $2.38 per diluted share, for the same period of 2016. The increase in net income attributable to Wynn Resorts, Limited was primarily the result of the income tax benefit from U.S. tax reform and increases in operating income from Wynn Palace, Wynn Macau and our Las Vegas Operations, partially offset by increases in the Redemption Note fair value and interest expense as the Company is no longer capitalizing interest on Wynn Palace. Adjusted net income attributable to Wynn Resorts, Limited (1) was $560.5 million, or $5.46 per diluted share, in 2017, compared to $345.9 million, or $3.40 per diluted share, for the same period of 2016.</w:t>
      </w:r>
    </w:p>
    <w:p>
      <w:pPr>
        <w:spacing w:after="0" w:line="1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Adjusted Property EBITDA (2) was $1.81 billion in 2017, an increase of 43.8%, or $551.4 million, from $1.26 billion for the same period of 2016. The increase in Adjusted Property EBITDA was the result of increases of $424.5 million, $79.2 million, $47.7 million from Wynn Palace, Wynn Macau and our Las Vegas Operations, respectively.</w:t>
      </w:r>
    </w:p>
    <w:p>
      <w:pPr>
        <w:spacing w:after="0" w:line="17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February 27, 2018 to stockholders of record as of February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revenues from Wynn Macau were $618.6 million for the fourth quarter of 2017, a 24.1% increase from $498.4 million for the same period of 2016. Adjusted Property EBITDA from Wynn Macau was $186.0 million for the fourth quarter of 2017, a 25.0% increase from $148.9 million for the same period of 2016.</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Casino revenues from Wynn Macau were $582.9 million for the fourth quarter of 2017, a 25.3% increase from $465.3 million for the same period of 2016. Table games turnover in VIP operations was $15.62 billion, a 44.7% increase from $10.80 billion for the fourth quarter of 2016. VIP table games win as a percentage of turnover (calculated before commissions) was 2.89%,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t>within the expected range of 2.7% to 3.0% and below the 3.08% we experienced in the fourth quarter of 2016. Table drop in mass market operations was $1.25 billion, a 14.1% increase from $1.10 billion for the fourth quarter of 2016. Table games win in mass market operations was $230.1 million, an 18.6% increase from $193.9 million for the fourth quarter of 2016. Table games win percentage in mass market operations was 18.4%, above the 17.7% experienced for the fourth quarter of 2016. Slot machine handle was $937.6 million, a 16.8% increase from $802.6 million for the fourth quarter of 2016, while slot machine win increased 25.3% to $40.8 million.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Non-casino revenues before promotional allowances from Wynn Macau were $73.9 million for the fourth quarter of 2017, a 14.5% increase from the $64.6 million for the same period of 2016. Room revenues were flat at $25.9 million for the fourth quarter of 2017, compared to the same period of 2016. Our average daily rate ("ADR") was $258, a 1.5% decrease from $262 for the fourth quarter of 2016. Occupancy increased to 99.4% for the fourth quarter of 2017, from 96.3% for the same period of 2016. Revenue per available room ("REVPAR") was $257, a 2.0% increase from $252 for the fourth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revenues from Wynn Palace were $693.4 million for the fourth quarter of 2017, a 65.6% increase from $418.7 million for the same period of 2016. Adjusted Property EBITDA from Wynn Palace was $190.1 million for the fourth quarter of 2017, a 145.3% increase from $77.5 million for the same period of 2016.</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Casino revenues from Wynn Palace were $648.6 million for the fourth quarter of 2017, a 73.8% increase from $373.2 million for the same period of 2016. Table games turnover in VIP operations was $16.23 billion, a 57.1% increase from $10.33 billion for the fourth quarter of 2016. VIP table games win as a percentage of turnover (calculated before commissions) was 3.02%, above the expected range of 2.7% to 3.0% and the 2.68% we experienced in the fourth quarter of 2016. Table drop in mass market operations was $1.12 billion, a 55.1% increase from $725.0 million for the fourth quarter of 2016. Table games win in mass market operations was $264.5 million, a 65.7% increase from $159.6 million for the fourth quarter of 2016. Table games win percentage in mass market operations was 23.5%, above the 22.0% experienced for the fourth quarter of 2016. Slot machine handle was $920.6 million, a 72.3% increase from $534.4 million for the fourth quarter of 2016, while slot machine win increased 96.2% to $55.0 million.</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Non-casino revenues before promotional allowances from Wynn Palace were $90.8 million for the fourth quarter of 2017, a 5.5% increase from $86.1 million for the same period of 2016. Room revenues were $38.9 million for the fourth quarter of 2017, a 4.1% decrease from $40.6 million for the same period of 2016. ADR was $236, a 13.2% decrease from $272 for the fourth quarter of 2016. Occupancy increased to 96.8% for the fourth quarter of 2017, from 88.4% for the same period of 2016. REVPAR was $228, a 5.4% decrease from $241 for the fourth quarter of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revenues from our Las Vegas Operations were $377.0 million for the fourth quarter of 2017, a 1.6% decrease from $383.3 million for the same period of 2016. Adjusted Property EBITDA from our Las Vegas Operations was $104.1 million for the fourth quarter of 2017, a 9.2% decrease from $114.6 million for the same period of 2016.</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Casino revenues from our Las Vegas Operations were $142.7 million for the fourth quarter of 2017, a 14.1% decrease from $166.0 million for the same period of 2016. Table games drop was $430.8 million, a 4.8% decrease from $452.5 million for the fourth quarter of 2016. Table games win was $101.3 million, an 18.6% decrease from $124.5 million for the fourth quarter of 2016. Table games win percentage was 23.5%, within the expected range of 21% to 25% and below the 27.5% experienced for the fourth quarter of 2016. Slot machine handle was $833.2 million, a 3.3% decrease from $862.1 million for the fourth quarter of 2016, while slot win decreased 1.2% to $56.6 million.</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$275.2 million for the fourth quarter of 2017, a 5.8% increase from $260.2 million for the same period of 2016. Room revenues were $107.8 million for the fourth quarter of 2017, a 1.9% increase from $105.7 million for the same period of 2016. ADR was $305, a 4.8% increase from $291 for the fourth quarter of 2016. Occupancy decreased to 82.1% for the fourth quarter of 2017, from 84.1% for the same period of 2016. REVPAR was $250, a 2.0% increase from $245 for the fourth quarter of 2016. Food and beverage revenues increased 9.9%, to $108.0 million for the fourth quarter of 2017, compared to the same period of 2016. Entertainment, retail and other revenues increased 5.8%, to $59.5 million for the fourth quarter of 2017, compared to the same period of 2016.</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Retail Joint Venture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2016, the Company entered into a joint venture arrangement (the “Retail Joint Venture”), of which the Company owns 50.1%, with Crown Acquisitions Inc. ("Crown") to own and operate approximately 88,000 square feet of existing retail space at Wynn Las Vegas. In November 2017, the Company contributed approximately 74,000 square feet of additional retail space to the Retail Joint Venture, the majority of which is currently under construction at Wynn Las Vegas, and received cash of $180.0 million from Crown. The Company expects to open the additional retail space in the third quarter of 2018. Based on the applicable accounting guidance, the Company will continue to consolidate the Retail Joint Venture in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December 31, 2017, we have incurred $1.13 billion in total project costs. We expect to open Wynn Boston Harbor in mid-2019.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as of December 31, 2017 totaled $3.13 billion.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debt outstanding at the end of the quarter was $9.63 billion, including $3.60 billion of Macau related debt, $3.16 billion of Wynn Las Vegas debt and $2.87 billion at the parent company and other.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2017, Wynn Macau, Limited redeemed the remaining $403.6 million of untendered 5 1/4 % Senior Notes, due 2021 and recorded a $12.3 million loss on extinguishment of debt.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December 2017, we reached agreements to acquire approximately 38 acres of land on the Las Vegas Strip directly across from Wynn Las Vegas for $336.2 million, approximately 16 acres of which are subject to a ground lease that expires in 2097. We currently expect to complete these transactions in the first quarter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hold a conference call to discuss its results on January 22, 2018 at 9:00 a.m. PT (12:00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Stephen A. Wynn, general global political and economic conditions, adverse tourism trends, dependence on a limited number of resorts, competition in the casino/hotel and resort industries, uncertainties over the development and success of new gaming and resort properties, construction risks, extensive regulation of our business, pending or future legal proceedings, cybersecurity risk, the impact of the U.S. tax reform, and our leverage and debt service. Additional information concerning potential factors that could affect the Company’s financial results is included in the Company’s Annual Report on Form 10-K for the year ended December 31, 2017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20" w:firstLine="8"/>
        <w:spacing w:after="0" w:line="30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attributable to Wynn Resorts, Limited before pre-opening expenses, property charges and other, change in interest rate swap fair value, change in Redemption Note fair value, loss on extinguishment of debt, foreign currency remeasurement gain (loss), the impact from enactment of U.S. tax reform, net of noncontrolling interests and income taxes calculated using the specific tax treatment applicable to the adjustments based on their respective jurisdictions. Adjusted net income attributable to Wynn Resorts, Limited and adjusted net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t>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39" w:lineRule="exact"/>
        <w:rPr>
          <w:sz w:val="20"/>
          <w:szCs w:val="20"/>
          <w:color w:val="auto"/>
        </w:rPr>
      </w:pPr>
    </w:p>
    <w:p>
      <w:pPr>
        <w:ind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net income attributable to Wynn Resorts, Limited to Adjusted Property EBITDA.</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1,374,260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1,004,533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4,948,319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3,268,141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603,272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153,135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690,942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601,514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114,147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1,814,186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1,415,372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6,768,246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4,836,355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(370,058)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1,689,096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1,300,433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6,306,368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4,466,297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894,294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651,208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3,197,729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2,079,740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86,985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410,825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375,234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161,144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182,848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685,485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548,141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154,717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404,730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54,822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1,387,677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1,161,539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3,944,635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301,419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1,055,565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521,662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(289,365)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65,043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(211,065)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209,939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133,549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560,269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310,597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334,025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543,964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126,566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889,254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302,469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491,682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747,181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241,975</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102,402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101,445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8" w:name="page9"/>
    <w:bookmarkEnd w:id="8"/>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6"/>
                <w:szCs w:val="16"/>
                <w:color w:val="auto"/>
              </w:rPr>
            </w:pPr>
          </w:p>
        </w:tc>
        <w:tc>
          <w:tcPr>
            <w:tcW w:w="27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241,975</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 expenses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154,717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54,822</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(65,043)</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remeasurement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Income tax impact on adjustments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of U.S. tax reform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Noncontrolling interests impact on adjustments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(37,838)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144,329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560,470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345,915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Adjusted net income attributable to Wynn Resorts, Limited per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00" w:type="dxa"/>
            <w:vAlign w:val="bottom"/>
            <w:vMerge w:val="continue"/>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103,065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101,910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101,855</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052"/>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Operating income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133,923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23,249</w:t>
            </w:r>
          </w:p>
        </w:tc>
        <w:tc>
          <w:tcPr>
            <w:tcW w:w="340" w:type="dxa"/>
            <w:vAlign w:val="bottom"/>
            <w:gridSpan w:val="5"/>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24,042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186,029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101,443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64,475</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190,096</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(2,686)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1,107</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232,680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88,831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376,125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37,338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45,318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17,352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104,101</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31,401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7,769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2,731</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(68,408)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301,419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136,880</w:t>
            </w:r>
          </w:p>
        </w:tc>
        <w:tc>
          <w:tcPr>
            <w:tcW w:w="40" w:type="dxa"/>
            <w:vAlign w:val="bottom"/>
            <w:tcBorders>
              <w:bottom w:val="single" w:sz="8" w:color="auto"/>
            </w:tcBorders>
            <w:gridSpan w:val="2"/>
          </w:tcPr>
          <w:p>
            <w:pPr>
              <w:spacing w:after="0"/>
              <w:rPr>
                <w:sz w:val="21"/>
                <w:szCs w:val="21"/>
                <w:color w:val="auto"/>
              </w:rPr>
            </w:pPr>
          </w:p>
        </w:tc>
        <w:tc>
          <w:tcPr>
            <w:tcW w:w="120" w:type="dxa"/>
            <w:vAlign w:val="bottom"/>
            <w:gridSpan w:val="2"/>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28,917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14,681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480,226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6"/>
              </w:rPr>
              <w:t>Three Months Ended December 31,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20" w:type="dxa"/>
            <w:vAlign w:val="bottom"/>
          </w:tcPr>
          <w:p>
            <w:pPr>
              <w:spacing w:after="0"/>
              <w:rPr>
                <w:sz w:val="13"/>
                <w:szCs w:val="13"/>
                <w:color w:val="auto"/>
              </w:rPr>
            </w:pPr>
          </w:p>
        </w:tc>
        <w:tc>
          <w:tcPr>
            <w:tcW w:w="11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95,622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23,997</w:t>
            </w:r>
          </w:p>
        </w:tc>
        <w:tc>
          <w:tcPr>
            <w:tcW w:w="340" w:type="dxa"/>
            <w:vAlign w:val="bottom"/>
            <w:gridSpan w:val="5"/>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148,866</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64,722</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77,489</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84,832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(1,371)</w:t>
            </w: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89,849</w:t>
            </w:r>
          </w:p>
        </w:tc>
        <w:tc>
          <w:tcPr>
            <w:tcW w:w="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10,647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226,355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40,046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47,768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7,848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114,589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2,926</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138,894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140,543</w:t>
            </w:r>
          </w:p>
        </w:tc>
        <w:tc>
          <w:tcPr>
            <w:tcW w:w="340" w:type="dxa"/>
            <w:vAlign w:val="bottom"/>
            <w:gridSpan w:val="5"/>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23,456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14,362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340,944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4"/>
              </w:rPr>
              <w:t>Twelve Months Ended December 31,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540,341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97,292</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6,688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96,769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11,085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760,752</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157,886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258,224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527,583</w:t>
            </w:r>
          </w:p>
        </w:tc>
        <w:tc>
          <w:tcPr>
            <w:tcW w:w="0" w:type="dxa"/>
            <w:vAlign w:val="bottom"/>
          </w:tcPr>
          <w:p>
            <w:pPr>
              <w:spacing w:after="0"/>
              <w:rPr>
                <w:sz w:val="1"/>
                <w:szCs w:val="1"/>
                <w:color w:val="auto"/>
              </w:rPr>
            </w:pPr>
          </w:p>
        </w:tc>
      </w:tr>
      <w:tr>
        <w:trPr>
          <w:trHeight w:val="264"/>
        </w:trPr>
        <w:tc>
          <w:tcPr>
            <w:tcW w:w="1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4,483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683,026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359,999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180,303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1,288,335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242,457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181,879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64,598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26,578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522,397</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130,082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10,490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1,055,565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26,692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552,368</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102,560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43,971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1,810,732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4"/>
              </w:rPr>
              <w:t>Twelve Months Ended December 31, 2016</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Pre-opening</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465,112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98,527</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13,839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12,534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681,509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(162,637)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105,884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103,036</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285,698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129,773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207,920</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5,928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109,064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14,805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784,545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178,379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185,117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34,837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51,035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20,075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474,782</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57,585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14,073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(160,099)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521,662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154,717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404,730</w:t>
            </w:r>
          </w:p>
        </w:tc>
        <w:tc>
          <w:tcPr>
            <w:tcW w:w="3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54,838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80,162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43,218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1,259,327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Twelve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491,682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241,975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52,282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142,073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60,494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154,717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136,880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552,368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404,730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54,822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28,917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80,162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289,365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12,299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480,226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1,810,732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1,259,327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2" w:name="page13"/>
    <w:bookmarkEnd w:id="12"/>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4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149</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15,622,932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10,796,516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58,303,836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47,048,754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451,486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332,586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1,907,625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1,547,261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48,267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43,419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54,726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28,332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216</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1,250,994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1,096,204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4,525,727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4,585,476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230,053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193,921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880,964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881,797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12,370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11,590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11,131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937,622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802,630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3,526,747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3,386,973</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145,680</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497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2"/>
        </w:trPr>
        <w:tc>
          <w:tcPr>
            <w:tcW w:w="49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43"/>
        </w:trPr>
        <w:tc>
          <w:tcPr>
            <w:tcW w:w="4940" w:type="dxa"/>
            <w:vAlign w:val="bottom"/>
          </w:tcPr>
          <w:p>
            <w:pPr>
              <w:ind w:left="120"/>
              <w:spacing w:after="0"/>
              <w:rPr>
                <w:sz w:val="20"/>
                <w:szCs w:val="20"/>
                <w:color w:val="auto"/>
              </w:rPr>
            </w:pPr>
            <w:r>
              <w:rPr>
                <w:rFonts w:ascii="Arial" w:cs="Arial" w:eastAsia="Arial" w:hAnsi="Arial"/>
                <w:sz w:val="18"/>
                <w:szCs w:val="18"/>
                <w:color w:val="auto"/>
              </w:rPr>
              <w:t>Wynn Palace (6):</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81</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16,232,654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10,329,574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52,573,258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14,480,023</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489,643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276,499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1,486,674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396,954</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47,395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35,151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39,325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37,009</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245</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1,124,702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724,982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3,490,363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1,000,881</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264,492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159,620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795,159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211,146</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14,623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7,461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10,759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6,527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962</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920,641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534,391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3,053,614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738,907</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55,042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28,054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165,754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40,664</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320</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w:t>
            </w:r>
          </w:p>
        </w:tc>
      </w:tr>
      <w:tr>
        <w:trPr>
          <w:trHeight w:val="243"/>
        </w:trPr>
        <w:tc>
          <w:tcPr>
            <w:tcW w:w="494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left="260" w:right="2840"/>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Twelve Months Ended December 31,</w:t>
            </w:r>
          </w:p>
        </w:tc>
      </w:tr>
      <w:tr>
        <w:trPr>
          <w:trHeight w:val="264"/>
        </w:trPr>
        <w:tc>
          <w:tcPr>
            <w:tcW w:w="49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235</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430,821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452,517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1,804,988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1,838,479</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101,290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124,469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465,664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465,041</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5,406</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833,207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862,052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3,183,369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3,148,610</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218,897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208,024</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300</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296</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252</w:t>
            </w:r>
          </w:p>
        </w:tc>
      </w:tr>
    </w:tbl>
    <w:p>
      <w:pPr>
        <w:spacing w:after="0" w:line="265" w:lineRule="exact"/>
        <w:rPr>
          <w:sz w:val="20"/>
          <w:szCs w:val="20"/>
          <w:color w:val="auto"/>
        </w:rPr>
      </w:pPr>
    </w:p>
    <w:p>
      <w:pPr>
        <w:ind w:left="260" w:hanging="198"/>
        <w:spacing w:after="0"/>
        <w:tabs>
          <w:tab w:leader="none" w:pos="2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1"/>
          <w:numId w:val="5"/>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5"/>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machine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1"/>
          <w:numId w:val="5"/>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1"/>
          <w:numId w:val="5"/>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2019-12-29T01:53:03Z</dcterms:created>
  <dcterms:modified xsi:type="dcterms:W3CDTF">2019-12-29T01:53:03Z</dcterms:modified>
</cp:coreProperties>
</file>