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3" w:lineRule="exact"/>
        <w:rPr>
          <w:sz w:val="24"/>
          <w:szCs w:val="24"/>
          <w:color w:val="auto"/>
        </w:rPr>
      </w:pPr>
    </w:p>
    <w:p>
      <w:pPr>
        <w:ind w:left="4820"/>
        <w:spacing w:after="0"/>
        <w:rPr>
          <w:sz w:val="20"/>
          <w:szCs w:val="20"/>
          <w:color w:val="auto"/>
        </w:rPr>
      </w:pPr>
      <w:r>
        <w:rPr>
          <w:rFonts w:ascii="Arial" w:cs="Arial" w:eastAsia="Arial" w:hAnsi="Arial"/>
          <w:sz w:val="20"/>
          <w:szCs w:val="20"/>
          <w:b w:val="1"/>
          <w:bCs w:val="1"/>
          <w:color w:val="auto"/>
        </w:rPr>
        <w:t>__________________</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6" w:lineRule="exact"/>
        <w:rPr>
          <w:sz w:val="24"/>
          <w:szCs w:val="24"/>
          <w:color w:val="auto"/>
        </w:rPr>
      </w:pPr>
    </w:p>
    <w:p>
      <w:pPr>
        <w:ind w:left="4820"/>
        <w:spacing w:after="0"/>
        <w:rPr>
          <w:sz w:val="20"/>
          <w:szCs w:val="20"/>
          <w:color w:val="auto"/>
        </w:rPr>
      </w:pPr>
      <w:r>
        <w:rPr>
          <w:rFonts w:ascii="Arial" w:cs="Arial" w:eastAsia="Arial" w:hAnsi="Arial"/>
          <w:sz w:val="20"/>
          <w:szCs w:val="20"/>
          <w:b w:val="1"/>
          <w:bCs w:val="1"/>
          <w:color w:val="auto"/>
        </w:rPr>
        <w:t>__________________</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September 11, 2006</w:t>
      </w:r>
    </w:p>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Wynn Resorts, Limited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420"/>
          </w:cols>
          <w:pgMar w:left="240" w:top="1292" w:right="239" w:bottom="1440" w:gutter="0" w:footer="0" w:header="0"/>
        </w:sectPr>
      </w:pPr>
    </w:p>
    <w:p>
      <w:pPr>
        <w:spacing w:after="0" w:line="200" w:lineRule="exact"/>
        <w:rPr>
          <w:sz w:val="24"/>
          <w:szCs w:val="24"/>
          <w:color w:val="auto"/>
        </w:rPr>
      </w:pPr>
    </w:p>
    <w:p>
      <w:pPr>
        <w:spacing w:after="0" w:line="341" w:lineRule="exact"/>
        <w:rPr>
          <w:sz w:val="24"/>
          <w:szCs w:val="24"/>
          <w:color w:val="auto"/>
        </w:rPr>
      </w:pPr>
    </w:p>
    <w:p>
      <w:pPr>
        <w:ind w:left="2580"/>
        <w:spacing w:after="0"/>
        <w:rPr>
          <w:sz w:val="20"/>
          <w:szCs w:val="20"/>
          <w:color w:val="auto"/>
        </w:rPr>
      </w:pPr>
      <w:r>
        <w:rPr>
          <w:rFonts w:ascii="Arial" w:cs="Arial" w:eastAsia="Arial" w:hAnsi="Arial"/>
          <w:sz w:val="22"/>
          <w:szCs w:val="22"/>
          <w:color w:val="auto"/>
        </w:rPr>
        <w:t>Nevada</w:t>
      </w:r>
    </w:p>
    <w:p>
      <w:pPr>
        <w:spacing w:after="0" w:line="22" w:lineRule="exact"/>
        <w:rPr>
          <w:sz w:val="24"/>
          <w:szCs w:val="24"/>
          <w:color w:val="auto"/>
        </w:rPr>
      </w:pPr>
    </w:p>
    <w:p>
      <w:pPr>
        <w:ind w:left="1660"/>
        <w:spacing w:after="0"/>
        <w:rPr>
          <w:sz w:val="20"/>
          <w:szCs w:val="20"/>
          <w:color w:val="auto"/>
        </w:rPr>
      </w:pPr>
      <w:r>
        <w:rPr>
          <w:rFonts w:ascii="Arial" w:cs="Arial" w:eastAsia="Arial" w:hAnsi="Arial"/>
          <w:sz w:val="19"/>
          <w:szCs w:val="19"/>
          <w:color w:val="auto"/>
        </w:rPr>
        <w:t>(State or other jurisdiction of</w:t>
      </w:r>
    </w:p>
    <w:p>
      <w:pPr>
        <w:spacing w:after="0" w:line="52"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000-50028</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1" w:lineRule="exact"/>
        <w:rPr>
          <w:sz w:val="24"/>
          <w:szCs w:val="24"/>
          <w:color w:val="auto"/>
        </w:rPr>
      </w:pPr>
    </w:p>
    <w:p>
      <w:pPr>
        <w:jc w:val="center"/>
        <w:ind w:right="1580"/>
        <w:spacing w:after="0"/>
        <w:rPr>
          <w:sz w:val="20"/>
          <w:szCs w:val="20"/>
          <w:color w:val="auto"/>
        </w:rPr>
      </w:pPr>
      <w:r>
        <w:rPr>
          <w:rFonts w:ascii="Arial" w:cs="Arial" w:eastAsia="Arial" w:hAnsi="Arial"/>
          <w:sz w:val="22"/>
          <w:szCs w:val="22"/>
          <w:color w:val="auto"/>
        </w:rPr>
        <w:t>46-0484987</w:t>
      </w:r>
    </w:p>
    <w:p>
      <w:pPr>
        <w:spacing w:after="0" w:line="22" w:lineRule="exact"/>
        <w:rPr>
          <w:sz w:val="24"/>
          <w:szCs w:val="24"/>
          <w:color w:val="auto"/>
        </w:rPr>
      </w:pPr>
    </w:p>
    <w:p>
      <w:pPr>
        <w:jc w:val="center"/>
        <w:ind w:right="1560"/>
        <w:spacing w:after="0"/>
        <w:rPr>
          <w:sz w:val="20"/>
          <w:szCs w:val="20"/>
          <w:color w:val="auto"/>
        </w:rPr>
      </w:pPr>
      <w:r>
        <w:rPr>
          <w:rFonts w:ascii="Arial" w:cs="Arial" w:eastAsia="Arial" w:hAnsi="Arial"/>
          <w:sz w:val="19"/>
          <w:szCs w:val="19"/>
          <w:color w:val="auto"/>
        </w:rPr>
        <w:t>(IRS Employer Identification</w:t>
      </w:r>
    </w:p>
    <w:p>
      <w:pPr>
        <w:spacing w:after="0" w:line="52" w:lineRule="exact"/>
        <w:rPr>
          <w:sz w:val="24"/>
          <w:szCs w:val="24"/>
          <w:color w:val="auto"/>
        </w:rPr>
      </w:pPr>
    </w:p>
    <w:p>
      <w:pPr>
        <w:jc w:val="center"/>
        <w:ind w:right="1560"/>
        <w:spacing w:after="0"/>
        <w:rPr>
          <w:sz w:val="20"/>
          <w:szCs w:val="20"/>
          <w:color w:val="auto"/>
        </w:rPr>
      </w:pPr>
      <w:r>
        <w:rPr>
          <w:rFonts w:ascii="Arial" w:cs="Arial" w:eastAsia="Arial" w:hAnsi="Arial"/>
          <w:sz w:val="22"/>
          <w:szCs w:val="22"/>
          <w:color w:val="auto"/>
        </w:rPr>
        <w:t>No.)</w:t>
      </w:r>
    </w:p>
    <w:p>
      <w:pPr>
        <w:spacing w:after="0" w:line="200" w:lineRule="exact"/>
        <w:rPr>
          <w:sz w:val="24"/>
          <w:szCs w:val="24"/>
          <w:color w:val="auto"/>
        </w:rPr>
      </w:pPr>
    </w:p>
    <w:p>
      <w:pPr>
        <w:sectPr>
          <w:pgSz w:w="11900" w:h="16838" w:orient="portrait"/>
          <w:cols w:equalWidth="0" w:num="3">
            <w:col w:w="4160" w:space="420"/>
            <w:col w:w="2380" w:space="360"/>
            <w:col w:w="4100"/>
          </w:cols>
          <w:pgMar w:left="240" w:top="1292" w:right="239" w:bottom="1440" w:gutter="0" w:footer="0" w:header="0"/>
          <w:type w:val="continuous"/>
        </w:sectPr>
      </w:pPr>
    </w:p>
    <w:p>
      <w:pPr>
        <w:spacing w:after="0" w:line="56" w:lineRule="exact"/>
        <w:rPr>
          <w:sz w:val="24"/>
          <w:szCs w:val="24"/>
          <w:color w:val="auto"/>
        </w:rPr>
      </w:pPr>
    </w:p>
    <w:p>
      <w:pPr>
        <w:jc w:val="center"/>
        <w:ind w:left="1360"/>
        <w:spacing w:after="0"/>
        <w:rPr>
          <w:sz w:val="20"/>
          <w:szCs w:val="20"/>
          <w:color w:val="auto"/>
        </w:rPr>
      </w:pPr>
      <w:r>
        <w:rPr>
          <w:rFonts w:ascii="Arial" w:cs="Arial" w:eastAsia="Arial" w:hAnsi="Arial"/>
          <w:sz w:val="22"/>
          <w:szCs w:val="22"/>
          <w:color w:val="auto"/>
        </w:rPr>
        <w:t>3131 Las Vegas Boulevard South</w:t>
      </w:r>
    </w:p>
    <w:p>
      <w:pPr>
        <w:spacing w:after="0" w:line="22" w:lineRule="exact"/>
        <w:rPr>
          <w:sz w:val="24"/>
          <w:szCs w:val="24"/>
          <w:color w:val="auto"/>
        </w:rPr>
      </w:pPr>
    </w:p>
    <w:p>
      <w:pPr>
        <w:jc w:val="center"/>
        <w:ind w:left="1360"/>
        <w:spacing w:after="0"/>
        <w:rPr>
          <w:sz w:val="20"/>
          <w:szCs w:val="20"/>
          <w:color w:val="auto"/>
        </w:rPr>
      </w:pPr>
      <w:r>
        <w:rPr>
          <w:rFonts w:ascii="Arial" w:cs="Arial" w:eastAsia="Arial" w:hAnsi="Arial"/>
          <w:sz w:val="22"/>
          <w:szCs w:val="22"/>
          <w:color w:val="auto"/>
        </w:rPr>
        <w:t>Las Vegas, Nevada</w:t>
      </w:r>
    </w:p>
    <w:p>
      <w:pPr>
        <w:spacing w:after="0" w:line="17" w:lineRule="exact"/>
        <w:rPr>
          <w:sz w:val="24"/>
          <w:szCs w:val="24"/>
          <w:color w:val="auto"/>
        </w:rPr>
      </w:pPr>
    </w:p>
    <w:p>
      <w:pPr>
        <w:jc w:val="center"/>
        <w:ind w:left="1360"/>
        <w:spacing w:after="0"/>
        <w:rPr>
          <w:sz w:val="20"/>
          <w:szCs w:val="20"/>
          <w:color w:val="auto"/>
        </w:rPr>
      </w:pPr>
      <w:r>
        <w:rPr>
          <w:rFonts w:ascii="Arial" w:cs="Arial" w:eastAsia="Arial" w:hAnsi="Arial"/>
          <w:sz w:val="19"/>
          <w:szCs w:val="19"/>
          <w:color w:val="auto"/>
        </w:rPr>
        <w:t>(Address of principal executive offices of</w:t>
      </w:r>
    </w:p>
    <w:p>
      <w:pPr>
        <w:spacing w:after="0" w:line="52" w:lineRule="exact"/>
        <w:rPr>
          <w:sz w:val="24"/>
          <w:szCs w:val="24"/>
          <w:color w:val="auto"/>
        </w:rPr>
      </w:pPr>
    </w:p>
    <w:p>
      <w:pPr>
        <w:jc w:val="center"/>
        <w:ind w:left="1360"/>
        <w:spacing w:after="0"/>
        <w:rPr>
          <w:sz w:val="20"/>
          <w:szCs w:val="20"/>
          <w:color w:val="auto"/>
        </w:rPr>
      </w:pPr>
      <w:r>
        <w:rPr>
          <w:rFonts w:ascii="Arial" w:cs="Arial" w:eastAsia="Arial" w:hAnsi="Arial"/>
          <w:sz w:val="22"/>
          <w:szCs w:val="22"/>
          <w:color w:val="auto"/>
        </w:rPr>
        <w:t>registrant)</w:t>
      </w:r>
    </w:p>
    <w:p>
      <w:pPr>
        <w:spacing w:after="0" w:line="20" w:lineRule="exact"/>
        <w:rPr>
          <w:sz w:val="24"/>
          <w:szCs w:val="24"/>
          <w:color w:val="auto"/>
        </w:rPr>
      </w:pPr>
      <w:r>
        <w:rPr>
          <w:sz w:val="24"/>
          <w:szCs w:val="24"/>
          <w:color w:val="auto"/>
        </w:rPr>
        <w:br w:type="column"/>
      </w:r>
    </w:p>
    <w:p>
      <w:pPr>
        <w:spacing w:after="0" w:line="306" w:lineRule="exact"/>
        <w:rPr>
          <w:sz w:val="24"/>
          <w:szCs w:val="24"/>
          <w:color w:val="auto"/>
        </w:rPr>
      </w:pPr>
    </w:p>
    <w:p>
      <w:pPr>
        <w:jc w:val="center"/>
        <w:ind w:right="3380"/>
        <w:spacing w:after="0"/>
        <w:rPr>
          <w:sz w:val="20"/>
          <w:szCs w:val="20"/>
          <w:color w:val="auto"/>
        </w:rPr>
      </w:pPr>
      <w:r>
        <w:rPr>
          <w:rFonts w:ascii="Arial" w:cs="Arial" w:eastAsia="Arial" w:hAnsi="Arial"/>
          <w:sz w:val="22"/>
          <w:szCs w:val="22"/>
          <w:color w:val="auto"/>
        </w:rPr>
        <w:t>89109</w:t>
      </w:r>
    </w:p>
    <w:p>
      <w:pPr>
        <w:spacing w:after="0" w:line="22" w:lineRule="exact"/>
        <w:rPr>
          <w:sz w:val="24"/>
          <w:szCs w:val="24"/>
          <w:color w:val="auto"/>
        </w:rPr>
      </w:pPr>
    </w:p>
    <w:p>
      <w:pPr>
        <w:jc w:val="center"/>
        <w:ind w:right="3380"/>
        <w:spacing w:after="0"/>
        <w:rPr>
          <w:sz w:val="20"/>
          <w:szCs w:val="20"/>
          <w:color w:val="auto"/>
        </w:rPr>
      </w:pPr>
      <w:r>
        <w:rPr>
          <w:rFonts w:ascii="Arial" w:cs="Arial" w:eastAsia="Arial" w:hAnsi="Arial"/>
          <w:sz w:val="19"/>
          <w:szCs w:val="19"/>
          <w:color w:val="auto"/>
        </w:rPr>
        <w:t>(Zip Code)</w:t>
      </w:r>
    </w:p>
    <w:p>
      <w:pPr>
        <w:spacing w:after="0" w:line="504" w:lineRule="exact"/>
        <w:rPr>
          <w:sz w:val="24"/>
          <w:szCs w:val="24"/>
          <w:color w:val="auto"/>
        </w:rPr>
      </w:pPr>
    </w:p>
    <w:p>
      <w:pPr>
        <w:sectPr>
          <w:pgSz w:w="11900" w:h="16838" w:orient="portrait"/>
          <w:cols w:equalWidth="0" w:num="2">
            <w:col w:w="6360" w:space="720"/>
            <w:col w:w="4340"/>
          </w:cols>
          <w:pgMar w:left="240" w:top="1292" w:right="239" w:bottom="1440" w:gutter="0" w:footer="0" w:header="0"/>
          <w:type w:val="continuous"/>
        </w:sectPr>
      </w:pPr>
    </w:p>
    <w:p>
      <w:pPr>
        <w:spacing w:after="0" w:line="5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(702) 770-7555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45"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200" w:lineRule="exact"/>
        <w:rPr>
          <w:sz w:val="24"/>
          <w:szCs w:val="24"/>
          <w:color w:val="auto"/>
        </w:rPr>
      </w:pPr>
    </w:p>
    <w:p>
      <w:pPr>
        <w:spacing w:after="0" w:line="353" w:lineRule="exact"/>
        <w:rPr>
          <w:sz w:val="24"/>
          <w:szCs w:val="24"/>
          <w:color w:val="auto"/>
        </w:rPr>
      </w:pPr>
    </w:p>
    <w:p>
      <w:pPr>
        <w:ind w:right="720" w:firstLine="585"/>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2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Soliciting material pursuant to Rule 14a-12 under the Exchange Act (17 CFR 240.14a-12)</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ind w:left="540"/>
              <w:spacing w:after="0"/>
              <w:rPr>
                <w:sz w:val="20"/>
                <w:szCs w:val="20"/>
                <w:color w:val="auto"/>
              </w:rPr>
            </w:pPr>
            <w:r>
              <w:rPr>
                <w:rFonts w:ascii="Arial" w:cs="Arial" w:eastAsia="Arial" w:hAnsi="Arial"/>
                <w:sz w:val="18"/>
                <w:szCs w:val="18"/>
                <w:color w:val="auto"/>
                <w:w w:val="94"/>
              </w:rPr>
              <w:t>□ Pre-commencement communications pursuant to Rule 14d-2(b) under the Exchange Act (17 CFR</w:t>
            </w:r>
          </w:p>
        </w:tc>
        <w:tc>
          <w:tcPr>
            <w:tcW w:w="3340" w:type="dxa"/>
            <w:vAlign w:val="bottom"/>
          </w:tcPr>
          <w:p>
            <w:pPr>
              <w:ind w:left="240"/>
              <w:spacing w:after="0"/>
              <w:rPr>
                <w:sz w:val="20"/>
                <w:szCs w:val="20"/>
                <w:color w:val="auto"/>
              </w:rPr>
            </w:pPr>
            <w:r>
              <w:rPr>
                <w:rFonts w:ascii="Arial" w:cs="Arial" w:eastAsia="Arial" w:hAnsi="Arial"/>
                <w:sz w:val="18"/>
                <w:szCs w:val="18"/>
                <w:color w:val="auto"/>
              </w:rPr>
              <w:t>240.14d-2(b))</w:t>
            </w:r>
          </w:p>
        </w:tc>
      </w:tr>
      <w:tr>
        <w:trPr>
          <w:trHeight w:val="270"/>
        </w:trPr>
        <w:tc>
          <w:tcPr>
            <w:tcW w:w="8080" w:type="dxa"/>
            <w:vAlign w:val="bottom"/>
          </w:tcPr>
          <w:p>
            <w:pPr>
              <w:ind w:left="680"/>
              <w:spacing w:after="0"/>
              <w:rPr>
                <w:sz w:val="20"/>
                <w:szCs w:val="20"/>
                <w:color w:val="auto"/>
              </w:rPr>
            </w:pPr>
            <w:r>
              <w:rPr>
                <w:rFonts w:ascii="Arial" w:cs="Arial" w:eastAsia="Arial" w:hAnsi="Arial"/>
                <w:sz w:val="18"/>
                <w:szCs w:val="18"/>
                <w:color w:val="auto"/>
                <w:w w:val="93"/>
              </w:rPr>
              <w:t>□ Pre-commencement communications pursuant to Rule 13e-4(c) under the Exchange Act (17 CFR</w:t>
            </w:r>
          </w:p>
        </w:tc>
        <w:tc>
          <w:tcPr>
            <w:tcW w:w="3340" w:type="dxa"/>
            <w:vAlign w:val="bottom"/>
          </w:tcPr>
          <w:p>
            <w:pPr>
              <w:ind w:left="340"/>
              <w:spacing w:after="0"/>
              <w:rPr>
                <w:sz w:val="20"/>
                <w:szCs w:val="20"/>
                <w:color w:val="auto"/>
              </w:rPr>
            </w:pPr>
            <w:r>
              <w:rPr>
                <w:rFonts w:ascii="Arial" w:cs="Arial" w:eastAsia="Arial" w:hAnsi="Arial"/>
                <w:sz w:val="18"/>
                <w:szCs w:val="18"/>
                <w:color w:val="auto"/>
              </w:rPr>
              <w:t>240.13e-4(c))</w:t>
            </w:r>
          </w:p>
        </w:tc>
      </w:tr>
      <w:tr>
        <w:trPr>
          <w:trHeight w:val="645"/>
        </w:trPr>
        <w:tc>
          <w:tcPr>
            <w:tcW w:w="808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9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1320" w:type="dxa"/>
            <w:vAlign w:val="bottom"/>
          </w:tcPr>
          <w:p>
            <w:pPr>
              <w:spacing w:after="0"/>
              <w:rPr>
                <w:sz w:val="20"/>
                <w:szCs w:val="20"/>
                <w:color w:val="auto"/>
              </w:rPr>
            </w:pPr>
            <w:r>
              <w:rPr>
                <w:rFonts w:ascii="Arial" w:cs="Arial" w:eastAsia="Arial" w:hAnsi="Arial"/>
                <w:sz w:val="22"/>
                <w:szCs w:val="22"/>
                <w:b w:val="1"/>
                <w:bCs w:val="1"/>
                <w:color w:val="auto"/>
              </w:rPr>
              <w:t>Item 8.01</w:t>
            </w:r>
          </w:p>
        </w:tc>
        <w:tc>
          <w:tcPr>
            <w:tcW w:w="3020" w:type="dxa"/>
            <w:vAlign w:val="bottom"/>
          </w:tcPr>
          <w:p>
            <w:pPr>
              <w:spacing w:after="0"/>
              <w:rPr>
                <w:sz w:val="20"/>
                <w:szCs w:val="20"/>
                <w:color w:val="auto"/>
              </w:rPr>
            </w:pPr>
            <w:r>
              <w:rPr>
                <w:rFonts w:ascii="Arial" w:cs="Arial" w:eastAsia="Arial" w:hAnsi="Arial"/>
                <w:sz w:val="22"/>
                <w:szCs w:val="22"/>
                <w:b w:val="1"/>
                <w:bCs w:val="1"/>
                <w:color w:val="auto"/>
              </w:rPr>
              <w:t>Other Events.</w:t>
            </w:r>
          </w:p>
        </w:tc>
        <w:tc>
          <w:tcPr>
            <w:tcW w:w="7080" w:type="dxa"/>
            <w:vAlign w:val="bottom"/>
          </w:tcPr>
          <w:p>
            <w:pPr>
              <w:spacing w:after="0"/>
              <w:rPr>
                <w:sz w:val="24"/>
                <w:szCs w:val="24"/>
                <w:color w:val="auto"/>
              </w:rPr>
            </w:pPr>
          </w:p>
        </w:tc>
      </w:tr>
      <w:tr>
        <w:trPr>
          <w:trHeight w:val="509"/>
        </w:trPr>
        <w:tc>
          <w:tcPr>
            <w:tcW w:w="13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22"/>
                <w:szCs w:val="22"/>
                <w:color w:val="auto"/>
                <w:w w:val="92"/>
              </w:rPr>
              <w:t>Wynn Resorts, Limited issued a press release on September 11, 2006 announcing the completion of the sale by</w:t>
            </w:r>
          </w:p>
        </w:tc>
      </w:tr>
      <w:tr>
        <w:trPr>
          <w:trHeight w:val="270"/>
        </w:trPr>
        <w:tc>
          <w:tcPr>
            <w:tcW w:w="1320" w:type="dxa"/>
            <w:vAlign w:val="bottom"/>
          </w:tcPr>
          <w:p>
            <w:pPr>
              <w:spacing w:after="0"/>
              <w:rPr>
                <w:sz w:val="23"/>
                <w:szCs w:val="23"/>
                <w:color w:val="auto"/>
              </w:rPr>
            </w:pPr>
          </w:p>
        </w:tc>
        <w:tc>
          <w:tcPr>
            <w:tcW w:w="10100" w:type="dxa"/>
            <w:vAlign w:val="bottom"/>
            <w:gridSpan w:val="2"/>
          </w:tcPr>
          <w:p>
            <w:pPr>
              <w:spacing w:after="0"/>
              <w:rPr>
                <w:sz w:val="20"/>
                <w:szCs w:val="20"/>
                <w:color w:val="auto"/>
              </w:rPr>
            </w:pPr>
            <w:r>
              <w:rPr>
                <w:rFonts w:ascii="Arial" w:cs="Arial" w:eastAsia="Arial" w:hAnsi="Arial"/>
                <w:sz w:val="22"/>
                <w:szCs w:val="22"/>
                <w:color w:val="auto"/>
                <w:w w:val="95"/>
              </w:rPr>
              <w:t>Wynn Resorts (Macau), S.A., a subsidiary of Wynn Resorts, Limited, of its subconcession right in the Macau</w:t>
            </w:r>
          </w:p>
        </w:tc>
      </w:tr>
      <w:tr>
        <w:trPr>
          <w:trHeight w:val="270"/>
        </w:trPr>
        <w:tc>
          <w:tcPr>
            <w:tcW w:w="1320" w:type="dxa"/>
            <w:vAlign w:val="bottom"/>
          </w:tcPr>
          <w:p>
            <w:pPr>
              <w:spacing w:after="0"/>
              <w:rPr>
                <w:sz w:val="23"/>
                <w:szCs w:val="23"/>
                <w:color w:val="auto"/>
              </w:rPr>
            </w:pPr>
          </w:p>
        </w:tc>
        <w:tc>
          <w:tcPr>
            <w:tcW w:w="10100" w:type="dxa"/>
            <w:vAlign w:val="bottom"/>
            <w:gridSpan w:val="2"/>
          </w:tcPr>
          <w:p>
            <w:pPr>
              <w:spacing w:after="0"/>
              <w:rPr>
                <w:sz w:val="20"/>
                <w:szCs w:val="20"/>
                <w:color w:val="auto"/>
              </w:rPr>
            </w:pPr>
            <w:r>
              <w:rPr>
                <w:rFonts w:ascii="Arial" w:cs="Arial" w:eastAsia="Arial" w:hAnsi="Arial"/>
                <w:sz w:val="22"/>
                <w:szCs w:val="22"/>
                <w:color w:val="auto"/>
                <w:w w:val="99"/>
              </w:rPr>
              <w:t>Special Administrative Region (“SAR”) of the People’s Republic of China to an affiliate of Publishing and</w:t>
            </w:r>
          </w:p>
        </w:tc>
      </w:tr>
      <w:tr>
        <w:trPr>
          <w:trHeight w:val="270"/>
        </w:trPr>
        <w:tc>
          <w:tcPr>
            <w:tcW w:w="1320" w:type="dxa"/>
            <w:vAlign w:val="bottom"/>
          </w:tcPr>
          <w:p>
            <w:pPr>
              <w:spacing w:after="0"/>
              <w:rPr>
                <w:sz w:val="23"/>
                <w:szCs w:val="23"/>
                <w:color w:val="auto"/>
              </w:rPr>
            </w:pPr>
          </w:p>
        </w:tc>
        <w:tc>
          <w:tcPr>
            <w:tcW w:w="10100" w:type="dxa"/>
            <w:vAlign w:val="bottom"/>
            <w:gridSpan w:val="2"/>
          </w:tcPr>
          <w:p>
            <w:pPr>
              <w:spacing w:after="0"/>
              <w:rPr>
                <w:sz w:val="20"/>
                <w:szCs w:val="20"/>
                <w:color w:val="auto"/>
              </w:rPr>
            </w:pPr>
            <w:r>
              <w:rPr>
                <w:rFonts w:ascii="Arial" w:cs="Arial" w:eastAsia="Arial" w:hAnsi="Arial"/>
                <w:sz w:val="22"/>
                <w:szCs w:val="22"/>
                <w:color w:val="auto"/>
                <w:w w:val="96"/>
              </w:rPr>
              <w:t>Broadcasting Limited (“PBL”) for $900 million. The subconcession right permits the PBL affiliate to receive a</w:t>
            </w:r>
          </w:p>
        </w:tc>
      </w:tr>
      <w:tr>
        <w:trPr>
          <w:trHeight w:val="270"/>
        </w:trPr>
        <w:tc>
          <w:tcPr>
            <w:tcW w:w="1320" w:type="dxa"/>
            <w:vAlign w:val="bottom"/>
          </w:tcPr>
          <w:p>
            <w:pPr>
              <w:spacing w:after="0"/>
              <w:rPr>
                <w:sz w:val="23"/>
                <w:szCs w:val="23"/>
                <w:color w:val="auto"/>
              </w:rPr>
            </w:pPr>
          </w:p>
        </w:tc>
        <w:tc>
          <w:tcPr>
            <w:tcW w:w="10100" w:type="dxa"/>
            <w:vAlign w:val="bottom"/>
            <w:gridSpan w:val="2"/>
          </w:tcPr>
          <w:p>
            <w:pPr>
              <w:spacing w:after="0"/>
              <w:rPr>
                <w:sz w:val="20"/>
                <w:szCs w:val="20"/>
                <w:color w:val="auto"/>
              </w:rPr>
            </w:pPr>
            <w:r>
              <w:rPr>
                <w:rFonts w:ascii="Arial" w:cs="Arial" w:eastAsia="Arial" w:hAnsi="Arial"/>
                <w:sz w:val="22"/>
                <w:szCs w:val="22"/>
                <w:color w:val="auto"/>
                <w:w w:val="92"/>
              </w:rPr>
              <w:t>subconcession from the Macau SAR to conduct gaming operations in the Macau SAR. The press release is filed</w:t>
            </w:r>
          </w:p>
        </w:tc>
      </w:tr>
      <w:tr>
        <w:trPr>
          <w:trHeight w:val="275"/>
        </w:trPr>
        <w:tc>
          <w:tcPr>
            <w:tcW w:w="1320" w:type="dxa"/>
            <w:vAlign w:val="bottom"/>
          </w:tcPr>
          <w:p>
            <w:pPr>
              <w:spacing w:after="0"/>
              <w:rPr>
                <w:sz w:val="23"/>
                <w:szCs w:val="23"/>
                <w:color w:val="auto"/>
              </w:rPr>
            </w:pPr>
          </w:p>
        </w:tc>
        <w:tc>
          <w:tcPr>
            <w:tcW w:w="10100" w:type="dxa"/>
            <w:vAlign w:val="bottom"/>
            <w:gridSpan w:val="2"/>
          </w:tcPr>
          <w:p>
            <w:pPr>
              <w:spacing w:after="0"/>
              <w:rPr>
                <w:sz w:val="20"/>
                <w:szCs w:val="20"/>
                <w:color w:val="auto"/>
              </w:rPr>
            </w:pPr>
            <w:r>
              <w:rPr>
                <w:rFonts w:ascii="Arial" w:cs="Arial" w:eastAsia="Arial" w:hAnsi="Arial"/>
                <w:sz w:val="22"/>
                <w:szCs w:val="22"/>
                <w:color w:val="auto"/>
              </w:rPr>
              <w:t>herewith as Exhibit 99.1 and incorporated herein by reference.</w:t>
            </w:r>
          </w:p>
        </w:tc>
      </w:tr>
      <w:tr>
        <w:trPr>
          <w:trHeight w:val="494"/>
        </w:trPr>
        <w:tc>
          <w:tcPr>
            <w:tcW w:w="1320" w:type="dxa"/>
            <w:vAlign w:val="bottom"/>
          </w:tcPr>
          <w:p>
            <w:pPr>
              <w:spacing w:after="0"/>
              <w:rPr>
                <w:sz w:val="20"/>
                <w:szCs w:val="20"/>
                <w:color w:val="auto"/>
              </w:rPr>
            </w:pPr>
            <w:r>
              <w:rPr>
                <w:rFonts w:ascii="Arial" w:cs="Arial" w:eastAsia="Arial" w:hAnsi="Arial"/>
                <w:sz w:val="20"/>
                <w:szCs w:val="20"/>
                <w:b w:val="1"/>
                <w:bCs w:val="1"/>
                <w:color w:val="auto"/>
              </w:rPr>
              <w:t>Item 9.01</w:t>
            </w:r>
          </w:p>
        </w:tc>
        <w:tc>
          <w:tcPr>
            <w:tcW w:w="3020" w:type="dxa"/>
            <w:vAlign w:val="bottom"/>
          </w:tcPr>
          <w:p>
            <w:pPr>
              <w:spacing w:after="0"/>
              <w:rPr>
                <w:sz w:val="20"/>
                <w:szCs w:val="20"/>
                <w:color w:val="auto"/>
              </w:rPr>
            </w:pPr>
            <w:r>
              <w:rPr>
                <w:rFonts w:ascii="Arial" w:cs="Arial" w:eastAsia="Arial" w:hAnsi="Arial"/>
                <w:sz w:val="20"/>
                <w:szCs w:val="20"/>
                <w:b w:val="1"/>
                <w:bCs w:val="1"/>
                <w:color w:val="auto"/>
                <w:w w:val="94"/>
              </w:rPr>
              <w:t>Financial Statement and Exhibits.</w:t>
            </w:r>
          </w:p>
        </w:tc>
        <w:tc>
          <w:tcPr>
            <w:tcW w:w="7080" w:type="dxa"/>
            <w:vAlign w:val="bottom"/>
          </w:tcPr>
          <w:p>
            <w:pPr>
              <w:spacing w:after="0"/>
              <w:rPr>
                <w:sz w:val="24"/>
                <w:szCs w:val="24"/>
                <w:color w:val="auto"/>
              </w:rPr>
            </w:pPr>
          </w:p>
        </w:tc>
      </w:tr>
      <w:tr>
        <w:trPr>
          <w:trHeight w:val="473"/>
        </w:trPr>
        <w:tc>
          <w:tcPr>
            <w:tcW w:w="132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20"/>
                <w:szCs w:val="20"/>
                <w:color w:val="auto"/>
              </w:rPr>
              <w:t>(d) Exhibits</w:t>
            </w:r>
          </w:p>
        </w:tc>
        <w:tc>
          <w:tcPr>
            <w:tcW w:w="7080" w:type="dxa"/>
            <w:vAlign w:val="bottom"/>
          </w:tcPr>
          <w:p>
            <w:pPr>
              <w:spacing w:after="0"/>
              <w:rPr>
                <w:sz w:val="24"/>
                <w:szCs w:val="24"/>
                <w:color w:val="auto"/>
              </w:rPr>
            </w:pPr>
          </w:p>
        </w:tc>
      </w:tr>
      <w:tr>
        <w:trPr>
          <w:trHeight w:val="482"/>
        </w:trPr>
        <w:tc>
          <w:tcPr>
            <w:tcW w:w="1320" w:type="dxa"/>
            <w:vAlign w:val="bottom"/>
          </w:tcPr>
          <w:p>
            <w:pPr>
              <w:spacing w:after="0"/>
              <w:rPr>
                <w:sz w:val="24"/>
                <w:szCs w:val="24"/>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Exhibit Number</w:t>
            </w:r>
          </w:p>
        </w:tc>
        <w:tc>
          <w:tcPr>
            <w:tcW w:w="708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rPr>
              <w:t>Description</w:t>
            </w:r>
          </w:p>
        </w:tc>
      </w:tr>
      <w:tr>
        <w:trPr>
          <w:trHeight w:val="470"/>
        </w:trPr>
        <w:tc>
          <w:tcPr>
            <w:tcW w:w="132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20"/>
                <w:szCs w:val="20"/>
                <w:color w:val="auto"/>
              </w:rPr>
              <w:t>99.1</w:t>
            </w:r>
          </w:p>
        </w:tc>
        <w:tc>
          <w:tcPr>
            <w:tcW w:w="7080" w:type="dxa"/>
            <w:vAlign w:val="bottom"/>
          </w:tcPr>
          <w:p>
            <w:pPr>
              <w:ind w:left="160"/>
              <w:spacing w:after="0"/>
              <w:rPr>
                <w:sz w:val="20"/>
                <w:szCs w:val="20"/>
                <w:color w:val="auto"/>
              </w:rPr>
            </w:pPr>
            <w:r>
              <w:rPr>
                <w:rFonts w:ascii="Arial" w:cs="Arial" w:eastAsia="Arial" w:hAnsi="Arial"/>
                <w:sz w:val="20"/>
                <w:szCs w:val="20"/>
                <w:color w:val="auto"/>
              </w:rPr>
              <w:t>Press Release, dated September 11, 2006, of Wynn Resorts, Limited.</w:t>
            </w:r>
          </w:p>
        </w:tc>
      </w:tr>
      <w:tr>
        <w:trPr>
          <w:trHeight w:val="628"/>
        </w:trPr>
        <w:tc>
          <w:tcPr>
            <w:tcW w:w="132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7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2" w:name="page3"/>
    <w:bookmarkEnd w:id="2"/>
    <w:p>
      <w:pPr>
        <w:ind w:left="5020"/>
        <w:spacing w:after="0"/>
        <w:rPr>
          <w:sz w:val="20"/>
          <w:szCs w:val="20"/>
          <w:color w:val="auto"/>
        </w:rPr>
      </w:pPr>
      <w:r>
        <w:rPr>
          <w:rFonts w:ascii="Arial" w:cs="Arial" w:eastAsia="Arial" w:hAnsi="Arial"/>
          <w:sz w:val="22"/>
          <w:szCs w:val="22"/>
          <w:b w:val="1"/>
          <w:bCs w:val="1"/>
          <w:color w:val="auto"/>
        </w:rPr>
        <w:t>SIGNATURES</w:t>
      </w:r>
    </w:p>
    <w:p>
      <w:pPr>
        <w:spacing w:after="0" w:line="298"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Pursuant to the requirements of the Securities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WYNN RESORTS, LIMITED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 September 11, 2006</w:t>
      </w:r>
    </w:p>
    <w:p>
      <w:pPr>
        <w:spacing w:after="0" w:line="20" w:lineRule="exact"/>
        <w:rPr>
          <w:sz w:val="20"/>
          <w:szCs w:val="20"/>
          <w:color w:val="auto"/>
        </w:rPr>
      </w:pPr>
    </w:p>
    <w:p>
      <w:pPr>
        <w:ind w:left="6140"/>
        <w:spacing w:after="0"/>
        <w:rPr>
          <w:sz w:val="20"/>
          <w:szCs w:val="20"/>
          <w:color w:val="auto"/>
        </w:rPr>
      </w:pPr>
      <w:r>
        <w:rPr>
          <w:rFonts w:ascii="Arial" w:cs="Arial" w:eastAsia="Arial" w:hAnsi="Arial"/>
          <w:sz w:val="20"/>
          <w:szCs w:val="20"/>
          <w:color w:val="auto"/>
        </w:rPr>
        <w:t>By:/s/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5715</wp:posOffset>
            </wp:positionV>
            <wp:extent cx="3173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20"/>
          <w:szCs w:val="20"/>
          <w:color w:val="auto"/>
        </w:rPr>
        <w:t>Name: John Strzemp</w:t>
      </w:r>
    </w:p>
    <w:p>
      <w:pPr>
        <w:spacing w:after="0" w:line="20" w:lineRule="exact"/>
        <w:rPr>
          <w:sz w:val="20"/>
          <w:szCs w:val="20"/>
          <w:color w:val="auto"/>
        </w:rPr>
      </w:pPr>
    </w:p>
    <w:p>
      <w:pPr>
        <w:ind w:left="642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0540"/>
          </w:cols>
          <w:pgMar w:left="240" w:top="369"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Resorts Completes Sale of its Subconcession Right to Publishing and Broadcasting Limited</w:t>
      </w:r>
    </w:p>
    <w:p>
      <w:pPr>
        <w:spacing w:after="0" w:line="2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LAS VEGAS--(BUSINESS WIRE)- September 11, 2006 --Wynn Resorts (Macau), S.A., a subsidiary of Wynn Resorts, Limited (Nasdaq: WYNN), announced today the completion of its sale of its subconcession right to an affiliate of Publishing and Broadcasting Limited (“PBL”) for US$900 million. The subconcession right permits the PBL affiliate to receive a subconcession from the Macau Special Administrative Region (“SAR”) of the People’s Republic of China to conduct gaming operations in the Macau SAR.</w:t>
      </w:r>
    </w:p>
    <w:p>
      <w:pPr>
        <w:spacing w:after="0" w:line="2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“With the government of the Special Administration Region, we believe that PBL will make a positive contribution to the future of Macau. We also recognize that the growth of healthy tourism in this city is the result of the wisdom of the Central Government’s policy of “One Country Two Systems”. Today’s progress is a direct result of that policy.” said Steve Wynn, Chairman and CEO of Wynn Resorts.</w:t>
      </w:r>
    </w:p>
    <w:p>
      <w:pPr>
        <w:spacing w:after="0" w:line="23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Wynn Resorts, Limited is traded on the Nasdaq National Market under the ticker symbol WYNN and is part of the NASDAQ-100 Index. On September 6, 2006, Wynn Macau, a destination casino resort in the Macau Special Administrative Region of the People’s Republic of China, opened, featuring 600 deluxe hotel rooms and suites, approximately 220 table games and 380 slot machines in approximately 100,000 square feet of casino gaming space, seven restaurants, approximately 26,000 square feet of retail space, a spa, a salon, entertainment lounges and meeting facilities. Additionally, the Company owns and operates Wynn Las Vegas (www.wynnlasvegas.com), a luxury hotel and destination casino resort located on the Las Vegas Strip.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SOURCE:</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Wynn Resorts, Limited</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CONTACT: Samanta Stewart, 702-770-7555</w:t>
      </w:r>
    </w:p>
    <w:sectPr>
      <w:pgSz w:w="11900" w:h="16838" w:orient="portrait"/>
      <w:cols w:equalWidth="0" w:num="1">
        <w:col w:w="11420"/>
      </w:cols>
      <w:pgMar w:left="240" w:top="1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2019-12-15T07:16:57Z</dcterms:created>
  <dcterms:modified xsi:type="dcterms:W3CDTF">2019-12-15T07:16:57Z</dcterms:modified>
</cp:coreProperties>
</file>