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Billings Craig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6"/>
          <w:szCs w:val="16"/>
          <w:color w:val="0000FF"/>
        </w:rPr>
        <w:t>President, CFO and Treasurer</w:t>
      </w:r>
    </w:p>
    <w:p>
      <w:pPr>
        <w:spacing w:after="0" w:line="41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6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82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4"/>
          </w:tcPr>
          <w:p>
            <w:pPr>
              <w:jc w:val="center"/>
              <w:ind w:left="553"/>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460" w:type="dxa"/>
            <w:vAlign w:val="bottom"/>
            <w:tcBorders>
              <w:bottom w:val="single" w:sz="8" w:color="2C2C2C"/>
            </w:tcBorders>
            <w:gridSpan w:val="6"/>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 per share</w:t>
            </w:r>
          </w:p>
        </w:tc>
        <w:tc>
          <w:tcPr>
            <w:tcW w:w="1000" w:type="dxa"/>
            <w:vAlign w:val="bottom"/>
            <w:tcBorders>
              <w:bottom w:val="single" w:sz="8" w:color="2C2C2C"/>
            </w:tcBorders>
            <w:gridSpan w:val="3"/>
          </w:tcPr>
          <w:p>
            <w:pPr>
              <w:jc w:val="center"/>
              <w:ind w:right="138"/>
              <w:spacing w:after="0"/>
              <w:rPr>
                <w:sz w:val="20"/>
                <w:szCs w:val="20"/>
                <w:color w:val="auto"/>
              </w:rPr>
            </w:pPr>
            <w:r>
              <w:rPr>
                <w:rFonts w:ascii="Arial" w:cs="Arial" w:eastAsia="Arial" w:hAnsi="Arial"/>
                <w:sz w:val="18"/>
                <w:szCs w:val="18"/>
                <w:color w:val="0000FF"/>
                <w:w w:val="88"/>
              </w:rPr>
              <w:t>01/14/2020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6,398</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72,849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60" w:type="dxa"/>
            <w:vAlign w:val="bottom"/>
            <w:gridSpan w:val="6"/>
          </w:tcPr>
          <w:p>
            <w:pPr>
              <w:ind w:left="60"/>
              <w:spacing w:after="0"/>
              <w:rPr>
                <w:sz w:val="20"/>
                <w:szCs w:val="20"/>
                <w:color w:val="auto"/>
              </w:rPr>
            </w:pPr>
            <w:r>
              <w:rPr>
                <w:rFonts w:ascii="Arial" w:cs="Arial" w:eastAsia="Arial" w:hAnsi="Arial"/>
                <w:sz w:val="18"/>
                <w:szCs w:val="18"/>
                <w:color w:val="0000FF"/>
                <w:w w:val="99"/>
              </w:rPr>
              <w:t>Common Stock, par value $0.01 per share</w:t>
            </w:r>
          </w:p>
        </w:tc>
        <w:tc>
          <w:tcPr>
            <w:tcW w:w="1000" w:type="dxa"/>
            <w:vAlign w:val="bottom"/>
            <w:gridSpan w:val="3"/>
          </w:tcPr>
          <w:p>
            <w:pPr>
              <w:jc w:val="center"/>
              <w:ind w:right="138"/>
              <w:spacing w:after="0"/>
              <w:rPr>
                <w:sz w:val="20"/>
                <w:szCs w:val="20"/>
                <w:color w:val="auto"/>
              </w:rPr>
            </w:pPr>
            <w:r>
              <w:rPr>
                <w:rFonts w:ascii="Arial" w:cs="Arial" w:eastAsia="Arial" w:hAnsi="Arial"/>
                <w:sz w:val="18"/>
                <w:szCs w:val="18"/>
                <w:color w:val="0000FF"/>
                <w:w w:val="88"/>
              </w:rPr>
              <w:t>01/14/2020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Pr>
          <w:p>
            <w:pPr>
              <w:jc w:val="right"/>
              <w:spacing w:after="0"/>
              <w:rPr>
                <w:sz w:val="20"/>
                <w:szCs w:val="20"/>
                <w:color w:val="auto"/>
              </w:rPr>
            </w:pPr>
            <w:r>
              <w:rPr>
                <w:rFonts w:ascii="Arial" w:cs="Arial" w:eastAsia="Arial" w:hAnsi="Arial"/>
                <w:sz w:val="18"/>
                <w:szCs w:val="18"/>
                <w:color w:val="0000FF"/>
              </w:rPr>
              <w:t>2,518</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150.03</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70,331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60" w:type="dxa"/>
            <w:vAlign w:val="bottom"/>
            <w:tcBorders>
              <w:bottom w:val="single" w:sz="8" w:color="2C2C2C"/>
            </w:tcBorders>
            <w:gridSpan w:val="6"/>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 per share</w:t>
            </w:r>
          </w:p>
        </w:tc>
        <w:tc>
          <w:tcPr>
            <w:tcW w:w="1000" w:type="dxa"/>
            <w:vAlign w:val="bottom"/>
            <w:tcBorders>
              <w:bottom w:val="single" w:sz="8" w:color="2C2C2C"/>
            </w:tcBorders>
            <w:gridSpan w:val="3"/>
          </w:tcPr>
          <w:p>
            <w:pPr>
              <w:jc w:val="center"/>
              <w:ind w:right="138"/>
              <w:spacing w:after="0"/>
              <w:rPr>
                <w:sz w:val="20"/>
                <w:szCs w:val="20"/>
                <w:color w:val="auto"/>
              </w:rPr>
            </w:pPr>
            <w:r>
              <w:rPr>
                <w:rFonts w:ascii="Arial" w:cs="Arial" w:eastAsia="Arial" w:hAnsi="Arial"/>
                <w:sz w:val="18"/>
                <w:szCs w:val="18"/>
                <w:color w:val="0000FF"/>
                <w:w w:val="88"/>
              </w:rPr>
              <w:t>01/14/2020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7,332</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77,663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2"/>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6"/>
              </w:rPr>
              <w:t>3A. Deemed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granted pursuant to the Company's 2014 Omnibus Incentive Plan. Vesting of the shares is based on achievement of pre-established financial performance goals during the three year period ended December 31, 2022, and if met, will vest on March 1, 2023. If the reporting person's employment with the Company is terminated, certain accelerated vesting provisions may apply.</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Nick Pannucci, attorney-in-  </w:t>
      </w:r>
      <w:r>
        <w:rPr>
          <w:rFonts w:ascii="Arial" w:cs="Arial" w:eastAsia="Arial" w:hAnsi="Arial"/>
          <w:sz w:val="35"/>
          <w:szCs w:val="35"/>
          <w:color w:val="0000FF"/>
          <w:vertAlign w:val="subscript"/>
        </w:rPr>
        <w:t>01/16/2020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38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917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2020-01-16T19:54:45Z</dcterms:created>
  <dcterms:modified xsi:type="dcterms:W3CDTF">2020-01-16T19:54:45Z</dcterms:modified>
</cp:coreProperties>
</file>