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187325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71"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73660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198755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88"/>
              </w:rPr>
              <w:t>Nevada</w:t>
            </w:r>
          </w:p>
        </w:tc>
        <w:tc>
          <w:tcPr>
            <w:tcW w:w="3260" w:type="dxa"/>
            <w:vAlign w:val="bottom"/>
            <w:gridSpan w:val="2"/>
          </w:tcPr>
          <w:p>
            <w:pPr>
              <w:ind w:left="1280"/>
              <w:spacing w:after="0"/>
              <w:rPr>
                <w:sz w:val="20"/>
                <w:szCs w:val="20"/>
                <w:color w:val="auto"/>
              </w:rPr>
            </w:pPr>
            <w:r>
              <w:rPr>
                <w:rFonts w:ascii="Arial" w:cs="Arial" w:eastAsia="Arial" w:hAnsi="Arial"/>
                <w:sz w:val="14"/>
                <w:szCs w:val="14"/>
                <w:b w:val="1"/>
                <w:bCs w:val="1"/>
                <w:color w:val="auto"/>
              </w:rPr>
              <w:t>000-50028</w:t>
            </w:r>
          </w:p>
        </w:tc>
        <w:tc>
          <w:tcPr>
            <w:tcW w:w="2760" w:type="dxa"/>
            <w:vAlign w:val="bottom"/>
            <w:gridSpan w:val="3"/>
          </w:tcPr>
          <w:p>
            <w:pPr>
              <w:jc w:val="right"/>
              <w:ind w:right="1640"/>
              <w:spacing w:after="0"/>
              <w:rPr>
                <w:sz w:val="20"/>
                <w:szCs w:val="20"/>
                <w:color w:val="auto"/>
              </w:rPr>
            </w:pPr>
            <w:r>
              <w:rPr>
                <w:rFonts w:ascii="Arial" w:cs="Arial" w:eastAsia="Arial" w:hAnsi="Arial"/>
                <w:sz w:val="14"/>
                <w:szCs w:val="14"/>
                <w:b w:val="1"/>
                <w:bCs w:val="1"/>
                <w:color w:val="auto"/>
              </w:rPr>
              <w:t>46-0484987</w:t>
            </w:r>
          </w:p>
        </w:tc>
        <w:tc>
          <w:tcPr>
            <w:tcW w:w="1260" w:type="dxa"/>
            <w:vAlign w:val="bottom"/>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1"/>
                <w:szCs w:val="11"/>
                <w:b w:val="1"/>
                <w:bCs w:val="1"/>
                <w:color w:val="auto"/>
                <w:w w:val="93"/>
              </w:rPr>
              <w:t>(State or other jurisdiction</w:t>
            </w:r>
          </w:p>
        </w:tc>
        <w:tc>
          <w:tcPr>
            <w:tcW w:w="1140" w:type="dxa"/>
            <w:vAlign w:val="bottom"/>
          </w:tcPr>
          <w:p>
            <w:pPr>
              <w:spacing w:after="0"/>
              <w:rPr>
                <w:sz w:val="13"/>
                <w:szCs w:val="13"/>
                <w:color w:val="auto"/>
              </w:rPr>
            </w:pPr>
          </w:p>
        </w:tc>
        <w:tc>
          <w:tcPr>
            <w:tcW w:w="2120" w:type="dxa"/>
            <w:vAlign w:val="bottom"/>
          </w:tcPr>
          <w:p>
            <w:pPr>
              <w:ind w:left="140"/>
              <w:spacing w:after="0"/>
              <w:rPr>
                <w:sz w:val="20"/>
                <w:szCs w:val="20"/>
                <w:color w:val="auto"/>
              </w:rPr>
            </w:pPr>
            <w:r>
              <w:rPr>
                <w:rFonts w:ascii="Arial" w:cs="Arial" w:eastAsia="Arial" w:hAnsi="Arial"/>
                <w:sz w:val="11"/>
                <w:szCs w:val="11"/>
                <w:b w:val="1"/>
                <w:bCs w:val="1"/>
                <w:color w:val="auto"/>
              </w:rPr>
              <w:t>(Commission</w:t>
            </w:r>
          </w:p>
        </w:tc>
        <w:tc>
          <w:tcPr>
            <w:tcW w:w="120" w:type="dxa"/>
            <w:vAlign w:val="bottom"/>
          </w:tcPr>
          <w:p>
            <w:pPr>
              <w:spacing w:after="0"/>
              <w:rPr>
                <w:sz w:val="13"/>
                <w:szCs w:val="13"/>
                <w:color w:val="auto"/>
              </w:rPr>
            </w:pPr>
          </w:p>
        </w:tc>
        <w:tc>
          <w:tcPr>
            <w:tcW w:w="3900" w:type="dxa"/>
            <w:vAlign w:val="bottom"/>
            <w:gridSpan w:val="3"/>
          </w:tcPr>
          <w:p>
            <w:pPr>
              <w:jc w:val="center"/>
              <w:ind w:right="2600"/>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1"/>
                <w:szCs w:val="11"/>
                <w:b w:val="1"/>
                <w:bCs w:val="1"/>
                <w:color w:val="auto"/>
                <w:w w:val="95"/>
              </w:rPr>
              <w:t>of incorporation)</w:t>
            </w:r>
          </w:p>
        </w:tc>
        <w:tc>
          <w:tcPr>
            <w:tcW w:w="1140" w:type="dxa"/>
            <w:vAlign w:val="bottom"/>
          </w:tcPr>
          <w:p>
            <w:pPr>
              <w:spacing w:after="0"/>
              <w:rPr>
                <w:sz w:val="12"/>
                <w:szCs w:val="12"/>
                <w:color w:val="auto"/>
              </w:rPr>
            </w:pPr>
          </w:p>
        </w:tc>
        <w:tc>
          <w:tcPr>
            <w:tcW w:w="2120" w:type="dxa"/>
            <w:vAlign w:val="bottom"/>
          </w:tcPr>
          <w:p>
            <w:pPr>
              <w:ind w:left="120"/>
              <w:spacing w:after="0"/>
              <w:rPr>
                <w:sz w:val="20"/>
                <w:szCs w:val="20"/>
                <w:color w:val="auto"/>
              </w:rPr>
            </w:pPr>
            <w:r>
              <w:rPr>
                <w:rFonts w:ascii="Arial" w:cs="Arial" w:eastAsia="Arial" w:hAnsi="Arial"/>
                <w:sz w:val="11"/>
                <w:szCs w:val="11"/>
                <w:b w:val="1"/>
                <w:bCs w:val="1"/>
                <w:color w:val="auto"/>
              </w:rPr>
              <w:t>File Number)</w:t>
            </w:r>
          </w:p>
        </w:tc>
        <w:tc>
          <w:tcPr>
            <w:tcW w:w="120" w:type="dxa"/>
            <w:vAlign w:val="bottom"/>
          </w:tcPr>
          <w:p>
            <w:pPr>
              <w:spacing w:after="0"/>
              <w:rPr>
                <w:sz w:val="12"/>
                <w:szCs w:val="12"/>
                <w:color w:val="auto"/>
              </w:rPr>
            </w:pPr>
          </w:p>
        </w:tc>
        <w:tc>
          <w:tcPr>
            <w:tcW w:w="3900" w:type="dxa"/>
            <w:vAlign w:val="bottom"/>
            <w:gridSpan w:val="3"/>
          </w:tcPr>
          <w:p>
            <w:pPr>
              <w:jc w:val="center"/>
              <w:ind w:right="2580"/>
              <w:spacing w:after="0"/>
              <w:rPr>
                <w:sz w:val="20"/>
                <w:szCs w:val="20"/>
                <w:color w:val="auto"/>
              </w:rPr>
            </w:pPr>
            <w:r>
              <w:rPr>
                <w:rFonts w:ascii="Arial" w:cs="Arial" w:eastAsia="Arial" w:hAnsi="Arial"/>
                <w:sz w:val="11"/>
                <w:szCs w:val="11"/>
                <w:b w:val="1"/>
                <w:bCs w:val="1"/>
                <w:color w:val="auto"/>
                <w:w w:val="94"/>
              </w:rPr>
              <w:t>Identification No.)</w:t>
            </w:r>
          </w:p>
        </w:tc>
      </w:tr>
      <w:tr>
        <w:trPr>
          <w:trHeight w:val="199"/>
        </w:trPr>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0" w:type="dxa"/>
            <w:vAlign w:val="bottom"/>
            <w:gridSpan w:val="4"/>
          </w:tcPr>
          <w:p>
            <w:pPr>
              <w:jc w:val="center"/>
              <w:ind w:right="2859"/>
              <w:spacing w:after="0"/>
              <w:rPr>
                <w:sz w:val="20"/>
                <w:szCs w:val="20"/>
                <w:color w:val="auto"/>
              </w:rPr>
            </w:pPr>
            <w:r>
              <w:rPr>
                <w:rFonts w:ascii="Arial" w:cs="Arial" w:eastAsia="Arial" w:hAnsi="Arial"/>
                <w:sz w:val="14"/>
                <w:szCs w:val="14"/>
                <w:b w:val="1"/>
                <w:bCs w:val="1"/>
                <w:color w:val="auto"/>
                <w:w w:val="88"/>
              </w:rPr>
              <w:t>3131 Las Vegas Boulevard South</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8"/>
        </w:trPr>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40" w:type="dxa"/>
            <w:vAlign w:val="bottom"/>
            <w:gridSpan w:val="2"/>
          </w:tcPr>
          <w:p>
            <w:pPr>
              <w:ind w:left="480"/>
              <w:spacing w:after="0"/>
              <w:rPr>
                <w:sz w:val="20"/>
                <w:szCs w:val="20"/>
                <w:color w:val="auto"/>
              </w:rPr>
            </w:pPr>
            <w:r>
              <w:rPr>
                <w:rFonts w:ascii="Arial" w:cs="Arial" w:eastAsia="Arial" w:hAnsi="Arial"/>
                <w:sz w:val="14"/>
                <w:szCs w:val="14"/>
                <w:b w:val="1"/>
                <w:bCs w:val="1"/>
                <w:color w:val="auto"/>
              </w:rPr>
              <w:t>Las Vegas, Nevada</w:t>
            </w:r>
          </w:p>
        </w:tc>
        <w:tc>
          <w:tcPr>
            <w:tcW w:w="1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60" w:type="dxa"/>
            <w:vAlign w:val="bottom"/>
            <w:gridSpan w:val="3"/>
          </w:tcPr>
          <w:p>
            <w:pPr>
              <w:jc w:val="right"/>
              <w:ind w:right="1800"/>
              <w:spacing w:after="0"/>
              <w:rPr>
                <w:sz w:val="20"/>
                <w:szCs w:val="20"/>
                <w:color w:val="auto"/>
              </w:rPr>
            </w:pPr>
            <w:r>
              <w:rPr>
                <w:rFonts w:ascii="Arial" w:cs="Arial" w:eastAsia="Arial" w:hAnsi="Arial"/>
                <w:sz w:val="14"/>
                <w:szCs w:val="14"/>
                <w:b w:val="1"/>
                <w:bCs w:val="1"/>
                <w:color w:val="auto"/>
              </w:rPr>
              <w:t>89109</w:t>
            </w:r>
          </w:p>
        </w:tc>
        <w:tc>
          <w:tcPr>
            <w:tcW w:w="1260" w:type="dxa"/>
            <w:vAlign w:val="bottom"/>
          </w:tcPr>
          <w:p>
            <w:pPr>
              <w:spacing w:after="0"/>
              <w:rPr>
                <w:sz w:val="15"/>
                <w:szCs w:val="15"/>
                <w:color w:val="auto"/>
              </w:rPr>
            </w:pPr>
          </w:p>
        </w:tc>
      </w:tr>
      <w:tr>
        <w:trPr>
          <w:trHeight w:val="168"/>
        </w:trPr>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0" w:type="dxa"/>
            <w:vAlign w:val="bottom"/>
            <w:gridSpan w:val="4"/>
          </w:tcPr>
          <w:p>
            <w:pPr>
              <w:jc w:val="center"/>
              <w:ind w:right="2859"/>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120" w:type="dxa"/>
            <w:vAlign w:val="bottom"/>
          </w:tcPr>
          <w:p>
            <w:pPr>
              <w:spacing w:after="0"/>
              <w:rPr>
                <w:sz w:val="14"/>
                <w:szCs w:val="14"/>
                <w:color w:val="auto"/>
              </w:rPr>
            </w:pPr>
          </w:p>
        </w:tc>
        <w:tc>
          <w:tcPr>
            <w:tcW w:w="3900" w:type="dxa"/>
            <w:vAlign w:val="bottom"/>
            <w:gridSpan w:val="3"/>
          </w:tcPr>
          <w:p>
            <w:pPr>
              <w:jc w:val="center"/>
              <w:ind w:right="2580"/>
              <w:spacing w:after="0"/>
              <w:rPr>
                <w:sz w:val="20"/>
                <w:szCs w:val="20"/>
                <w:color w:val="auto"/>
              </w:rPr>
            </w:pPr>
            <w:r>
              <w:rPr>
                <w:rFonts w:ascii="Arial" w:cs="Arial" w:eastAsia="Arial" w:hAnsi="Arial"/>
                <w:sz w:val="11"/>
                <w:szCs w:val="11"/>
                <w:b w:val="1"/>
                <w:bCs w:val="1"/>
                <w:color w:val="auto"/>
                <w:w w:val="95"/>
              </w:rPr>
              <w:t>(Zip Code)</w:t>
            </w:r>
          </w:p>
        </w:tc>
      </w:tr>
      <w:tr>
        <w:trPr>
          <w:trHeight w:val="575"/>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(702) 770-7555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20"/>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jc w:val="center"/>
              <w:ind w:right="1039"/>
              <w:spacing w:after="0"/>
              <w:rPr>
                <w:sz w:val="20"/>
                <w:szCs w:val="20"/>
                <w:color w:val="auto"/>
              </w:rPr>
            </w:pPr>
            <w:r>
              <w:rPr>
                <w:rFonts w:ascii="Arial" w:cs="Arial" w:eastAsia="Arial" w:hAnsi="Arial"/>
                <w:sz w:val="14"/>
                <w:szCs w:val="14"/>
                <w:b w:val="1"/>
                <w:bCs w:val="1"/>
                <w:color w:val="auto"/>
                <w:w w:val="91"/>
              </w:rPr>
              <w:t>Not Applicable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93"/>
        </w:trPr>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446"/>
        </w:trPr>
        <w:tc>
          <w:tcPr>
            <w:tcW w:w="40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4"/>
        </w:trPr>
        <w:tc>
          <w:tcPr>
            <w:tcW w:w="10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940" w:type="dxa"/>
            <w:vAlign w:val="bottom"/>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1260" w:type="dxa"/>
            <w:vAlign w:val="bottom"/>
          </w:tcPr>
          <w:p>
            <w:pPr>
              <w:spacing w:after="0"/>
              <w:rPr>
                <w:sz w:val="21"/>
                <w:szCs w:val="21"/>
                <w:color w:val="auto"/>
              </w:rPr>
            </w:pPr>
          </w:p>
        </w:tc>
      </w:tr>
      <w:tr>
        <w:trPr>
          <w:trHeight w:val="192"/>
        </w:trPr>
        <w:tc>
          <w:tcPr>
            <w:tcW w:w="4000" w:type="dxa"/>
            <w:vAlign w:val="bottom"/>
            <w:gridSpan w:val="4"/>
          </w:tcPr>
          <w:p>
            <w:pPr>
              <w:jc w:val="center"/>
              <w:ind w:right="940"/>
              <w:spacing w:after="0"/>
              <w:rPr>
                <w:sz w:val="20"/>
                <w:szCs w:val="20"/>
                <w:color w:val="auto"/>
              </w:rPr>
            </w:pPr>
            <w:r>
              <w:rPr>
                <w:rFonts w:ascii="Arial" w:cs="Arial" w:eastAsia="Arial" w:hAnsi="Arial"/>
                <w:sz w:val="14"/>
                <w:szCs w:val="14"/>
                <w:color w:val="auto"/>
                <w:w w:val="92"/>
              </w:rPr>
              <w:t>Common stock, par value $0.01</w:t>
            </w:r>
          </w:p>
        </w:tc>
        <w:tc>
          <w:tcPr>
            <w:tcW w:w="3260" w:type="dxa"/>
            <w:vAlign w:val="bottom"/>
            <w:gridSpan w:val="2"/>
          </w:tcPr>
          <w:p>
            <w:pPr>
              <w:jc w:val="center"/>
              <w:ind w:right="2039"/>
              <w:spacing w:after="0"/>
              <w:rPr>
                <w:sz w:val="20"/>
                <w:szCs w:val="20"/>
                <w:color w:val="auto"/>
              </w:rPr>
            </w:pPr>
            <w:r>
              <w:rPr>
                <w:rFonts w:ascii="Arial" w:cs="Arial" w:eastAsia="Arial" w:hAnsi="Arial"/>
                <w:sz w:val="14"/>
                <w:szCs w:val="14"/>
                <w:color w:val="auto"/>
              </w:rPr>
              <w:t>WYNN</w:t>
            </w:r>
          </w:p>
        </w:tc>
        <w:tc>
          <w:tcPr>
            <w:tcW w:w="120" w:type="dxa"/>
            <w:vAlign w:val="bottom"/>
          </w:tcPr>
          <w:p>
            <w:pPr>
              <w:spacing w:after="0"/>
              <w:rPr>
                <w:sz w:val="16"/>
                <w:szCs w:val="16"/>
                <w:color w:val="auto"/>
              </w:rPr>
            </w:pPr>
          </w:p>
        </w:tc>
        <w:tc>
          <w:tcPr>
            <w:tcW w:w="3900" w:type="dxa"/>
            <w:vAlign w:val="bottom"/>
            <w:gridSpan w:val="3"/>
          </w:tcPr>
          <w:p>
            <w:pPr>
              <w:jc w:val="center"/>
              <w:ind w:right="1260"/>
              <w:spacing w:after="0"/>
              <w:rPr>
                <w:sz w:val="20"/>
                <w:szCs w:val="20"/>
                <w:color w:val="auto"/>
              </w:rPr>
            </w:pPr>
            <w:r>
              <w:rPr>
                <w:rFonts w:ascii="Arial" w:cs="Arial" w:eastAsia="Arial" w:hAnsi="Arial"/>
                <w:sz w:val="14"/>
                <w:szCs w:val="14"/>
                <w:color w:val="auto"/>
                <w:w w:val="92"/>
              </w:rPr>
              <w:t>Nasdaq Global Select Market</w:t>
            </w:r>
          </w:p>
        </w:tc>
      </w:tr>
      <w:tr>
        <w:trPr>
          <w:trHeight w:val="161"/>
        </w:trPr>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ind w:right="28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On December 16, 2020 (Hong Kong time), Wynn Macau, Limited (“Wynn Macau”), an indirect subsidiary of Wynn Resorts, Limited (“Wynn Resorts” or the “Company”) with its ordinary shares of common stock listed on The Stock Exchange of Hong Kong Limited (the “HKSE”), filed with the HKSE an announcement (the “Pricing Announcement”) that on December 15, 2020, Wynn Macau entered into a purchase agreement with certain Initial Purchasers, as defined in the purchase agreement, in connection with the issuance by Wynn Macau of additional $750.0 million aggregate principal amount of 5.625% senior notes due 2028 (to be consolidated and form a single series with Wynn Macau’s existing $600.0 million 5.625% senior notes due 2028 issued on August 26, 2020), which issuance is expected to occur on December 22, 2020. Wynn Resorts owns approximately 72% of Wynn Macau’s ordinary shares of common stock. The Pricing Announcement is furnished herewith as Exhibit 99.1.</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4"/>
          <w:szCs w:val="14"/>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10120" w:type="dxa"/>
            <w:vAlign w:val="bottom"/>
            <w:gridSpan w:val="3"/>
          </w:tcPr>
          <w:p>
            <w:pPr>
              <w:ind w:left="200"/>
              <w:spacing w:after="0"/>
              <w:rPr>
                <w:sz w:val="20"/>
                <w:szCs w:val="20"/>
                <w:color w:val="auto"/>
              </w:rPr>
            </w:pPr>
            <w:r>
              <w:rPr>
                <w:rFonts w:ascii="Arial" w:cs="Arial" w:eastAsia="Arial" w:hAnsi="Arial"/>
                <w:sz w:val="14"/>
                <w:szCs w:val="14"/>
                <w:b w:val="1"/>
                <w:bCs w:val="1"/>
                <w:color w:val="auto"/>
              </w:rPr>
              <w:t>Financial Statements and Exhibits.</w:t>
            </w:r>
          </w:p>
        </w:tc>
      </w:tr>
      <w:tr>
        <w:trPr>
          <w:trHeight w:val="340"/>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580" w:type="dxa"/>
            <w:vAlign w:val="bottom"/>
          </w:tcPr>
          <w:p>
            <w:pPr>
              <w:spacing w:after="0"/>
              <w:rPr>
                <w:sz w:val="18"/>
                <w:szCs w:val="18"/>
                <w:color w:val="auto"/>
              </w:rPr>
            </w:pPr>
          </w:p>
        </w:tc>
        <w:tc>
          <w:tcPr>
            <w:tcW w:w="10120" w:type="dxa"/>
            <w:vAlign w:val="bottom"/>
            <w:gridSpan w:val="3"/>
          </w:tcPr>
          <w:p>
            <w:pPr>
              <w:ind w:left="20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34"/>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580" w:type="dxa"/>
            <w:vAlign w:val="bottom"/>
          </w:tcPr>
          <w:p>
            <w:pPr>
              <w:spacing w:after="0"/>
              <w:rPr>
                <w:sz w:val="20"/>
                <w:szCs w:val="20"/>
                <w:color w:val="auto"/>
              </w:rPr>
            </w:pPr>
          </w:p>
        </w:tc>
        <w:tc>
          <w:tcPr>
            <w:tcW w:w="10120" w:type="dxa"/>
            <w:vAlign w:val="bottom"/>
            <w:gridSpan w:val="3"/>
          </w:tcPr>
          <w:p>
            <w:pPr>
              <w:ind w:left="20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Pricing Announcement of Wynn Macau, Limited, dated December 16, 2020</w:t>
              </w:r>
            </w:hyperlink>
          </w:p>
        </w:tc>
      </w:tr>
      <w:tr>
        <w:trPr>
          <w:trHeight w:val="94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660"/>
          </w:cols>
          <w:pgMar w:left="320" w:top="730" w:right="91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15, 2020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31" w:lineRule="exact"/>
        <w:rPr>
          <w:sz w:val="20"/>
          <w:szCs w:val="20"/>
          <w:color w:val="auto"/>
        </w:rPr>
      </w:pPr>
    </w:p>
    <w:p>
      <w:pPr>
        <w:sectPr>
          <w:pgSz w:w="11900" w:h="16838" w:orient="portrait"/>
          <w:cols w:equalWidth="0" w:num="2">
            <w:col w:w="5760" w:space="720"/>
            <w:col w:w="4180"/>
          </w:cols>
          <w:pgMar w:left="320" w:top="730" w:right="919" w:bottom="1440" w:gutter="0" w:footer="0" w:header="0"/>
          <w:type w:val="continuous"/>
        </w:sectPr>
      </w:pPr>
    </w:p>
    <w:p>
      <w:pPr>
        <w:ind w:left="6560"/>
        <w:spacing w:after="0"/>
        <w:rPr>
          <w:sz w:val="20"/>
          <w:szCs w:val="20"/>
          <w:color w:val="auto"/>
        </w:rPr>
      </w:pPr>
      <w:r>
        <w:rPr>
          <w:rFonts w:ascii="Arial" w:cs="Arial" w:eastAsia="Arial" w:hAnsi="Arial"/>
          <w:sz w:val="14"/>
          <w:szCs w:val="14"/>
          <w:color w:val="auto"/>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-101600</wp:posOffset>
            </wp:positionV>
            <wp:extent cx="26339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4"/>
          <w:szCs w:val="14"/>
          <w:color w:val="auto"/>
        </w:rPr>
        <w:t>President and Chief Financial Officer</w:t>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(Principal Financial and Accounting Officer)</w:t>
      </w:r>
    </w:p>
    <w:p>
      <w:pPr>
        <w:sectPr>
          <w:pgSz w:w="11900" w:h="16838" w:orient="portrait"/>
          <w:cols w:equalWidth="0" w:num="1">
            <w:col w:w="10660"/>
          </w:cols>
          <w:pgMar w:left="320" w:top="730"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2020-12-15T16:28:51Z</dcterms:created>
  <dcterms:modified xsi:type="dcterms:W3CDTF">2020-12-15T16:28:51Z</dcterms:modified>
</cp:coreProperties>
</file>