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12"/>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FORM 8-K</w:t>
      </w:r>
    </w:p>
    <w:p>
      <w:pPr>
        <w:spacing w:after="0" w:line="177"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CURRENT REPORT</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Date of Report (Date of earliest event reported): November 3, 2005</w:t>
      </w:r>
    </w:p>
    <w:p>
      <w:pPr>
        <w:spacing w:after="0" w:line="177" w:lineRule="exact"/>
        <w:rPr>
          <w:sz w:val="24"/>
          <w:szCs w:val="24"/>
          <w:color w:val="auto"/>
        </w:rPr>
      </w:pPr>
    </w:p>
    <w:p>
      <w:pPr>
        <w:jc w:val="center"/>
        <w:ind w:right="2912"/>
        <w:spacing w:after="0"/>
        <w:rPr>
          <w:sz w:val="20"/>
          <w:szCs w:val="20"/>
          <w:color w:val="auto"/>
        </w:rPr>
      </w:pPr>
      <w:r>
        <w:rPr>
          <w:rFonts w:ascii="Courier New" w:cs="Courier New" w:eastAsia="Courier New" w:hAnsi="Courier New"/>
          <w:sz w:val="15"/>
          <w:szCs w:val="15"/>
          <w:color w:val="auto"/>
        </w:rPr>
        <w:t>WYNN RESORTS, LIMITED</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407" w:right="1440" w:bottom="1440" w:gutter="0" w:footer="0" w:header="0"/>
        </w:sectPr>
      </w:pPr>
    </w:p>
    <w:p>
      <w:pPr>
        <w:spacing w:after="0" w:line="177"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Nevada</w:t>
      </w:r>
    </w:p>
    <w:p>
      <w:pPr>
        <w:spacing w:after="0" w:line="3"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(State or other</w:t>
      </w:r>
    </w:p>
    <w:p>
      <w:pPr>
        <w:spacing w:after="0" w:line="4" w:lineRule="exact"/>
        <w:rPr>
          <w:sz w:val="24"/>
          <w:szCs w:val="24"/>
          <w:color w:val="auto"/>
        </w:rPr>
      </w:pPr>
    </w:p>
    <w:p>
      <w:pPr>
        <w:ind w:left="88"/>
        <w:spacing w:after="0"/>
        <w:rPr>
          <w:sz w:val="20"/>
          <w:szCs w:val="20"/>
          <w:color w:val="auto"/>
        </w:rPr>
      </w:pPr>
      <w:r>
        <w:rPr>
          <w:rFonts w:ascii="Courier New" w:cs="Courier New" w:eastAsia="Courier New" w:hAnsi="Courier New"/>
          <w:sz w:val="14"/>
          <w:szCs w:val="14"/>
          <w:color w:val="auto"/>
        </w:rPr>
        <w:t>jurisdiction of incorporation)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000-50028</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46-0484987</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7" w:lineRule="exact"/>
        <w:rPr>
          <w:sz w:val="24"/>
          <w:szCs w:val="24"/>
          <w:color w:val="auto"/>
        </w:rPr>
      </w:pPr>
    </w:p>
    <w:p>
      <w:pPr>
        <w:sectPr>
          <w:pgSz w:w="11900" w:h="16838" w:orient="portrait"/>
          <w:cols w:equalWidth="0" w:num="3">
            <w:col w:w="2788" w:space="460"/>
            <w:col w:w="1180" w:space="720"/>
            <w:col w:w="5079"/>
          </w:cols>
          <w:pgMar w:left="232" w:top="407" w:right="1440" w:bottom="1440" w:gutter="0" w:footer="0" w:header="0"/>
          <w:type w:val="continuous"/>
        </w:sectPr>
      </w:pPr>
    </w:p>
    <w:p>
      <w:pPr>
        <w:jc w:val="center"/>
        <w:ind w:right="2912"/>
        <w:spacing w:after="0"/>
        <w:rPr>
          <w:sz w:val="20"/>
          <w:szCs w:val="20"/>
          <w:color w:val="auto"/>
        </w:rPr>
      </w:pPr>
      <w:r>
        <w:rPr>
          <w:rFonts w:ascii="Courier New" w:cs="Courier New" w:eastAsia="Courier New" w:hAnsi="Courier New"/>
          <w:sz w:val="15"/>
          <w:szCs w:val="15"/>
          <w:color w:val="auto"/>
        </w:rPr>
        <w:t>WYNN LAS VEGAS, LLC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407" w:right="1440" w:bottom="1440" w:gutter="0" w:footer="0" w:header="0"/>
          <w:type w:val="continuous"/>
        </w:sectPr>
      </w:pPr>
    </w:p>
    <w:p>
      <w:pPr>
        <w:spacing w:after="0" w:line="177"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Nevada</w:t>
      </w:r>
    </w:p>
    <w:p>
      <w:pPr>
        <w:spacing w:after="0" w:line="3"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(State or other</w:t>
      </w:r>
    </w:p>
    <w:p>
      <w:pPr>
        <w:spacing w:after="0" w:line="4" w:lineRule="exact"/>
        <w:rPr>
          <w:sz w:val="24"/>
          <w:szCs w:val="24"/>
          <w:color w:val="auto"/>
        </w:rPr>
      </w:pPr>
    </w:p>
    <w:p>
      <w:pPr>
        <w:ind w:left="88"/>
        <w:spacing w:after="0"/>
        <w:rPr>
          <w:sz w:val="20"/>
          <w:szCs w:val="20"/>
          <w:color w:val="auto"/>
        </w:rPr>
      </w:pPr>
      <w:r>
        <w:rPr>
          <w:rFonts w:ascii="Courier New" w:cs="Courier New" w:eastAsia="Courier New" w:hAnsi="Courier New"/>
          <w:sz w:val="14"/>
          <w:szCs w:val="14"/>
          <w:color w:val="auto"/>
        </w:rPr>
        <w:t>jurisdiction of incorporation)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333-98369</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88-0494878</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7" w:lineRule="exact"/>
        <w:rPr>
          <w:sz w:val="24"/>
          <w:szCs w:val="24"/>
          <w:color w:val="auto"/>
        </w:rPr>
      </w:pPr>
    </w:p>
    <w:p>
      <w:pPr>
        <w:sectPr>
          <w:pgSz w:w="11900" w:h="16838" w:orient="portrait"/>
          <w:cols w:equalWidth="0" w:num="3">
            <w:col w:w="2788" w:space="460"/>
            <w:col w:w="1180" w:space="720"/>
            <w:col w:w="5079"/>
          </w:cols>
          <w:pgMar w:left="232" w:top="407" w:right="1440" w:bottom="1440" w:gutter="0" w:footer="0" w:header="0"/>
          <w:type w:val="continuous"/>
        </w:sectPr>
      </w:pPr>
    </w:p>
    <w:p>
      <w:pPr>
        <w:ind w:left="628"/>
        <w:spacing w:after="0"/>
        <w:rPr>
          <w:sz w:val="20"/>
          <w:szCs w:val="20"/>
          <w:color w:val="auto"/>
        </w:rPr>
      </w:pPr>
      <w:r>
        <w:rPr>
          <w:rFonts w:ascii="Courier New" w:cs="Courier New" w:eastAsia="Courier New" w:hAnsi="Courier New"/>
          <w:sz w:val="15"/>
          <w:szCs w:val="15"/>
          <w:color w:val="auto"/>
        </w:rPr>
        <w:t>3131 Las Vegas Boulevard South</w:t>
      </w:r>
    </w:p>
    <w:p>
      <w:pPr>
        <w:spacing w:after="0" w:line="3"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Las Vegas, Nevada</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7" w:lineRule="exact"/>
        <w:rPr>
          <w:sz w:val="24"/>
          <w:szCs w:val="24"/>
          <w:color w:val="auto"/>
        </w:rPr>
      </w:pPr>
    </w:p>
    <w:p>
      <w:pPr>
        <w:sectPr>
          <w:pgSz w:w="11900" w:h="16838" w:orient="portrait"/>
          <w:cols w:equalWidth="0" w:num="2">
            <w:col w:w="5408" w:space="720"/>
            <w:col w:w="4099"/>
          </w:cols>
          <w:pgMar w:left="232" w:top="407" w:right="1440" w:bottom="1440" w:gutter="0" w:footer="0" w:header="0"/>
          <w:type w:val="continuous"/>
        </w:sectPr>
      </w:pPr>
    </w:p>
    <w:p>
      <w:pPr>
        <w:jc w:val="center"/>
        <w:ind w:right="3012"/>
        <w:spacing w:after="0"/>
        <w:rPr>
          <w:sz w:val="20"/>
          <w:szCs w:val="20"/>
          <w:color w:val="auto"/>
        </w:rPr>
      </w:pPr>
      <w:r>
        <w:rPr>
          <w:rFonts w:ascii="Courier New" w:cs="Courier New" w:eastAsia="Courier New" w:hAnsi="Courier New"/>
          <w:sz w:val="15"/>
          <w:szCs w:val="15"/>
          <w:color w:val="auto"/>
        </w:rPr>
        <w:t>(702) 770-7555</w:t>
      </w:r>
    </w:p>
    <w:p>
      <w:pPr>
        <w:spacing w:after="0" w:line="4"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27"/>
          </w:cols>
          <w:pgMar w:left="232" w:top="407" w:right="1440" w:bottom="1440" w:gutter="0" w:footer="0" w:header="0"/>
          <w:type w:val="continuous"/>
        </w:sectPr>
      </w:pPr>
    </w:p>
    <w:p>
      <w:pPr>
        <w:spacing w:after="0" w:line="18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Not Applicable</w:t>
      </w:r>
    </w:p>
    <w:p>
      <w:pPr>
        <w:spacing w:after="0" w:line="3"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178" w:lineRule="exact"/>
        <w:rPr>
          <w:sz w:val="24"/>
          <w:szCs w:val="24"/>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Check the appropriate box below if the Form 8-K is intended to simultaneously satisfy the filing obligation of the registrant under any of the following provisions:</w:t>
      </w:r>
    </w:p>
    <w:p>
      <w:pPr>
        <w:spacing w:after="0" w:line="175" w:lineRule="exact"/>
        <w:rPr>
          <w:sz w:val="24"/>
          <w:szCs w:val="24"/>
          <w:color w:val="auto"/>
        </w:rPr>
      </w:pPr>
    </w:p>
    <w:p>
      <w:pPr>
        <w:ind w:left="368" w:right="3819" w:hanging="368"/>
        <w:spacing w:after="0" w:line="243" w:lineRule="auto"/>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Written communication pursuant to Rule 425 under the Securities Act (17 CFR 230.425)</w:t>
      </w:r>
    </w:p>
    <w:p>
      <w:pPr>
        <w:spacing w:after="0" w:line="176" w:lineRule="exact"/>
        <w:rPr>
          <w:sz w:val="24"/>
          <w:szCs w:val="24"/>
          <w:color w:val="auto"/>
        </w:rPr>
      </w:pPr>
    </w:p>
    <w:p>
      <w:pPr>
        <w:ind w:left="368" w:right="3919" w:hanging="368"/>
        <w:spacing w:after="0" w:line="243" w:lineRule="auto"/>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14a-12 under the Exchange Act (17 CFR 240.14a-12)</w:t>
      </w:r>
    </w:p>
    <w:p>
      <w:pPr>
        <w:spacing w:after="0" w:line="176" w:lineRule="exact"/>
        <w:rPr>
          <w:sz w:val="24"/>
          <w:szCs w:val="24"/>
          <w:color w:val="auto"/>
        </w:rPr>
      </w:pPr>
    </w:p>
    <w:p>
      <w:pPr>
        <w:ind w:left="368" w:right="3819" w:hanging="368"/>
        <w:spacing w:after="0" w:line="243" w:lineRule="auto"/>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Pre-commencement communications pursuant to Rule 14d-2(b) under the Exchange Act (17 CFR 240.14d-2(b))</w:t>
      </w:r>
    </w:p>
    <w:p>
      <w:pPr>
        <w:spacing w:after="0" w:line="176" w:lineRule="exact"/>
        <w:rPr>
          <w:sz w:val="24"/>
          <w:szCs w:val="24"/>
          <w:color w:val="auto"/>
        </w:rPr>
      </w:pPr>
    </w:p>
    <w:p>
      <w:pPr>
        <w:ind w:left="368" w:right="3739" w:hanging="368"/>
        <w:spacing w:after="0" w:line="243" w:lineRule="auto"/>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8"/>
        <w:spacing w:after="0"/>
        <w:tabs>
          <w:tab w:leader="none" w:pos="1607" w:val="left"/>
        </w:tabs>
        <w:rPr>
          <w:sz w:val="20"/>
          <w:szCs w:val="20"/>
          <w:color w:val="auto"/>
        </w:rPr>
      </w:pPr>
      <w:r>
        <w:rPr>
          <w:rFonts w:ascii="Courier New" w:cs="Courier New" w:eastAsia="Courier New" w:hAnsi="Courier New"/>
          <w:sz w:val="15"/>
          <w:szCs w:val="15"/>
          <w:color w:val="auto"/>
        </w:rPr>
        <w:t>Item 2.02</w:t>
      </w:r>
      <w:r>
        <w:rPr>
          <w:sz w:val="20"/>
          <w:szCs w:val="20"/>
          <w:color w:val="auto"/>
        </w:rPr>
        <w:tab/>
      </w:r>
      <w:r>
        <w:rPr>
          <w:rFonts w:ascii="Courier New" w:cs="Courier New" w:eastAsia="Courier New" w:hAnsi="Courier New"/>
          <w:sz w:val="14"/>
          <w:szCs w:val="14"/>
          <w:color w:val="auto"/>
        </w:rPr>
        <w:t>Results of Operations and Financial Condition.</w:t>
      </w:r>
    </w:p>
    <w:p>
      <w:pPr>
        <w:spacing w:after="0" w:line="178" w:lineRule="exact"/>
        <w:rPr>
          <w:sz w:val="24"/>
          <w:szCs w:val="24"/>
          <w:color w:val="auto"/>
        </w:rPr>
      </w:pPr>
    </w:p>
    <w:p>
      <w:pPr>
        <w:ind w:left="8" w:right="3019"/>
        <w:spacing w:after="0" w:line="265" w:lineRule="auto"/>
        <w:rPr>
          <w:sz w:val="20"/>
          <w:szCs w:val="20"/>
          <w:color w:val="auto"/>
        </w:rPr>
      </w:pPr>
      <w:r>
        <w:rPr>
          <w:rFonts w:ascii="Courier New" w:cs="Courier New" w:eastAsia="Courier New" w:hAnsi="Courier New"/>
          <w:sz w:val="14"/>
          <w:szCs w:val="14"/>
          <w:color w:val="auto"/>
        </w:rPr>
        <w:t>On November 3, 2005, Wynn Resorts, Limited issued a press release announcing its results of operations for the third quarter of 2005. The press release is furnished herewith as Exhibit 99.1. The information in this Form 8-K and Exhibit 99.1 attached hereto shall not be deemed "filed" for purposes of Section 18 of the Securities Act of 1934, as amended, nor shall it be deemed incorporated by reference in any filing under the Securities Act of 1933, as amended, except as shall be expressly set forth by specific reference in such filing.</w:t>
      </w:r>
    </w:p>
    <w:p>
      <w:pPr>
        <w:spacing w:after="0" w:line="160" w:lineRule="exact"/>
        <w:rPr>
          <w:sz w:val="24"/>
          <w:szCs w:val="24"/>
          <w:color w:val="auto"/>
        </w:rPr>
      </w:pPr>
    </w:p>
    <w:p>
      <w:pPr>
        <w:ind w:left="8"/>
        <w:spacing w:after="0"/>
        <w:tabs>
          <w:tab w:leader="none" w:pos="1607" w:val="left"/>
        </w:tabs>
        <w:rPr>
          <w:sz w:val="20"/>
          <w:szCs w:val="20"/>
          <w:color w:val="auto"/>
        </w:rPr>
      </w:pPr>
      <w:r>
        <w:rPr>
          <w:rFonts w:ascii="Courier New" w:cs="Courier New" w:eastAsia="Courier New" w:hAnsi="Courier New"/>
          <w:sz w:val="15"/>
          <w:szCs w:val="15"/>
          <w:color w:val="auto"/>
        </w:rPr>
        <w:t>Item 7.01.</w:t>
      </w:r>
      <w:r>
        <w:rPr>
          <w:sz w:val="20"/>
          <w:szCs w:val="20"/>
          <w:color w:val="auto"/>
        </w:rPr>
        <w:tab/>
      </w:r>
      <w:r>
        <w:rPr>
          <w:rFonts w:ascii="Courier New" w:cs="Courier New" w:eastAsia="Courier New" w:hAnsi="Courier New"/>
          <w:sz w:val="14"/>
          <w:szCs w:val="14"/>
          <w:color w:val="auto"/>
        </w:rPr>
        <w:t>Regulation FD Disclosure.</w:t>
      </w:r>
    </w:p>
    <w:p>
      <w:pPr>
        <w:spacing w:after="0" w:line="178" w:lineRule="exact"/>
        <w:rPr>
          <w:sz w:val="24"/>
          <w:szCs w:val="24"/>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The information set forth under Item 2.02 of this report is incorporated herein by reference.</w:t>
      </w:r>
    </w:p>
    <w:p>
      <w:pPr>
        <w:spacing w:after="0" w:line="175" w:lineRule="exact"/>
        <w:rPr>
          <w:sz w:val="24"/>
          <w:szCs w:val="24"/>
          <w:color w:val="auto"/>
        </w:rPr>
      </w:pPr>
    </w:p>
    <w:p>
      <w:pPr>
        <w:ind w:left="8"/>
        <w:spacing w:after="0"/>
        <w:tabs>
          <w:tab w:leader="none" w:pos="1607" w:val="left"/>
        </w:tabs>
        <w:rPr>
          <w:sz w:val="20"/>
          <w:szCs w:val="20"/>
          <w:color w:val="auto"/>
        </w:rPr>
      </w:pPr>
      <w:r>
        <w:rPr>
          <w:rFonts w:ascii="Courier New" w:cs="Courier New" w:eastAsia="Courier New" w:hAnsi="Courier New"/>
          <w:sz w:val="15"/>
          <w:szCs w:val="15"/>
          <w:color w:val="auto"/>
        </w:rPr>
        <w:t>Item 9.01.</w:t>
      </w:r>
      <w:r>
        <w:rPr>
          <w:sz w:val="20"/>
          <w:szCs w:val="20"/>
          <w:color w:val="auto"/>
        </w:rPr>
        <w:tab/>
      </w:r>
      <w:r>
        <w:rPr>
          <w:rFonts w:ascii="Courier New" w:cs="Courier New" w:eastAsia="Courier New" w:hAnsi="Courier New"/>
          <w:sz w:val="14"/>
          <w:szCs w:val="14"/>
          <w:color w:val="auto"/>
        </w:rPr>
        <w:t>Financial Statements and Exhibits.</w:t>
      </w:r>
    </w:p>
    <w:p>
      <w:pPr>
        <w:spacing w:after="0" w:line="177" w:lineRule="exact"/>
        <w:rPr>
          <w:sz w:val="24"/>
          <w:szCs w:val="24"/>
          <w:color w:val="auto"/>
        </w:rPr>
      </w:pPr>
    </w:p>
    <w:p>
      <w:pPr>
        <w:ind w:left="1628" w:hanging="906"/>
        <w:spacing w:after="0"/>
        <w:tabs>
          <w:tab w:leader="none" w:pos="162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6"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NumberDescription</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left="2788" w:right="3279" w:hanging="991"/>
        <w:spacing w:after="0" w:line="243" w:lineRule="auto"/>
        <w:tabs>
          <w:tab w:leader="none" w:pos="2767"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Press release, dated November 3, 2005, of Wynn Resorts, Limited.</w:t>
      </w:r>
    </w:p>
    <w:p>
      <w:pPr>
        <w:sectPr>
          <w:pgSz w:w="11900" w:h="16838" w:orient="portrait"/>
          <w:cols w:equalWidth="0" w:num="1">
            <w:col w:w="10227"/>
          </w:cols>
          <w:pgMar w:left="232" w:top="407" w:right="1440" w:bottom="1440" w:gutter="0" w:footer="0" w:header="0"/>
          <w:type w:val="continuous"/>
        </w:sectPr>
      </w:pPr>
    </w:p>
    <w:bookmarkStart w:id="1" w:name="page2"/>
    <w:bookmarkEnd w:id="1"/>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November 3, 2005</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Wynn Resorts, Limited</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John Strzemp</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John Strzemp</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10219"/>
          </w:cols>
          <w:pgMar w:left="240" w:top="638" w:right="1440" w:bottom="1440"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November 3, 2005</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WYNN LAS VEGAS, LLC</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Wynn Resorts Holdings, LLC, its</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sole member</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Wynn Resorts, Limited, its sole</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member</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John Strzemp</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John Strzemp</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10219"/>
          </w:cols>
          <w:pgMar w:left="240" w:top="638" w:right="1440" w:bottom="1440" w:gutter="0" w:footer="0" w:header="0"/>
        </w:sectPr>
      </w:pPr>
    </w:p>
    <w:bookmarkStart w:id="3" w:name="page4"/>
    <w:bookmarkEnd w:id="3"/>
    <w:p>
      <w:pPr>
        <w:ind w:left="1260"/>
        <w:spacing w:after="0"/>
        <w:rPr>
          <w:sz w:val="20"/>
          <w:szCs w:val="20"/>
          <w:color w:val="auto"/>
        </w:rPr>
      </w:pPr>
      <w:r>
        <w:rPr>
          <w:rFonts w:ascii="Courier New" w:cs="Courier New" w:eastAsia="Courier New" w:hAnsi="Courier New"/>
          <w:sz w:val="15"/>
          <w:szCs w:val="15"/>
          <w:color w:val="auto"/>
        </w:rPr>
        <w:t>Wynn Resorts, Limited Reports Third Quarter Results</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Wynn Las Vegas generates EBITDA of $73.2 million in</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its first full quarter of operations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LAS VEGAS, November 8, 2005 (BUSINESS WIRE) -- Wynn Resorts, Limited (Nasdaq: WYNN) today reported financial results for the third quarter ended September 30, 2005.</w:t>
      </w:r>
    </w:p>
    <w:p>
      <w:pPr>
        <w:spacing w:after="0" w:line="175"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Net Revenues for the quarter were $251.4 million and adjusted net loss (excluding $13.2 million in pre-opening expenses and property charges for Wynn Las Vegas, Wynn Macau and Encore) was $1.0 million, or $0.01 per diluted share (adjusted EPS) (1). On a US GAAP (Generally Accepted Accounting Principles) basis, net loss was $14.2 million, or a net loss of $0.14 per diluted share.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Wynn Las Vegas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Net gaming revenues in the third quarter of 2005 were $123.0 million. Table games drop was $414.6 million, with win per table per day (before discounts) of $7,321 for the period. Table games win percentage was 21.9%, which is within the property's expected range of 18% to 22%. Slot machine win per unit per day was $251 on handle (volume) of $897.1 million.</w:t>
      </w:r>
    </w:p>
    <w:p>
      <w:pPr>
        <w:spacing w:after="0" w:line="177"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Gross non-gaming revenues for the period were $164.7 million and net non-gaming revenues were $128.4 million. Wynn Las Vegas' room revenues were $61.4 million. Average daily rate (ADR) was $264 and occupancy was 93%, generating revenue per available room (REVPAR) of $246 for the period. The food and beverage, retail and entertainment operations generated gross revenues of $61.2 million, $16.9 million and $14.0 respectively.</w:t>
      </w:r>
    </w:p>
    <w:p>
      <w:pPr>
        <w:spacing w:after="0" w:line="177"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In the 156 days since its April 28th opening, Wynn Las Vegas has generated property EBITDA of $131.9 million. For the quarter ended September 30, 2005, Wynn Las Vegas generated adjusted EBITDA (2) of $73.2 million during the quarter, representing a 29.1% margin on net revenues. Operating efficiencies continue to improve as our number of full time equivalent employees has decreased from an average of 9,600 in the second quarter to an average of 8,200 in the third quarter.</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On August 27, 2005, Avenue Q, the 2004 Tony Award winning musical, opened at Wynn Las Vegas. Avenue Q is currently performing ten shows per week in our Broadway Theater. Performance of our Le Reve show has improved and we have increased the number of weekly performances for Le Reve from five at opening to six in June. Beginning October 1st, Le Reve started performing ten times per week in our Wynn Theater.</w:t>
      </w:r>
    </w:p>
    <w:p>
      <w:pPr>
        <w:spacing w:after="0" w:line="177" w:lineRule="exact"/>
        <w:rPr>
          <w:sz w:val="20"/>
          <w:szCs w:val="20"/>
          <w:color w:val="auto"/>
        </w:rPr>
      </w:pPr>
    </w:p>
    <w:p>
      <w:pPr>
        <w:ind w:right="3199"/>
        <w:spacing w:after="0" w:line="265" w:lineRule="auto"/>
        <w:rPr>
          <w:sz w:val="20"/>
          <w:szCs w:val="20"/>
          <w:color w:val="auto"/>
        </w:rPr>
      </w:pPr>
      <w:r>
        <w:rPr>
          <w:rFonts w:ascii="Courier New" w:cs="Courier New" w:eastAsia="Courier New" w:hAnsi="Courier New"/>
          <w:sz w:val="14"/>
          <w:szCs w:val="14"/>
          <w:color w:val="auto"/>
        </w:rPr>
        <w:t>Steve Wynn, Chairman and Chief Executive Officer of Wynn Resorts commented, "Our property's performance in the past six months is a source of gratification for all of us, and all the credit goes to the employees of Wynn Las Vegas who have managed the challenge of opening that very special property and revealing the beginning of its extraordinary potential. We continue the intense planning of the development of our enormous real estate assembly in the center of Las Vegas and the preparation of Wynn Macau's opening. "</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Wynn Macau</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 June 2004, the Company broke ground on Wynn Macau, its destination casino resort in Macau, China. The first phase of the project will utilize approximately 11 of a total site area of 16 acres of land and includes 600 hotel rooms and suites, approximately 100,000 square feet of casino gaming space, seven restaurants, approximately 26,000 square feet of retail space, a spa, a salon, entertainment lounges and meeting facilities. We expect the first phase to open to the public in the third quarter of 2006. The second phase will include an additional 92,000 square feet of casino space, a restaurant, a theater, and a dramatic front feature attraction. The second phase will be built on the remaining five acres of the Wynn Macau site and will be integrated into the first phase of Wynn Macau. The second phase is expected to be completed and open to the public by the third quarter of 2007.</w:t>
      </w:r>
    </w:p>
    <w:p>
      <w:pPr>
        <w:spacing w:after="0" w:line="18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Construction of Wynn Macau is progressing on schedule and within budget. The building is topped off and the curtain wall and the placement of roof steel are nearly complete. Work relating to excavation and footings of the second phase has begun, and that work is progressing as planned. As of September 30, 2005, the Company had funded approximately $308.6 million of a total project budget of approximately $1.1 billion, with approximately $777.0 million to be spent to complete Wynn Macau.</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On September 14, 2005, the Company announced the completion of an increase and amendment of Wynn Resorts (Macau) SA's senior secured financing to include financing for the second phase of Wynn Macau. The senior secured financing for the project was increased from US$397 to US$764 million. The new financing is comprised of US$729 million of term loan facilities, a HK$156 million (approximately US$20 million) term loan facility, and a HK$117 million (approximately US$15 million) revolving credit facility. The term loan facilities mature in September 2011, with the revolving credit facility maturing in September 2007.</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Encore at Wynn Las Vegas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We continue to evaluate Encore as part of our overall master plan for the Company's substantial real estate holdings on the Las Vegas Strip. As a result, the Company has refined Encore to feature an approximately 2,000-room hotel tower consisting of approximately 150 suites and 1,850 guest rooms, fully integrated with Wynn Las Vegas. Encore also is expected to include additional casino space, entertainment venues, restaurants, nightclubs, swimming pools, a spa and salon, convention and meeting space, and retail</w:t>
      </w:r>
    </w:p>
    <w:p>
      <w:pPr>
        <w:sectPr>
          <w:pgSz w:w="11900" w:h="16838" w:orient="portrait"/>
          <w:cols w:equalWidth="0" w:num="1">
            <w:col w:w="10219"/>
          </w:cols>
          <w:pgMar w:left="240" w:top="141" w:right="1440" w:bottom="0" w:gutter="0" w:footer="0" w:header="0"/>
        </w:sectPr>
      </w:pPr>
    </w:p>
    <w:bookmarkStart w:id="4" w:name="page5"/>
    <w:bookmarkEnd w:id="4"/>
    <w:p>
      <w:pPr>
        <w:ind w:left="8" w:right="3199"/>
        <w:spacing w:after="0" w:line="244" w:lineRule="auto"/>
        <w:rPr>
          <w:sz w:val="20"/>
          <w:szCs w:val="20"/>
          <w:color w:val="auto"/>
        </w:rPr>
      </w:pPr>
      <w:r>
        <w:rPr>
          <w:rFonts w:ascii="Courier New" w:cs="Courier New" w:eastAsia="Courier New" w:hAnsi="Courier New"/>
          <w:sz w:val="15"/>
          <w:szCs w:val="15"/>
          <w:color w:val="auto"/>
        </w:rPr>
        <w:t>outlets. Once the Company has finalized the budget and plans for Encore, it will seek the necessary approvals from its Board of Directors and lenders. The Company expects Encore to open in the second half of 2008.</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Factors Affecting Earnings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Interest expense, net of $3.3 million in capitalized interest, was $34.9 million for the third quarter of 2005. Depreciation and amortization expenses were $37.9 million, and pre-opening expenses, primarily related to Wynn Macau, totaled $7.1 million during the quarter. Corporate expense in the period was $8.5 million.</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Balance Sheet and Capital Expenditures</w:t>
      </w:r>
    </w:p>
    <w:p>
      <w:pPr>
        <w:spacing w:after="0" w:line="351"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Total cash balance at the end of the quarter was $989.9 million, including unrestricted cash balances of $552.9 million and restricted cash balances of $437.0 million. Total debt outstanding at the end of the quarter was $2.1 billion including $250 million of Convertible Debentures. Capital expenditures, net of changes in construction payables and retention, during the third quarter of 2005 totaled $179.7 million, of which $56.6 million was related to Wynn Macau.</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Conference Call Information</w:t>
      </w:r>
    </w:p>
    <w:p>
      <w:pPr>
        <w:spacing w:after="0" w:line="351"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The company will hold a conference call to discuss the Company's results on Thursday, November 3, 2005 at 7:30 a.m. PT (10:30 a.m. ET). Interested parties are invited to join the call by accessing a live audio webcast at http://www.wynnresorts.com (Investor Relations).</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Forward-looking Statements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are included in the Company's Annual Report on Form 10-K for the year ended December 31, 2004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1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Non-GAAP financial measures:</w:t>
      </w:r>
    </w:p>
    <w:p>
      <w:pPr>
        <w:spacing w:after="0" w:line="178" w:lineRule="exact"/>
        <w:rPr>
          <w:sz w:val="20"/>
          <w:szCs w:val="20"/>
          <w:color w:val="auto"/>
        </w:rPr>
      </w:pPr>
    </w:p>
    <w:p>
      <w:pPr>
        <w:ind w:left="808" w:right="3199" w:hanging="808"/>
        <w:spacing w:after="0" w:line="244" w:lineRule="auto"/>
        <w:tabs>
          <w:tab w:leader="none" w:pos="80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earnings and adjusted EPS are presented exclusively as a supplemental disclosure because management believes that these financial measures are widely used to measure the performance, and as a principal basis for valuation, of gaming companies. These measure are considered by many to be a better indicator on which to base expectations of future results than income computed in accordance with generally accepted accounting principles ("GAAP"). Reconciliations of net loss and net loss per share to adjusted earnings and adjusted EPS per share are included in the financial schedules accompanying this release.</w:t>
      </w:r>
    </w:p>
    <w:p>
      <w:pPr>
        <w:spacing w:after="0" w:line="179" w:lineRule="exact"/>
        <w:rPr>
          <w:rFonts w:ascii="Courier New" w:cs="Courier New" w:eastAsia="Courier New" w:hAnsi="Courier New"/>
          <w:sz w:val="15"/>
          <w:szCs w:val="15"/>
          <w:color w:val="auto"/>
        </w:rPr>
      </w:pPr>
    </w:p>
    <w:p>
      <w:pPr>
        <w:ind w:left="808" w:right="3279" w:hanging="808"/>
        <w:spacing w:after="0" w:line="244" w:lineRule="auto"/>
        <w:tabs>
          <w:tab w:leader="none" w:pos="80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EBITDA is earnings before interest, taxes, depreciation, amortization, pre-opening, property charges and corporate expenses, losses on sales of assets, losses from incidental operations, and other non operating income and expenses. Management uses adjusted EBITDA as the primary measure of the operating performance of Wynn Las Vegas and to compare the operating performance of its properties with those of its competitors.</w:t>
      </w:r>
    </w:p>
    <w:p>
      <w:pPr>
        <w:spacing w:after="0" w:line="177" w:lineRule="exact"/>
        <w:rPr>
          <w:rFonts w:ascii="Courier New" w:cs="Courier New" w:eastAsia="Courier New" w:hAnsi="Courier New"/>
          <w:sz w:val="15"/>
          <w:szCs w:val="15"/>
          <w:color w:val="auto"/>
        </w:rPr>
      </w:pPr>
    </w:p>
    <w:p>
      <w:pPr>
        <w:ind w:left="808" w:right="345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information should not be considered as an alternative to any measure of performance as promulgated under accounting principles generally accepted in the United States, such as operating income, net income, or net cash provided by operating activities.</w:t>
      </w:r>
    </w:p>
    <w:p>
      <w:pPr>
        <w:spacing w:after="0" w:line="175" w:lineRule="exact"/>
        <w:rPr>
          <w:rFonts w:ascii="Courier New" w:cs="Courier New" w:eastAsia="Courier New" w:hAnsi="Courier New"/>
          <w:sz w:val="15"/>
          <w:szCs w:val="15"/>
          <w:color w:val="auto"/>
        </w:rPr>
      </w:pPr>
    </w:p>
    <w:p>
      <w:pPr>
        <w:ind w:left="808"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Wynn Resorts' calculation of adjusted earnings, adjusted EPS and adjusted EBITDA may be different from the calculation methods used by other companies and, therefore, comparability may be limited. The company has included schedules in the tables that accompany this release that: (1) reconcile EBITDA to operating income and net income; and (2) reconcile net income to adjusted net income.</w:t>
      </w:r>
    </w:p>
    <w:p>
      <w:pPr>
        <w:sectPr>
          <w:pgSz w:w="11900" w:h="16838" w:orient="portrait"/>
          <w:cols w:equalWidth="0" w:num="1">
            <w:col w:w="10227"/>
          </w:cols>
          <w:pgMar w:left="232" w:top="141" w:right="1440" w:bottom="1440" w:gutter="0" w:footer="0" w:header="0"/>
        </w:sectPr>
      </w:pPr>
    </w:p>
    <w:bookmarkStart w:id="5" w:name="page6"/>
    <w:bookmarkEnd w:id="5"/>
    <w:p>
      <w:pPr>
        <w:jc w:val="center"/>
        <w:ind w:right="540"/>
        <w:spacing w:after="0"/>
        <w:rPr>
          <w:sz w:val="20"/>
          <w:szCs w:val="20"/>
          <w:color w:val="auto"/>
        </w:rPr>
      </w:pPr>
      <w:r>
        <w:rPr>
          <w:rFonts w:ascii="Courier New" w:cs="Courier New" w:eastAsia="Courier New" w:hAnsi="Courier New"/>
          <w:sz w:val="15"/>
          <w:szCs w:val="15"/>
          <w:color w:val="auto"/>
        </w:rPr>
        <w:t>WYNN RESORTS, LIMITED AND SUBSIDIARIES</w:t>
      </w:r>
    </w:p>
    <w:p>
      <w:pPr>
        <w:spacing w:after="0" w:line="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(In thousands, except share and per share data)</w:t>
      </w:r>
    </w:p>
    <w:p>
      <w:pPr>
        <w:spacing w:after="0" w:line="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80" w:type="dxa"/>
            <w:vAlign w:val="bottom"/>
            <w:gridSpan w:val="3"/>
          </w:tcPr>
          <w:p>
            <w:pPr>
              <w:jc w:val="right"/>
              <w:ind w:right="905"/>
              <w:spacing w:after="0"/>
              <w:rPr>
                <w:sz w:val="20"/>
                <w:szCs w:val="20"/>
                <w:color w:val="auto"/>
              </w:rPr>
            </w:pPr>
            <w:r>
              <w:rPr>
                <w:rFonts w:ascii="Courier New" w:cs="Courier New" w:eastAsia="Courier New" w:hAnsi="Courier New"/>
                <w:sz w:val="15"/>
                <w:szCs w:val="15"/>
                <w:color w:val="auto"/>
              </w:rPr>
              <w:t>Three Months Ended</w:t>
            </w:r>
          </w:p>
        </w:tc>
        <w:tc>
          <w:tcPr>
            <w:tcW w:w="500" w:type="dxa"/>
            <w:vAlign w:val="bottom"/>
          </w:tcPr>
          <w:p>
            <w:pPr>
              <w:spacing w:after="0"/>
              <w:rPr>
                <w:sz w:val="14"/>
                <w:szCs w:val="14"/>
                <w:color w:val="auto"/>
              </w:rPr>
            </w:pPr>
          </w:p>
        </w:tc>
        <w:tc>
          <w:tcPr>
            <w:tcW w:w="2920" w:type="dxa"/>
            <w:vAlign w:val="bottom"/>
            <w:gridSpan w:val="3"/>
          </w:tcPr>
          <w:p>
            <w:pPr>
              <w:jc w:val="right"/>
              <w:ind w:right="80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4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80" w:type="dxa"/>
            <w:vAlign w:val="bottom"/>
            <w:gridSpan w:val="3"/>
          </w:tcPr>
          <w:p>
            <w:pPr>
              <w:jc w:val="right"/>
              <w:ind w:right="1085"/>
              <w:spacing w:after="0"/>
              <w:rPr>
                <w:sz w:val="20"/>
                <w:szCs w:val="20"/>
                <w:color w:val="auto"/>
              </w:rPr>
            </w:pPr>
            <w:r>
              <w:rPr>
                <w:rFonts w:ascii="Courier New" w:cs="Courier New" w:eastAsia="Courier New" w:hAnsi="Courier New"/>
                <w:sz w:val="15"/>
                <w:szCs w:val="15"/>
                <w:color w:val="auto"/>
              </w:rPr>
              <w:t>September 30,</w:t>
            </w:r>
          </w:p>
        </w:tc>
        <w:tc>
          <w:tcPr>
            <w:tcW w:w="500" w:type="dxa"/>
            <w:vAlign w:val="bottom"/>
          </w:tcPr>
          <w:p>
            <w:pPr>
              <w:spacing w:after="0"/>
              <w:rPr>
                <w:sz w:val="15"/>
                <w:szCs w:val="15"/>
                <w:color w:val="auto"/>
              </w:rPr>
            </w:pPr>
          </w:p>
        </w:tc>
        <w:tc>
          <w:tcPr>
            <w:tcW w:w="2920" w:type="dxa"/>
            <w:vAlign w:val="bottom"/>
            <w:gridSpan w:val="3"/>
          </w:tcPr>
          <w:p>
            <w:pPr>
              <w:jc w:val="right"/>
              <w:ind w:right="98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0"/>
                <w:szCs w:val="10"/>
                <w:color w:val="auto"/>
                <w:w w:val="73"/>
              </w:rPr>
              <w:t>-----------------------------------</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2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4"/>
              </w:rPr>
              <w:t>2005</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2004</w:t>
            </w:r>
          </w:p>
        </w:tc>
        <w:tc>
          <w:tcPr>
            <w:tcW w:w="500" w:type="dxa"/>
            <w:vAlign w:val="bottom"/>
          </w:tcPr>
          <w:p>
            <w:pPr>
              <w:spacing w:after="0"/>
              <w:rPr>
                <w:sz w:val="15"/>
                <w:szCs w:val="15"/>
                <w:color w:val="auto"/>
              </w:rPr>
            </w:pPr>
          </w:p>
        </w:tc>
        <w:tc>
          <w:tcPr>
            <w:tcW w:w="14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2005</w:t>
            </w:r>
          </w:p>
        </w:tc>
        <w:tc>
          <w:tcPr>
            <w:tcW w:w="280" w:type="dxa"/>
            <w:vAlign w:val="bottom"/>
          </w:tcPr>
          <w:p>
            <w:pPr>
              <w:spacing w:after="0"/>
              <w:rPr>
                <w:sz w:val="15"/>
                <w:szCs w:val="15"/>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2004</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520"/>
        </w:trPr>
        <w:tc>
          <w:tcPr>
            <w:tcW w:w="4540" w:type="dxa"/>
            <w:vAlign w:val="bottom"/>
          </w:tcPr>
          <w:p>
            <w:pPr>
              <w:spacing w:after="0"/>
              <w:rPr>
                <w:sz w:val="20"/>
                <w:szCs w:val="20"/>
                <w:color w:val="auto"/>
              </w:rPr>
            </w:pPr>
            <w:r>
              <w:rPr>
                <w:rFonts w:ascii="Courier New" w:cs="Courier New" w:eastAsia="Courier New" w:hAnsi="Courier New"/>
                <w:sz w:val="15"/>
                <w:szCs w:val="15"/>
                <w:color w:val="auto"/>
              </w:rPr>
              <w:t>Casino.......................................</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123,049</w:t>
            </w:r>
          </w:p>
        </w:tc>
        <w:tc>
          <w:tcPr>
            <w:tcW w:w="3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221,764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Rooms........................................</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61,393</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106,026</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Food and beverage............................</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61,211</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109,266</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Entertainment, retail and other..............</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42,057</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76,716</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195</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Gross revenues..........................</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287,710</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513,772</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195</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Less promotional allowances..................</w:t>
            </w:r>
          </w:p>
        </w:tc>
        <w:tc>
          <w:tcPr>
            <w:tcW w:w="6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(36,269)</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(61,203)</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Net revenues............................</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251,441</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452,569</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195</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Casino.......................................</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53,388</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95,668</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Rooms........................................</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16,120</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27,900</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Food and beverage............................</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42,477</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76,184</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Entertainment, retail and other..............</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28,699</w:t>
            </w:r>
          </w:p>
        </w:tc>
        <w:tc>
          <w:tcPr>
            <w:tcW w:w="360" w:type="dxa"/>
            <w:vAlign w:val="bottom"/>
          </w:tcPr>
          <w:p>
            <w:pPr>
              <w:spacing w:after="0"/>
              <w:rPr>
                <w:sz w:val="15"/>
                <w:szCs w:val="15"/>
                <w:color w:val="auto"/>
              </w:rPr>
            </w:pP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48,966</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68</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44,814</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75,827</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297</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Provision for doubtful accounts..............</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2,043</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10,642</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Pre-opening costs............................</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7,147</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21,525</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88,616</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52,543</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37,886</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1,904</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67,505</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3,727</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Property charges and other...................</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6,052</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788</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6,161</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1,300</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Total operating costs and expenses......</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238,626</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24,215</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497,469</w:t>
            </w:r>
          </w:p>
        </w:tc>
        <w:tc>
          <w:tcPr>
            <w:tcW w:w="280" w:type="dxa"/>
            <w:vAlign w:val="bottom"/>
          </w:tcPr>
          <w:p>
            <w:pPr>
              <w:spacing w:after="0"/>
              <w:rPr>
                <w:sz w:val="15"/>
                <w:szCs w:val="15"/>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57,935</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Equity in income from unconsolidated affiliates.</w:t>
            </w:r>
          </w:p>
        </w:tc>
        <w:tc>
          <w:tcPr>
            <w:tcW w:w="680" w:type="dxa"/>
            <w:vAlign w:val="bottom"/>
          </w:tcPr>
          <w:p>
            <w:pPr>
              <w:spacing w:after="0"/>
              <w:rPr>
                <w:sz w:val="24"/>
                <w:szCs w:val="24"/>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463</w:t>
            </w:r>
          </w:p>
        </w:tc>
        <w:tc>
          <w:tcPr>
            <w:tcW w:w="360" w:type="dxa"/>
            <w:vAlign w:val="bottom"/>
          </w:tcPr>
          <w:p>
            <w:pPr>
              <w:spacing w:after="0"/>
              <w:rPr>
                <w:sz w:val="24"/>
                <w:szCs w:val="24"/>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714</w:t>
            </w:r>
          </w:p>
        </w:tc>
        <w:tc>
          <w:tcPr>
            <w:tcW w:w="280" w:type="dxa"/>
            <w:vAlign w:val="bottom"/>
          </w:tcPr>
          <w:p>
            <w:pPr>
              <w:spacing w:after="0"/>
              <w:rPr>
                <w:sz w:val="24"/>
                <w:szCs w:val="2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680" w:type="dxa"/>
            <w:vAlign w:val="bottom"/>
          </w:tcPr>
          <w:p>
            <w:pPr>
              <w:spacing w:after="0"/>
              <w:rPr>
                <w:sz w:val="24"/>
                <w:szCs w:val="24"/>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13,278</w:t>
            </w:r>
          </w:p>
        </w:tc>
        <w:tc>
          <w:tcPr>
            <w:tcW w:w="360" w:type="dxa"/>
            <w:vAlign w:val="bottom"/>
          </w:tcPr>
          <w:p>
            <w:pPr>
              <w:spacing w:after="0"/>
              <w:rPr>
                <w:sz w:val="24"/>
                <w:szCs w:val="24"/>
                <w:color w:val="auto"/>
              </w:rPr>
            </w:pP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(24,214)</w:t>
            </w:r>
          </w:p>
        </w:tc>
        <w:tc>
          <w:tcPr>
            <w:tcW w:w="500" w:type="dxa"/>
            <w:vAlign w:val="bottom"/>
          </w:tcPr>
          <w:p>
            <w:pPr>
              <w:spacing w:after="0"/>
              <w:rPr>
                <w:sz w:val="24"/>
                <w:szCs w:val="24"/>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(44,186)</w:t>
            </w:r>
          </w:p>
        </w:tc>
        <w:tc>
          <w:tcPr>
            <w:tcW w:w="280" w:type="dxa"/>
            <w:vAlign w:val="bottom"/>
          </w:tcPr>
          <w:p>
            <w:pPr>
              <w:spacing w:after="0"/>
              <w:rPr>
                <w:sz w:val="24"/>
                <w:szCs w:val="2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(57,740)</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Other income/(expense):</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680" w:type="dxa"/>
            <w:vAlign w:val="bottom"/>
          </w:tcPr>
          <w:p>
            <w:pPr>
              <w:spacing w:after="0"/>
              <w:rPr>
                <w:sz w:val="24"/>
                <w:szCs w:val="24"/>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7,467</w:t>
            </w:r>
          </w:p>
        </w:tc>
        <w:tc>
          <w:tcPr>
            <w:tcW w:w="360" w:type="dxa"/>
            <w:vAlign w:val="bottom"/>
          </w:tcPr>
          <w:p>
            <w:pPr>
              <w:spacing w:after="0"/>
              <w:rPr>
                <w:sz w:val="24"/>
                <w:szCs w:val="24"/>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1,844</w:t>
            </w:r>
          </w:p>
        </w:tc>
        <w:tc>
          <w:tcPr>
            <w:tcW w:w="500" w:type="dxa"/>
            <w:vAlign w:val="bottom"/>
          </w:tcPr>
          <w:p>
            <w:pPr>
              <w:spacing w:after="0"/>
              <w:rPr>
                <w:sz w:val="24"/>
                <w:szCs w:val="2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20,632</w:t>
            </w:r>
          </w:p>
        </w:tc>
        <w:tc>
          <w:tcPr>
            <w:tcW w:w="280" w:type="dxa"/>
            <w:vAlign w:val="bottom"/>
          </w:tcPr>
          <w:p>
            <w:pPr>
              <w:spacing w:after="0"/>
              <w:rPr>
                <w:sz w:val="24"/>
                <w:szCs w:val="2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4,975</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6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(34,935)</w:t>
            </w:r>
          </w:p>
        </w:tc>
        <w:tc>
          <w:tcPr>
            <w:tcW w:w="360" w:type="dxa"/>
            <w:vAlign w:val="bottom"/>
          </w:tcPr>
          <w:p>
            <w:pPr>
              <w:spacing w:after="0"/>
              <w:rPr>
                <w:sz w:val="15"/>
                <w:szCs w:val="15"/>
                <w:color w:val="auto"/>
              </w:rPr>
            </w:pP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(336)</w:t>
            </w:r>
          </w:p>
        </w:tc>
        <w:tc>
          <w:tcPr>
            <w:tcW w:w="500" w:type="dxa"/>
            <w:vAlign w:val="bottom"/>
          </w:tcPr>
          <w:p>
            <w:pPr>
              <w:spacing w:after="0"/>
              <w:rPr>
                <w:sz w:val="15"/>
                <w:szCs w:val="15"/>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(63,425)</w:t>
            </w:r>
          </w:p>
        </w:tc>
        <w:tc>
          <w:tcPr>
            <w:tcW w:w="280" w:type="dxa"/>
            <w:vAlign w:val="bottom"/>
          </w:tcPr>
          <w:p>
            <w:pPr>
              <w:spacing w:after="0"/>
              <w:rPr>
                <w:sz w:val="15"/>
                <w:szCs w:val="15"/>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(533)</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Loss on early extinguishment of debt.........</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(25,628)</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Other income (expense), net.............</w:t>
            </w:r>
          </w:p>
        </w:tc>
        <w:tc>
          <w:tcPr>
            <w:tcW w:w="6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(27,468)</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1,508</w:t>
            </w:r>
          </w:p>
        </w:tc>
        <w:tc>
          <w:tcPr>
            <w:tcW w:w="500" w:type="dxa"/>
            <w:vAlign w:val="bottom"/>
          </w:tcPr>
          <w:p>
            <w:pPr>
              <w:spacing w:after="0"/>
              <w:rPr>
                <w:sz w:val="15"/>
                <w:szCs w:val="15"/>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(42,793)</w:t>
            </w:r>
          </w:p>
        </w:tc>
        <w:tc>
          <w:tcPr>
            <w:tcW w:w="280" w:type="dxa"/>
            <w:vAlign w:val="bottom"/>
          </w:tcPr>
          <w:p>
            <w:pPr>
              <w:spacing w:after="0"/>
              <w:rPr>
                <w:sz w:val="15"/>
                <w:szCs w:val="15"/>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(21,186)</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680" w:type="dxa"/>
            <w:vAlign w:val="bottom"/>
          </w:tcPr>
          <w:p>
            <w:pPr>
              <w:spacing w:after="0"/>
              <w:rPr>
                <w:sz w:val="24"/>
                <w:szCs w:val="24"/>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1,054</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68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(14,190)</w:t>
            </w:r>
          </w:p>
        </w:tc>
        <w:tc>
          <w:tcPr>
            <w:tcW w:w="360" w:type="dxa"/>
            <w:vAlign w:val="bottom"/>
          </w:tcPr>
          <w:p>
            <w:pPr>
              <w:spacing w:after="0"/>
              <w:rPr>
                <w:sz w:val="24"/>
                <w:szCs w:val="24"/>
                <w:color w:val="auto"/>
              </w:rPr>
            </w:pP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(22,706)</w:t>
            </w:r>
          </w:p>
        </w:tc>
        <w:tc>
          <w:tcPr>
            <w:tcW w:w="500" w:type="dxa"/>
            <w:vAlign w:val="bottom"/>
          </w:tcPr>
          <w:p>
            <w:pPr>
              <w:spacing w:after="0"/>
              <w:rPr>
                <w:sz w:val="24"/>
                <w:szCs w:val="24"/>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(86,979)</w:t>
            </w:r>
          </w:p>
        </w:tc>
        <w:tc>
          <w:tcPr>
            <w:tcW w:w="280" w:type="dxa"/>
            <w:vAlign w:val="bottom"/>
          </w:tcPr>
          <w:p>
            <w:pPr>
              <w:spacing w:after="0"/>
              <w:rPr>
                <w:sz w:val="24"/>
                <w:szCs w:val="2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(77,872)</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Change in fair value of interest rate swaps.....</w:t>
            </w:r>
          </w:p>
        </w:tc>
        <w:tc>
          <w:tcPr>
            <w:tcW w:w="680" w:type="dxa"/>
            <w:vAlign w:val="bottom"/>
          </w:tcPr>
          <w:p>
            <w:pPr>
              <w:spacing w:after="0"/>
              <w:rPr>
                <w:sz w:val="24"/>
                <w:szCs w:val="24"/>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6,146</w:t>
            </w:r>
          </w:p>
        </w:tc>
        <w:tc>
          <w:tcPr>
            <w:tcW w:w="360" w:type="dxa"/>
            <w:vAlign w:val="bottom"/>
          </w:tcPr>
          <w:p>
            <w:pPr>
              <w:spacing w:after="0"/>
              <w:rPr>
                <w:sz w:val="24"/>
                <w:szCs w:val="24"/>
                <w:color w:val="auto"/>
              </w:rPr>
            </w:pP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(8,925)</w:t>
            </w:r>
          </w:p>
        </w:tc>
        <w:tc>
          <w:tcPr>
            <w:tcW w:w="500" w:type="dxa"/>
            <w:vAlign w:val="bottom"/>
          </w:tcPr>
          <w:p>
            <w:pPr>
              <w:spacing w:after="0"/>
              <w:rPr>
                <w:sz w:val="24"/>
                <w:szCs w:val="2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8,033</w:t>
            </w:r>
          </w:p>
        </w:tc>
        <w:tc>
          <w:tcPr>
            <w:tcW w:w="280" w:type="dxa"/>
            <w:vAlign w:val="bottom"/>
          </w:tcPr>
          <w:p>
            <w:pPr>
              <w:spacing w:after="0"/>
              <w:rPr>
                <w:sz w:val="24"/>
                <w:szCs w:val="2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(2,938)</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(8,044)</w:t>
            </w:r>
          </w:p>
        </w:tc>
        <w:tc>
          <w:tcPr>
            <w:tcW w:w="17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 (31,631)</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(78,946)</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(80,810)</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Basic and diluted earnings per common share:</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Basic....................................</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(0.14)</w:t>
            </w:r>
          </w:p>
        </w:tc>
        <w:tc>
          <w:tcPr>
            <w:tcW w:w="3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(0.26)</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(0.89)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(0.92)</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(0.14)</w:t>
            </w:r>
          </w:p>
        </w:tc>
        <w:tc>
          <w:tcPr>
            <w:tcW w:w="3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(0.26)</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(0.89)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(0.92)</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shares outstanding:</w:t>
            </w: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3"/>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Basic......................................</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98,472</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88,063</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98,245</w:t>
            </w:r>
          </w:p>
        </w:tc>
        <w:tc>
          <w:tcPr>
            <w:tcW w:w="280" w:type="dxa"/>
            <w:vAlign w:val="bottom"/>
          </w:tcPr>
          <w:p>
            <w:pPr>
              <w:spacing w:after="0"/>
              <w:rPr>
                <w:sz w:val="15"/>
                <w:szCs w:val="15"/>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84,543</w:t>
            </w:r>
          </w:p>
        </w:tc>
      </w:tr>
      <w:tr>
        <w:trPr>
          <w:trHeight w:val="173"/>
        </w:trPr>
        <w:tc>
          <w:tcPr>
            <w:tcW w:w="45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Diluted..................................</w:t>
            </w:r>
          </w:p>
        </w:tc>
        <w:tc>
          <w:tcPr>
            <w:tcW w:w="680" w:type="dxa"/>
            <w:vAlign w:val="bottom"/>
          </w:tcPr>
          <w:p>
            <w:pPr>
              <w:spacing w:after="0"/>
              <w:rPr>
                <w:sz w:val="15"/>
                <w:szCs w:val="15"/>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98,472</w:t>
            </w:r>
          </w:p>
        </w:tc>
        <w:tc>
          <w:tcPr>
            <w:tcW w:w="36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88,063</w:t>
            </w:r>
          </w:p>
        </w:tc>
        <w:tc>
          <w:tcPr>
            <w:tcW w:w="50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98,245</w:t>
            </w:r>
          </w:p>
        </w:tc>
        <w:tc>
          <w:tcPr>
            <w:tcW w:w="280" w:type="dxa"/>
            <w:vAlign w:val="bottom"/>
          </w:tcPr>
          <w:p>
            <w:pPr>
              <w:spacing w:after="0"/>
              <w:rPr>
                <w:sz w:val="15"/>
                <w:szCs w:val="15"/>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84,543</w:t>
            </w:r>
          </w:p>
        </w:tc>
      </w:tr>
    </w:tbl>
    <w:p>
      <w:pPr>
        <w:sectPr>
          <w:pgSz w:w="11900" w:h="16838" w:orient="portrait"/>
          <w:cols w:equalWidth="0" w:num="1">
            <w:col w:w="11520"/>
          </w:cols>
          <w:pgMar w:left="240" w:top="141" w:right="139" w:bottom="1440" w:gutter="0" w:footer="0" w:header="0"/>
        </w:sectPr>
      </w:pPr>
    </w:p>
    <w:bookmarkStart w:id="6" w:name="page7"/>
    <w:bookmarkEnd w:id="6"/>
    <w:p>
      <w:pPr>
        <w:ind w:left="3320"/>
        <w:spacing w:after="0"/>
        <w:rPr>
          <w:sz w:val="20"/>
          <w:szCs w:val="20"/>
          <w:color w:val="auto"/>
        </w:rPr>
      </w:pPr>
      <w:r>
        <w:rPr>
          <w:rFonts w:ascii="Courier New" w:cs="Courier New" w:eastAsia="Courier New" w:hAnsi="Courier New"/>
          <w:sz w:val="15"/>
          <w:szCs w:val="15"/>
          <w:color w:val="auto"/>
        </w:rPr>
        <w:t>WYNN RESORTS, LIMITED AND SUBSIDIARIES</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RECONCILIATION OF NET LOSS AND NET LOSS PER SHARE TO ADJUSTED NET LOSS AND</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NET LOSS PER SHARE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52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94"/>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w w:val="99"/>
              </w:rPr>
              <w:t>Adjusted Net Income............................</w:t>
            </w:r>
          </w:p>
        </w:tc>
        <w:tc>
          <w:tcPr>
            <w:tcW w:w="50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(991)</w:t>
            </w:r>
          </w:p>
        </w:tc>
        <w:tc>
          <w:tcPr>
            <w:tcW w:w="500" w:type="dxa"/>
            <w:vAlign w:val="bottom"/>
          </w:tcPr>
          <w:p>
            <w:pPr>
              <w:spacing w:after="0"/>
              <w:rPr>
                <w:sz w:val="24"/>
                <w:szCs w:val="2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w:t>
            </w:r>
          </w:p>
        </w:tc>
        <w:tc>
          <w:tcPr>
            <w:tcW w:w="50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7,798</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(24,029)</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Per diluted share of common stock</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7"/>
        </w:trPr>
        <w:tc>
          <w:tcPr>
            <w:tcW w:w="4280" w:type="dxa"/>
            <w:vAlign w:val="bottom"/>
          </w:tcPr>
          <w:p>
            <w:pPr>
              <w:jc w:val="right"/>
              <w:ind w:right="2865"/>
              <w:spacing w:after="0"/>
              <w:rPr>
                <w:sz w:val="20"/>
                <w:szCs w:val="20"/>
                <w:color w:val="auto"/>
              </w:rPr>
            </w:pPr>
            <w:r>
              <w:rPr>
                <w:rFonts w:ascii="Courier New" w:cs="Courier New" w:eastAsia="Courier New" w:hAnsi="Courier New"/>
                <w:sz w:val="15"/>
                <w:szCs w:val="15"/>
                <w:color w:val="auto"/>
              </w:rPr>
              <w:t>Net loss:</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(0.14)</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(0.26)</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(0.89)</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(0.92)</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Pre-opening costs........................</w:t>
            </w:r>
          </w:p>
        </w:tc>
        <w:tc>
          <w:tcPr>
            <w:tcW w:w="500" w:type="dxa"/>
            <w:vAlign w:val="bottom"/>
          </w:tcPr>
          <w:p>
            <w:pPr>
              <w:spacing w:after="0"/>
              <w:rPr>
                <w:sz w:val="15"/>
                <w:szCs w:val="15"/>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0.07</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0.24</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0.90</w:t>
            </w:r>
          </w:p>
        </w:tc>
        <w:tc>
          <w:tcPr>
            <w:tcW w:w="4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0.62</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Property charges and other...............</w:t>
            </w:r>
          </w:p>
        </w:tc>
        <w:tc>
          <w:tcPr>
            <w:tcW w:w="500" w:type="dxa"/>
            <w:vAlign w:val="bottom"/>
          </w:tcPr>
          <w:p>
            <w:pPr>
              <w:spacing w:after="0"/>
              <w:rPr>
                <w:sz w:val="15"/>
                <w:szCs w:val="15"/>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0.06</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0.01</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0.06</w:t>
            </w:r>
          </w:p>
        </w:tc>
        <w:tc>
          <w:tcPr>
            <w:tcW w:w="4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0.02</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w w:val="99"/>
              </w:rPr>
              <w:t>Adjusted Net Income............................</w:t>
            </w:r>
          </w:p>
        </w:tc>
        <w:tc>
          <w:tcPr>
            <w:tcW w:w="50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(0.01)</w:t>
            </w:r>
          </w:p>
        </w:tc>
        <w:tc>
          <w:tcPr>
            <w:tcW w:w="50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(0.00)</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0.08</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4280" w:type="dxa"/>
            <w:vAlign w:val="bottom"/>
          </w:tcPr>
          <w:p>
            <w:pPr>
              <w:jc w:val="right"/>
              <w:ind w:right="1785"/>
              <w:spacing w:after="0"/>
              <w:rPr>
                <w:sz w:val="20"/>
                <w:szCs w:val="20"/>
                <w:color w:val="auto"/>
              </w:rPr>
            </w:pPr>
            <w:r>
              <w:rPr>
                <w:rFonts w:ascii="Courier New" w:cs="Courier New" w:eastAsia="Courier New" w:hAnsi="Courier New"/>
                <w:sz w:val="15"/>
                <w:szCs w:val="15"/>
                <w:color w:val="auto"/>
              </w:rPr>
              <w:t>shares outstanding:</w:t>
            </w: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500" w:type="dxa"/>
            <w:vAlign w:val="bottom"/>
          </w:tcPr>
          <w:p>
            <w:pPr>
              <w:spacing w:after="0"/>
              <w:rPr>
                <w:sz w:val="15"/>
                <w:szCs w:val="15"/>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98,472</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88,063</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98,245</w:t>
            </w:r>
          </w:p>
        </w:tc>
        <w:tc>
          <w:tcPr>
            <w:tcW w:w="4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84,543</w:t>
            </w:r>
          </w:p>
        </w:tc>
      </w:tr>
      <w:tr>
        <w:trPr>
          <w:trHeight w:val="173"/>
        </w:trPr>
        <w:tc>
          <w:tcPr>
            <w:tcW w:w="428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500" w:type="dxa"/>
            <w:vAlign w:val="bottom"/>
          </w:tcPr>
          <w:p>
            <w:pPr>
              <w:spacing w:after="0"/>
              <w:rPr>
                <w:sz w:val="15"/>
                <w:szCs w:val="15"/>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98,472</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88,063</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98,245</w:t>
            </w:r>
          </w:p>
        </w:tc>
        <w:tc>
          <w:tcPr>
            <w:tcW w:w="4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84,543</w:t>
            </w:r>
          </w:p>
        </w:tc>
      </w:tr>
    </w:tbl>
    <w:p>
      <w:pPr>
        <w:sectPr>
          <w:pgSz w:w="11900" w:h="16838" w:orient="portrait"/>
          <w:cols w:equalWidth="0" w:num="1">
            <w:col w:w="10219"/>
          </w:cols>
          <w:pgMar w:left="240" w:top="1158"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80" w:type="dxa"/>
            <w:vAlign w:val="bottom"/>
            <w:gridSpan w:val="6"/>
          </w:tcPr>
          <w:p>
            <w:pPr>
              <w:jc w:val="right"/>
              <w:ind w:right="685"/>
              <w:spacing w:after="0"/>
              <w:rPr>
                <w:sz w:val="20"/>
                <w:szCs w:val="20"/>
                <w:color w:val="auto"/>
              </w:rPr>
            </w:pPr>
            <w:r>
              <w:rPr>
                <w:rFonts w:ascii="Courier New" w:cs="Courier New" w:eastAsia="Courier New" w:hAnsi="Courier New"/>
                <w:sz w:val="15"/>
                <w:szCs w:val="15"/>
                <w:color w:val="auto"/>
              </w:rPr>
              <w:t>WYNN RESORTS, LIMITED AND SUBSIDIARIES</w:t>
            </w: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3"/>
        </w:trPr>
        <w:tc>
          <w:tcPr>
            <w:tcW w:w="57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RECONCILIATION OF NET LOSS</w:t>
            </w:r>
          </w:p>
        </w:tc>
        <w:tc>
          <w:tcPr>
            <w:tcW w:w="2120" w:type="dxa"/>
            <w:vAlign w:val="bottom"/>
            <w:gridSpan w:val="3"/>
          </w:tcPr>
          <w:p>
            <w:pPr>
              <w:spacing w:after="0"/>
              <w:rPr>
                <w:sz w:val="20"/>
                <w:szCs w:val="20"/>
                <w:color w:val="auto"/>
              </w:rPr>
            </w:pPr>
            <w:r>
              <w:rPr>
                <w:rFonts w:ascii="Courier New" w:cs="Courier New" w:eastAsia="Courier New" w:hAnsi="Courier New"/>
                <w:sz w:val="15"/>
                <w:szCs w:val="15"/>
                <w:color w:val="auto"/>
              </w:rPr>
              <w:t>TO ADJUSTED EBITDA</w:t>
            </w: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7880" w:type="dxa"/>
            <w:vAlign w:val="bottom"/>
            <w:gridSpan w:val="6"/>
          </w:tcPr>
          <w:p>
            <w:pPr>
              <w:jc w:val="right"/>
              <w:ind w:right="785"/>
              <w:spacing w:after="0"/>
              <w:rPr>
                <w:sz w:val="20"/>
                <w:szCs w:val="20"/>
                <w:color w:val="auto"/>
              </w:rPr>
            </w:pPr>
            <w:r>
              <w:rPr>
                <w:rFonts w:ascii="Courier New" w:cs="Courier New" w:eastAsia="Courier New" w:hAnsi="Courier New"/>
                <w:sz w:val="15"/>
                <w:szCs w:val="15"/>
                <w:color w:val="auto"/>
              </w:rPr>
              <w:t>(In thousands, except per share data)</w:t>
            </w: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8"/>
              </w:rPr>
              <w:t>(Unaudited)</w:t>
            </w: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867"/>
        </w:trPr>
        <w:tc>
          <w:tcPr>
            <w:tcW w:w="4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Three</w:t>
            </w:r>
          </w:p>
        </w:tc>
        <w:tc>
          <w:tcPr>
            <w:tcW w:w="2120" w:type="dxa"/>
            <w:vAlign w:val="bottom"/>
            <w:gridSpan w:val="3"/>
          </w:tcPr>
          <w:p>
            <w:pPr>
              <w:spacing w:after="0"/>
              <w:rPr>
                <w:sz w:val="20"/>
                <w:szCs w:val="20"/>
                <w:color w:val="auto"/>
              </w:rPr>
            </w:pPr>
            <w:r>
              <w:rPr>
                <w:rFonts w:ascii="Courier New" w:cs="Courier New" w:eastAsia="Courier New" w:hAnsi="Courier New"/>
                <w:sz w:val="15"/>
                <w:szCs w:val="15"/>
                <w:color w:val="auto"/>
              </w:rPr>
              <w:t>Months Ended</w:t>
            </w:r>
          </w:p>
        </w:tc>
        <w:tc>
          <w:tcPr>
            <w:tcW w:w="500" w:type="dxa"/>
            <w:vAlign w:val="bottom"/>
          </w:tcPr>
          <w:p>
            <w:pPr>
              <w:spacing w:after="0"/>
              <w:rPr>
                <w:sz w:val="24"/>
                <w:szCs w:val="24"/>
                <w:color w:val="auto"/>
              </w:rPr>
            </w:pPr>
          </w:p>
        </w:tc>
        <w:tc>
          <w:tcPr>
            <w:tcW w:w="270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4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September 30,</w:t>
            </w: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940" w:type="dxa"/>
            <w:vAlign w:val="bottom"/>
          </w:tcPr>
          <w:p>
            <w:pPr>
              <w:spacing w:after="0"/>
              <w:rPr>
                <w:sz w:val="15"/>
                <w:szCs w:val="15"/>
                <w:color w:val="auto"/>
              </w:rPr>
            </w:pPr>
          </w:p>
        </w:tc>
      </w:tr>
      <w:tr>
        <w:trPr>
          <w:trHeight w:val="173"/>
        </w:trPr>
        <w:tc>
          <w:tcPr>
            <w:tcW w:w="4320" w:type="dxa"/>
            <w:vAlign w:val="bottom"/>
          </w:tcPr>
          <w:p>
            <w:pPr>
              <w:spacing w:after="0"/>
              <w:rPr>
                <w:sz w:val="15"/>
                <w:szCs w:val="15"/>
                <w:color w:val="auto"/>
              </w:rPr>
            </w:pPr>
          </w:p>
        </w:tc>
        <w:tc>
          <w:tcPr>
            <w:tcW w:w="3560" w:type="dxa"/>
            <w:vAlign w:val="bottom"/>
            <w:gridSpan w:val="5"/>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2004</w:t>
            </w:r>
          </w:p>
        </w:tc>
        <w:tc>
          <w:tcPr>
            <w:tcW w:w="500" w:type="dxa"/>
            <w:vAlign w:val="bottom"/>
          </w:tcPr>
          <w:p>
            <w:pPr>
              <w:spacing w:after="0"/>
              <w:rPr>
                <w:sz w:val="15"/>
                <w:szCs w:val="15"/>
                <w:color w:val="auto"/>
              </w:rPr>
            </w:pPr>
          </w:p>
        </w:tc>
        <w:tc>
          <w:tcPr>
            <w:tcW w:w="122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2005</w:t>
            </w:r>
          </w:p>
        </w:tc>
        <w:tc>
          <w:tcPr>
            <w:tcW w:w="540" w:type="dxa"/>
            <w:vAlign w:val="bottom"/>
          </w:tcPr>
          <w:p>
            <w:pPr>
              <w:spacing w:after="0"/>
              <w:rPr>
                <w:sz w:val="15"/>
                <w:szCs w:val="15"/>
                <w:color w:val="auto"/>
              </w:rPr>
            </w:pPr>
          </w:p>
        </w:tc>
        <w:tc>
          <w:tcPr>
            <w:tcW w:w="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2004</w:t>
            </w:r>
          </w:p>
        </w:tc>
      </w:tr>
      <w:tr>
        <w:trPr>
          <w:trHeight w:val="173"/>
        </w:trPr>
        <w:tc>
          <w:tcPr>
            <w:tcW w:w="4320" w:type="dxa"/>
            <w:vAlign w:val="bottom"/>
          </w:tcPr>
          <w:p>
            <w:pPr>
              <w:spacing w:after="0"/>
              <w:rPr>
                <w:sz w:val="15"/>
                <w:szCs w:val="15"/>
                <w:color w:val="auto"/>
              </w:rPr>
            </w:pPr>
          </w:p>
        </w:tc>
        <w:tc>
          <w:tcPr>
            <w:tcW w:w="180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3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(14,190)</w:t>
            </w:r>
          </w:p>
        </w:tc>
        <w:tc>
          <w:tcPr>
            <w:tcW w:w="360" w:type="dxa"/>
            <w:vAlign w:val="bottom"/>
          </w:tcPr>
          <w:p>
            <w:pPr>
              <w:spacing w:after="0"/>
              <w:rPr>
                <w:sz w:val="24"/>
                <w:szCs w:val="2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(22,706)</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(86,979)</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(77,872)</w:t>
            </w:r>
          </w:p>
        </w:tc>
      </w:tr>
      <w:tr>
        <w:trPr>
          <w:trHeight w:val="347"/>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Add/(Deduct):</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Minority interest</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(1,054)</w:t>
            </w:r>
          </w:p>
        </w:tc>
      </w:tr>
      <w:tr>
        <w:trPr>
          <w:trHeight w:val="520"/>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Interest income</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(7,467)</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(1,844)</w:t>
            </w:r>
          </w:p>
        </w:tc>
        <w:tc>
          <w:tcPr>
            <w:tcW w:w="50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(20,632)</w:t>
            </w:r>
          </w:p>
        </w:tc>
        <w:tc>
          <w:tcPr>
            <w:tcW w:w="54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(4,975)</w:t>
            </w: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Interest expense, net</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34,935</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336</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63,425</w:t>
            </w:r>
          </w:p>
        </w:tc>
        <w:tc>
          <w:tcPr>
            <w:tcW w:w="54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533</w:t>
            </w: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Loss on early extinguishment of debt</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25,628</w:t>
            </w:r>
          </w:p>
        </w:tc>
      </w:tr>
      <w:tr>
        <w:trPr>
          <w:trHeight w:val="173"/>
        </w:trPr>
        <w:tc>
          <w:tcPr>
            <w:tcW w:w="4320" w:type="dxa"/>
            <w:vAlign w:val="bottom"/>
          </w:tcPr>
          <w:p>
            <w:pPr>
              <w:spacing w:after="0"/>
              <w:rPr>
                <w:sz w:val="15"/>
                <w:szCs w:val="15"/>
                <w:color w:val="auto"/>
              </w:rPr>
            </w:pPr>
          </w:p>
        </w:tc>
        <w:tc>
          <w:tcPr>
            <w:tcW w:w="180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Total</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27,468</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(1,508)</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42,793</w:t>
            </w:r>
          </w:p>
        </w:tc>
        <w:tc>
          <w:tcPr>
            <w:tcW w:w="54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21,186</w:t>
            </w:r>
          </w:p>
        </w:tc>
      </w:tr>
      <w:tr>
        <w:trPr>
          <w:trHeight w:val="173"/>
        </w:trPr>
        <w:tc>
          <w:tcPr>
            <w:tcW w:w="4320" w:type="dxa"/>
            <w:vAlign w:val="bottom"/>
          </w:tcPr>
          <w:p>
            <w:pPr>
              <w:spacing w:after="0"/>
              <w:rPr>
                <w:sz w:val="15"/>
                <w:szCs w:val="15"/>
                <w:color w:val="auto"/>
              </w:rPr>
            </w:pPr>
          </w:p>
        </w:tc>
        <w:tc>
          <w:tcPr>
            <w:tcW w:w="180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Operating Income/(loss)</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13,278</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(24,214)</w:t>
            </w:r>
          </w:p>
        </w:tc>
        <w:tc>
          <w:tcPr>
            <w:tcW w:w="50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(44,186)</w:t>
            </w:r>
          </w:p>
        </w:tc>
        <w:tc>
          <w:tcPr>
            <w:tcW w:w="54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(57,740)</w:t>
            </w:r>
          </w:p>
        </w:tc>
      </w:tr>
      <w:tr>
        <w:trPr>
          <w:trHeight w:val="347"/>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Add:</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Preopening expenses: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Wynn Las Vegas</w:t>
            </w:r>
          </w:p>
        </w:tc>
        <w:tc>
          <w:tcPr>
            <w:tcW w:w="46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1,541</w:t>
            </w: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11,356</w:t>
            </w:r>
          </w:p>
        </w:tc>
        <w:tc>
          <w:tcPr>
            <w:tcW w:w="500" w:type="dxa"/>
            <w:vAlign w:val="bottom"/>
          </w:tcPr>
          <w:p>
            <w:pPr>
              <w:spacing w:after="0"/>
              <w:rPr>
                <w:sz w:val="15"/>
                <w:szCs w:val="15"/>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67,427</w:t>
            </w:r>
          </w:p>
        </w:tc>
        <w:tc>
          <w:tcPr>
            <w:tcW w:w="5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26,612</w:t>
            </w: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Wynn Macau</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5,606</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2,403</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12,205</w:t>
            </w:r>
          </w:p>
        </w:tc>
        <w:tc>
          <w:tcPr>
            <w:tcW w:w="54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6,550</w:t>
            </w: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Corporate and other</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7,766</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8,984</w:t>
            </w:r>
          </w:p>
        </w:tc>
        <w:tc>
          <w:tcPr>
            <w:tcW w:w="54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19,381</w:t>
            </w: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Wynn Las Vegas</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35,614</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870</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61,182</w:t>
            </w:r>
          </w:p>
        </w:tc>
        <w:tc>
          <w:tcPr>
            <w:tcW w:w="54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2,291</w:t>
            </w: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Wynn Macau</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1,526</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357</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4,460</w:t>
            </w:r>
          </w:p>
        </w:tc>
        <w:tc>
          <w:tcPr>
            <w:tcW w:w="54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357</w:t>
            </w: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Corporate and other</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746</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677</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1,863</w:t>
            </w:r>
          </w:p>
        </w:tc>
        <w:tc>
          <w:tcPr>
            <w:tcW w:w="54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1,079</w:t>
            </w: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Property charges and other:</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Wynn Las Vegas</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5,939</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5,939</w:t>
            </w:r>
          </w:p>
        </w:tc>
        <w:tc>
          <w:tcPr>
            <w:tcW w:w="54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Wynn Macau</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Corporate and other</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788</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222</w:t>
            </w:r>
          </w:p>
        </w:tc>
        <w:tc>
          <w:tcPr>
            <w:tcW w:w="54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1,300</w:t>
            </w:r>
          </w:p>
        </w:tc>
      </w:tr>
      <w:tr>
        <w:trPr>
          <w:trHeight w:val="347"/>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Corporate expenses and other</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8,842</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13,844</w:t>
            </w:r>
          </w:p>
        </w:tc>
        <w:tc>
          <w:tcPr>
            <w:tcW w:w="54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15"/>
                <w:szCs w:val="15"/>
                <w:color w:val="auto"/>
              </w:rPr>
            </w:pPr>
          </w:p>
        </w:tc>
        <w:tc>
          <w:tcPr>
            <w:tcW w:w="180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ind w:left="800"/>
              <w:spacing w:after="0"/>
              <w:rPr>
                <w:sz w:val="20"/>
                <w:szCs w:val="20"/>
                <w:color w:val="auto"/>
              </w:rPr>
            </w:pPr>
            <w:r>
              <w:rPr>
                <w:rFonts w:ascii="Courier New" w:cs="Courier New" w:eastAsia="Courier New" w:hAnsi="Courier New"/>
                <w:sz w:val="15"/>
                <w:szCs w:val="15"/>
                <w:color w:val="auto"/>
              </w:rPr>
              <w:t>Total</w:t>
            </w:r>
          </w:p>
        </w:tc>
        <w:tc>
          <w:tcPr>
            <w:tcW w:w="4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59,927</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24,217</w:t>
            </w:r>
          </w:p>
        </w:tc>
        <w:tc>
          <w:tcPr>
            <w:tcW w:w="500" w:type="dxa"/>
            <w:vAlign w:val="bottom"/>
          </w:tcPr>
          <w:p>
            <w:pPr>
              <w:spacing w:after="0"/>
              <w:rPr>
                <w:sz w:val="24"/>
                <w:szCs w:val="2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176,126</w:t>
            </w:r>
          </w:p>
        </w:tc>
        <w:tc>
          <w:tcPr>
            <w:tcW w:w="54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57,570</w:t>
            </w:r>
          </w:p>
        </w:tc>
      </w:tr>
      <w:tr>
        <w:trPr>
          <w:trHeight w:val="173"/>
        </w:trPr>
        <w:tc>
          <w:tcPr>
            <w:tcW w:w="4320" w:type="dxa"/>
            <w:vAlign w:val="bottom"/>
          </w:tcPr>
          <w:p>
            <w:pPr>
              <w:spacing w:after="0"/>
              <w:rPr>
                <w:sz w:val="15"/>
                <w:szCs w:val="15"/>
                <w:color w:val="auto"/>
              </w:rPr>
            </w:pPr>
          </w:p>
        </w:tc>
        <w:tc>
          <w:tcPr>
            <w:tcW w:w="180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Wynn Las Vegas adjusted EBITDA (1)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73,205</w:t>
            </w:r>
          </w:p>
        </w:tc>
        <w:tc>
          <w:tcPr>
            <w:tcW w:w="360" w:type="dxa"/>
            <w:vAlign w:val="bottom"/>
          </w:tcPr>
          <w:p>
            <w:pPr>
              <w:spacing w:after="0"/>
              <w:rPr>
                <w:sz w:val="24"/>
                <w:szCs w:val="2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131,940</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w:t>
            </w:r>
          </w:p>
        </w:tc>
      </w:tr>
      <w:tr>
        <w:trPr>
          <w:trHeight w:val="173"/>
        </w:trPr>
        <w:tc>
          <w:tcPr>
            <w:tcW w:w="4320" w:type="dxa"/>
            <w:vAlign w:val="bottom"/>
          </w:tcPr>
          <w:p>
            <w:pPr>
              <w:spacing w:after="0"/>
              <w:rPr>
                <w:sz w:val="15"/>
                <w:szCs w:val="15"/>
                <w:color w:val="auto"/>
              </w:rPr>
            </w:pPr>
          </w:p>
        </w:tc>
        <w:tc>
          <w:tcPr>
            <w:tcW w:w="180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80"/>
          </w:cols>
          <w:pgMar w:left="240" w:top="1158" w:right="579" w:bottom="1440" w:gutter="0" w:footer="0" w:header="0"/>
        </w:sectPr>
      </w:pPr>
    </w:p>
    <w:bookmarkStart w:id="8" w:name="page9"/>
    <w:bookmarkEnd w:id="8"/>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7120" w:type="dxa"/>
            <w:vAlign w:val="bottom"/>
            <w:gridSpan w:val="2"/>
          </w:tcPr>
          <w:p>
            <w:pPr>
              <w:ind w:left="1800"/>
              <w:spacing w:after="0"/>
              <w:rPr>
                <w:sz w:val="20"/>
                <w:szCs w:val="20"/>
                <w:color w:val="auto"/>
              </w:rPr>
            </w:pPr>
            <w:r>
              <w:rPr>
                <w:rFonts w:ascii="Courier New" w:cs="Courier New" w:eastAsia="Courier New" w:hAnsi="Courier New"/>
                <w:sz w:val="15"/>
                <w:szCs w:val="15"/>
                <w:color w:val="auto"/>
              </w:rPr>
              <w:t>WYNN RESORTS, LIMITED AND SUBSIDIARIES</w:t>
            </w:r>
          </w:p>
        </w:tc>
      </w:tr>
      <w:tr>
        <w:trPr>
          <w:trHeight w:val="173"/>
        </w:trPr>
        <w:tc>
          <w:tcPr>
            <w:tcW w:w="4720" w:type="dxa"/>
            <w:vAlign w:val="bottom"/>
          </w:tcPr>
          <w:p>
            <w:pPr>
              <w:ind w:left="2340"/>
              <w:spacing w:after="0"/>
              <w:rPr>
                <w:sz w:val="20"/>
                <w:szCs w:val="20"/>
                <w:color w:val="auto"/>
              </w:rPr>
            </w:pPr>
            <w:r>
              <w:rPr>
                <w:rFonts w:ascii="Courier New" w:cs="Courier New" w:eastAsia="Courier New" w:hAnsi="Courier New"/>
                <w:sz w:val="15"/>
                <w:szCs w:val="15"/>
                <w:color w:val="auto"/>
              </w:rPr>
              <w:t>SUPPLEMENTAL DATA SCHEDULE</w:t>
            </w:r>
          </w:p>
        </w:tc>
        <w:tc>
          <w:tcPr>
            <w:tcW w:w="2400" w:type="dxa"/>
            <w:vAlign w:val="bottom"/>
          </w:tcPr>
          <w:p>
            <w:pPr>
              <w:spacing w:after="0"/>
              <w:rPr>
                <w:sz w:val="15"/>
                <w:szCs w:val="15"/>
                <w:color w:val="auto"/>
              </w:rPr>
            </w:pPr>
          </w:p>
        </w:tc>
      </w:tr>
      <w:tr>
        <w:trPr>
          <w:trHeight w:val="347"/>
        </w:trPr>
        <w:tc>
          <w:tcPr>
            <w:tcW w:w="472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Courier New" w:cs="Courier New" w:eastAsia="Courier New" w:hAnsi="Courier New"/>
                <w:sz w:val="15"/>
                <w:szCs w:val="15"/>
                <w:color w:val="auto"/>
                <w:w w:val="99"/>
              </w:rPr>
              <w:t>Three Months Ended</w:t>
            </w:r>
          </w:p>
        </w:tc>
      </w:tr>
      <w:tr>
        <w:trPr>
          <w:trHeight w:val="347"/>
        </w:trPr>
        <w:tc>
          <w:tcPr>
            <w:tcW w:w="472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Courier New" w:cs="Courier New" w:eastAsia="Courier New" w:hAnsi="Courier New"/>
                <w:sz w:val="15"/>
                <w:szCs w:val="15"/>
                <w:color w:val="auto"/>
                <w:w w:val="99"/>
              </w:rPr>
              <w:t>September 30, 2005</w:t>
            </w:r>
          </w:p>
        </w:tc>
      </w:tr>
      <w:tr>
        <w:trPr>
          <w:trHeight w:val="173"/>
        </w:trPr>
        <w:tc>
          <w:tcPr>
            <w:tcW w:w="472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4720" w:type="dxa"/>
            <w:vAlign w:val="bottom"/>
          </w:tcPr>
          <w:p>
            <w:pPr>
              <w:spacing w:after="0"/>
              <w:rPr>
                <w:sz w:val="20"/>
                <w:szCs w:val="20"/>
                <w:color w:val="auto"/>
              </w:rPr>
            </w:pPr>
            <w:r>
              <w:rPr>
                <w:rFonts w:ascii="Courier New" w:cs="Courier New" w:eastAsia="Courier New" w:hAnsi="Courier New"/>
                <w:sz w:val="15"/>
                <w:szCs w:val="15"/>
                <w:color w:val="auto"/>
              </w:rPr>
              <w:t>Room Statistics for Wynn Las Vegas:</w:t>
            </w:r>
          </w:p>
        </w:tc>
        <w:tc>
          <w:tcPr>
            <w:tcW w:w="2400" w:type="dxa"/>
            <w:vAlign w:val="bottom"/>
          </w:tcPr>
          <w:p>
            <w:pPr>
              <w:spacing w:after="0"/>
              <w:rPr>
                <w:sz w:val="24"/>
                <w:szCs w:val="24"/>
                <w:color w:val="auto"/>
              </w:rPr>
            </w:pPr>
          </w:p>
        </w:tc>
      </w:tr>
      <w:tr>
        <w:trPr>
          <w:trHeight w:val="347"/>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Occupancy %</w:t>
            </w:r>
          </w:p>
        </w:tc>
        <w:tc>
          <w:tcPr>
            <w:tcW w:w="2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93.0%</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Average Daily Room Rate (ADR)(1)</w:t>
            </w:r>
          </w:p>
        </w:tc>
        <w:tc>
          <w:tcPr>
            <w:tcW w:w="2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264</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Average Paying Rate (APR)(2)</w:t>
            </w:r>
          </w:p>
        </w:tc>
        <w:tc>
          <w:tcPr>
            <w:tcW w:w="2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252</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Revenue per available room (REVPAR)(3)</w:t>
            </w:r>
          </w:p>
        </w:tc>
        <w:tc>
          <w:tcPr>
            <w:tcW w:w="2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246</w:t>
            </w:r>
          </w:p>
        </w:tc>
      </w:tr>
      <w:tr>
        <w:trPr>
          <w:trHeight w:val="347"/>
        </w:trPr>
        <w:tc>
          <w:tcPr>
            <w:tcW w:w="4720" w:type="dxa"/>
            <w:vAlign w:val="bottom"/>
          </w:tcPr>
          <w:p>
            <w:pPr>
              <w:spacing w:after="0"/>
              <w:rPr>
                <w:sz w:val="20"/>
                <w:szCs w:val="20"/>
                <w:color w:val="auto"/>
              </w:rPr>
            </w:pPr>
            <w:r>
              <w:rPr>
                <w:rFonts w:ascii="Courier New" w:cs="Courier New" w:eastAsia="Courier New" w:hAnsi="Courier New"/>
                <w:sz w:val="15"/>
                <w:szCs w:val="15"/>
                <w:color w:val="auto"/>
              </w:rPr>
              <w:t>Other information:</w:t>
            </w:r>
          </w:p>
        </w:tc>
        <w:tc>
          <w:tcPr>
            <w:tcW w:w="2400" w:type="dxa"/>
            <w:vAlign w:val="bottom"/>
          </w:tcPr>
          <w:p>
            <w:pPr>
              <w:spacing w:after="0"/>
              <w:rPr>
                <w:sz w:val="24"/>
                <w:szCs w:val="24"/>
                <w:color w:val="auto"/>
              </w:rPr>
            </w:pPr>
          </w:p>
        </w:tc>
      </w:tr>
      <w:tr>
        <w:trPr>
          <w:trHeight w:val="347"/>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Table games win per unit per day(4)</w:t>
            </w:r>
          </w:p>
        </w:tc>
        <w:tc>
          <w:tcPr>
            <w:tcW w:w="2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7,321</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Table Hold %</w:t>
            </w:r>
          </w:p>
        </w:tc>
        <w:tc>
          <w:tcPr>
            <w:tcW w:w="2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21.9%</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Slot Machine win per unit per day(5)</w:t>
            </w:r>
          </w:p>
        </w:tc>
        <w:tc>
          <w:tcPr>
            <w:tcW w:w="2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251</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Average number of table games</w:t>
            </w:r>
          </w:p>
        </w:tc>
        <w:tc>
          <w:tcPr>
            <w:tcW w:w="2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135</w:t>
            </w:r>
          </w:p>
        </w:tc>
      </w:tr>
      <w:tr>
        <w:trPr>
          <w:trHeight w:val="173"/>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Average number of slot machines</w:t>
            </w:r>
          </w:p>
        </w:tc>
        <w:tc>
          <w:tcPr>
            <w:tcW w:w="2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1,956</w:t>
            </w:r>
          </w:p>
        </w:tc>
      </w:tr>
    </w:tbl>
    <w:p>
      <w:pPr>
        <w:spacing w:after="0" w:line="351" w:lineRule="exact"/>
        <w:rPr>
          <w:sz w:val="20"/>
          <w:szCs w:val="20"/>
          <w:color w:val="auto"/>
        </w:rPr>
      </w:pPr>
    </w:p>
    <w:p>
      <w:pPr>
        <w:ind w:left="8" w:right="3199" w:hanging="8"/>
        <w:spacing w:after="0" w:line="243" w:lineRule="auto"/>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ADR is Average Daily Rate and is calculated by dividing total room revenue by total rooms occupied.</w:t>
      </w:r>
    </w:p>
    <w:p>
      <w:pPr>
        <w:spacing w:after="0" w:line="176" w:lineRule="exact"/>
        <w:rPr>
          <w:rFonts w:ascii="Courier New" w:cs="Courier New" w:eastAsia="Courier New" w:hAnsi="Courier New"/>
          <w:sz w:val="15"/>
          <w:szCs w:val="15"/>
          <w:color w:val="auto"/>
        </w:rPr>
      </w:pPr>
    </w:p>
    <w:p>
      <w:pPr>
        <w:ind w:left="8" w:right="3199" w:hanging="8"/>
        <w:spacing w:after="0" w:line="243" w:lineRule="auto"/>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APR is Average Paying Rate and is calculated by dividing cash room revenue by cash rooms occupied.</w:t>
      </w:r>
    </w:p>
    <w:p>
      <w:pPr>
        <w:spacing w:after="0" w:line="176" w:lineRule="exact"/>
        <w:rPr>
          <w:rFonts w:ascii="Courier New" w:cs="Courier New" w:eastAsia="Courier New" w:hAnsi="Courier New"/>
          <w:sz w:val="15"/>
          <w:szCs w:val="15"/>
          <w:color w:val="auto"/>
        </w:rPr>
      </w:pPr>
    </w:p>
    <w:p>
      <w:pPr>
        <w:ind w:left="8" w:right="3379" w:hanging="8"/>
        <w:spacing w:after="0" w:line="243" w:lineRule="auto"/>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REVPAR is Revenue per Available Room and is calculated by dividing total room revenue by total rooms available.</w:t>
      </w:r>
    </w:p>
    <w:p>
      <w:pPr>
        <w:spacing w:after="0" w:line="175"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Table games win per unit per day shown before discounts and commissions.</w:t>
      </w:r>
    </w:p>
    <w:p>
      <w:pPr>
        <w:spacing w:after="0" w:line="176"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Slot machine win per unit per day.</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SOURCE: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Wynn Resorts, Limited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CONTACT: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Samanta Stewart, 702-770-7555</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investorrelations@wynnresorts.com</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www.wynnresorts.com</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www.wynnlasvegas.com</w:t>
      </w:r>
    </w:p>
    <w:sectPr>
      <w:pgSz w:w="11900" w:h="16838" w:orient="portrait"/>
      <w:cols w:equalWidth="0" w:num="1">
        <w:col w:w="10227"/>
      </w:cols>
      <w:pgMar w:left="232" w:top="9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2019-12-15T05:45:06Z</dcterms:created>
  <dcterms:modified xsi:type="dcterms:W3CDTF">2019-12-15T05:45:06Z</dcterms:modified>
</cp:coreProperties>
</file>