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by the reporting person, pursuant to their Rule 10b5-1 trading plan, adopted August 13, 2020 and subsequently modified June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2021-08-12T18:08:21Z</dcterms:created>
  <dcterms:modified xsi:type="dcterms:W3CDTF">2021-08-12T18:08:21Z</dcterms:modified>
</cp:coreProperties>
</file>