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2165985</wp:posOffset>
            </wp:positionH>
            <wp:positionV relativeFrom="paragraph">
              <wp:posOffset>137795</wp:posOffset>
            </wp:positionV>
            <wp:extent cx="285686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56865" cy="6985"/>
                    </a:xfrm>
                    <a:prstGeom prst="rect">
                      <a:avLst/>
                    </a:prstGeom>
                    <a:noFill/>
                  </pic:spPr>
                </pic:pic>
              </a:graphicData>
            </a:graphic>
          </wp:anchor>
        </w:drawing>
      </w:r>
    </w:p>
    <w:p>
      <w:pPr>
        <w:spacing w:after="0" w:line="2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2165985</wp:posOffset>
            </wp:positionH>
            <wp:positionV relativeFrom="paragraph">
              <wp:posOffset>57150</wp:posOffset>
            </wp:positionV>
            <wp:extent cx="285686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56865" cy="6985"/>
                    </a:xfrm>
                    <a:prstGeom prst="rect">
                      <a:avLst/>
                    </a:prstGeom>
                    <a:noFill/>
                  </pic:spPr>
                </pic:pic>
              </a:graphicData>
            </a:graphic>
          </wp:anchor>
        </w:drawing>
      </w:r>
    </w:p>
    <w:p>
      <w:pPr>
        <w:spacing w:after="0" w:line="3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CURRENT REPORT</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SECTION 13 OR 15(d)</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OF THE SECURITIES EXCHANGE ACT OF 1934</w:t>
      </w:r>
    </w:p>
    <w:p>
      <w:pPr>
        <w:spacing w:after="0" w:line="1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August 29,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2172335</wp:posOffset>
            </wp:positionH>
            <wp:positionV relativeFrom="paragraph">
              <wp:posOffset>66675</wp:posOffset>
            </wp:positionV>
            <wp:extent cx="285686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56865" cy="6985"/>
                    </a:xfrm>
                    <a:prstGeom prst="rect">
                      <a:avLst/>
                    </a:prstGeom>
                    <a:noFill/>
                  </pic:spPr>
                </pic:pic>
              </a:graphicData>
            </a:graphic>
          </wp:anchor>
        </w:drawing>
      </w:r>
    </w:p>
    <w:p>
      <w:pPr>
        <w:spacing w:after="0" w:line="1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4"/>
          <w:szCs w:val="34"/>
          <w:b w:val="1"/>
          <w:bCs w:val="1"/>
          <w:color w:val="auto"/>
        </w:rPr>
        <w:t>WYNN RESORTS, LIMITED</w:t>
      </w:r>
    </w:p>
    <w:p>
      <w:pPr>
        <w:spacing w:after="0" w:line="42"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9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3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980" w:type="dxa"/>
            <w:vAlign w:val="bottom"/>
          </w:tcPr>
          <w:p>
            <w:pPr>
              <w:spacing w:after="0"/>
              <w:rPr>
                <w:sz w:val="15"/>
                <w:szCs w:val="15"/>
                <w:color w:val="auto"/>
              </w:rPr>
            </w:pPr>
          </w:p>
        </w:tc>
        <w:tc>
          <w:tcPr>
            <w:tcW w:w="242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Nevada</w:t>
            </w:r>
          </w:p>
        </w:tc>
        <w:tc>
          <w:tcPr>
            <w:tcW w:w="3900" w:type="dxa"/>
            <w:vAlign w:val="bottom"/>
            <w:gridSpan w:val="3"/>
          </w:tcPr>
          <w:p>
            <w:pPr>
              <w:ind w:left="1840"/>
              <w:spacing w:after="0"/>
              <w:rPr>
                <w:sz w:val="20"/>
                <w:szCs w:val="20"/>
                <w:color w:val="auto"/>
              </w:rPr>
            </w:pPr>
            <w:r>
              <w:rPr>
                <w:rFonts w:ascii="Times New Roman" w:cs="Times New Roman" w:eastAsia="Times New Roman" w:hAnsi="Times New Roman"/>
                <w:sz w:val="14"/>
                <w:szCs w:val="14"/>
                <w:b w:val="1"/>
                <w:bCs w:val="1"/>
                <w:color w:val="auto"/>
              </w:rPr>
              <w:t>000-50028</w:t>
            </w:r>
          </w:p>
        </w:tc>
        <w:tc>
          <w:tcPr>
            <w:tcW w:w="2700" w:type="dxa"/>
            <w:vAlign w:val="bottom"/>
            <w:gridSpan w:val="3"/>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46-0484987</w:t>
            </w: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980" w:type="dxa"/>
            <w:vAlign w:val="bottom"/>
          </w:tcPr>
          <w:p>
            <w:pPr>
              <w:spacing w:after="0"/>
              <w:rPr>
                <w:sz w:val="10"/>
                <w:szCs w:val="10"/>
                <w:color w:val="auto"/>
              </w:rPr>
            </w:pPr>
          </w:p>
        </w:tc>
        <w:tc>
          <w:tcPr>
            <w:tcW w:w="2420" w:type="dxa"/>
            <w:vAlign w:val="bottom"/>
            <w:gridSpan w:val="2"/>
          </w:tcPr>
          <w:p>
            <w:pPr>
              <w:jc w:val="center"/>
              <w:ind w:right="680"/>
              <w:spacing w:after="0" w:line="117" w:lineRule="exact"/>
              <w:rPr>
                <w:sz w:val="20"/>
                <w:szCs w:val="20"/>
                <w:color w:val="auto"/>
              </w:rPr>
            </w:pPr>
            <w:r>
              <w:rPr>
                <w:rFonts w:ascii="Times New Roman" w:cs="Times New Roman" w:eastAsia="Times New Roman" w:hAnsi="Times New Roman"/>
                <w:sz w:val="11"/>
                <w:szCs w:val="11"/>
                <w:b w:val="1"/>
                <w:bCs w:val="1"/>
                <w:color w:val="auto"/>
              </w:rPr>
              <w:t>(State or other jurisdiction</w:t>
            </w:r>
          </w:p>
        </w:tc>
        <w:tc>
          <w:tcPr>
            <w:tcW w:w="6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180" w:type="dxa"/>
            <w:vAlign w:val="bottom"/>
          </w:tcPr>
          <w:p>
            <w:pPr>
              <w:ind w:left="120"/>
              <w:spacing w:after="0" w:line="117" w:lineRule="exact"/>
              <w:rPr>
                <w:sz w:val="20"/>
                <w:szCs w:val="20"/>
                <w:color w:val="auto"/>
              </w:rPr>
            </w:pPr>
            <w:r>
              <w:rPr>
                <w:rFonts w:ascii="Times New Roman" w:cs="Times New Roman" w:eastAsia="Times New Roman" w:hAnsi="Times New Roman"/>
                <w:sz w:val="11"/>
                <w:szCs w:val="11"/>
                <w:b w:val="1"/>
                <w:bCs w:val="1"/>
                <w:color w:val="auto"/>
              </w:rPr>
              <w:t>(Commission</w:t>
            </w: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380" w:type="dxa"/>
            <w:vAlign w:val="bottom"/>
            <w:gridSpan w:val="2"/>
          </w:tcPr>
          <w:p>
            <w:pPr>
              <w:jc w:val="center"/>
              <w:ind w:right="440"/>
              <w:spacing w:after="0" w:line="117" w:lineRule="exact"/>
              <w:rPr>
                <w:sz w:val="20"/>
                <w:szCs w:val="20"/>
                <w:color w:val="auto"/>
              </w:rPr>
            </w:pPr>
            <w:r>
              <w:rPr>
                <w:rFonts w:ascii="Times New Roman" w:cs="Times New Roman" w:eastAsia="Times New Roman" w:hAnsi="Times New Roman"/>
                <w:sz w:val="11"/>
                <w:szCs w:val="11"/>
                <w:b w:val="1"/>
                <w:bCs w:val="1"/>
                <w:color w:val="auto"/>
              </w:rPr>
              <w:t>(I.R.S. Employer</w:t>
            </w:r>
          </w:p>
        </w:tc>
        <w:tc>
          <w:tcPr>
            <w:tcW w:w="0" w:type="dxa"/>
            <w:vAlign w:val="bottom"/>
          </w:tcPr>
          <w:p>
            <w:pPr>
              <w:spacing w:after="0"/>
              <w:rPr>
                <w:sz w:val="1"/>
                <w:szCs w:val="1"/>
                <w:color w:val="auto"/>
              </w:rPr>
            </w:pPr>
          </w:p>
        </w:tc>
      </w:tr>
      <w:tr>
        <w:trPr>
          <w:trHeight w:val="149"/>
        </w:trPr>
        <w:tc>
          <w:tcPr>
            <w:tcW w:w="980" w:type="dxa"/>
            <w:vAlign w:val="bottom"/>
          </w:tcPr>
          <w:p>
            <w:pPr>
              <w:spacing w:after="0"/>
              <w:rPr>
                <w:sz w:val="12"/>
                <w:szCs w:val="12"/>
                <w:color w:val="auto"/>
              </w:rPr>
            </w:pPr>
          </w:p>
        </w:tc>
        <w:tc>
          <w:tcPr>
            <w:tcW w:w="2420" w:type="dxa"/>
            <w:vAlign w:val="bottom"/>
            <w:gridSpan w:val="2"/>
          </w:tcPr>
          <w:p>
            <w:pPr>
              <w:jc w:val="center"/>
              <w:ind w:right="680"/>
              <w:spacing w:after="0"/>
              <w:rPr>
                <w:sz w:val="20"/>
                <w:szCs w:val="20"/>
                <w:color w:val="auto"/>
              </w:rPr>
            </w:pPr>
            <w:r>
              <w:rPr>
                <w:rFonts w:ascii="Times New Roman" w:cs="Times New Roman" w:eastAsia="Times New Roman" w:hAnsi="Times New Roman"/>
                <w:sz w:val="11"/>
                <w:szCs w:val="11"/>
                <w:b w:val="1"/>
                <w:bCs w:val="1"/>
                <w:color w:val="auto"/>
              </w:rPr>
              <w:t>of incorporation)</w:t>
            </w:r>
          </w:p>
        </w:tc>
        <w:tc>
          <w:tcPr>
            <w:tcW w:w="6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180" w:type="dxa"/>
            <w:vAlign w:val="bottom"/>
          </w:tcPr>
          <w:p>
            <w:pPr>
              <w:ind w:left="100"/>
              <w:spacing w:after="0"/>
              <w:rPr>
                <w:sz w:val="20"/>
                <w:szCs w:val="20"/>
                <w:color w:val="auto"/>
              </w:rPr>
            </w:pPr>
            <w:r>
              <w:rPr>
                <w:rFonts w:ascii="Times New Roman" w:cs="Times New Roman" w:eastAsia="Times New Roman" w:hAnsi="Times New Roman"/>
                <w:sz w:val="11"/>
                <w:szCs w:val="11"/>
                <w:b w:val="1"/>
                <w:bCs w:val="1"/>
                <w:color w:val="auto"/>
              </w:rPr>
              <w:t>File Number)</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380" w:type="dxa"/>
            <w:vAlign w:val="bottom"/>
            <w:gridSpan w:val="2"/>
          </w:tcPr>
          <w:p>
            <w:pPr>
              <w:jc w:val="center"/>
              <w:ind w:right="420"/>
              <w:spacing w:after="0"/>
              <w:rPr>
                <w:sz w:val="20"/>
                <w:szCs w:val="20"/>
                <w:color w:val="auto"/>
              </w:rPr>
            </w:pPr>
            <w:r>
              <w:rPr>
                <w:rFonts w:ascii="Times New Roman" w:cs="Times New Roman" w:eastAsia="Times New Roman" w:hAnsi="Times New Roman"/>
                <w:sz w:val="11"/>
                <w:szCs w:val="11"/>
                <w:b w:val="1"/>
                <w:bCs w:val="1"/>
                <w:color w:val="auto"/>
              </w:rPr>
              <w:t>Identification No.)</w:t>
            </w:r>
          </w:p>
        </w:tc>
        <w:tc>
          <w:tcPr>
            <w:tcW w:w="0" w:type="dxa"/>
            <w:vAlign w:val="bottom"/>
          </w:tcPr>
          <w:p>
            <w:pPr>
              <w:spacing w:after="0"/>
              <w:rPr>
                <w:sz w:val="1"/>
                <w:szCs w:val="1"/>
                <w:color w:val="auto"/>
              </w:rPr>
            </w:pPr>
          </w:p>
        </w:tc>
      </w:tr>
      <w:tr>
        <w:trPr>
          <w:trHeight w:val="183"/>
        </w:trPr>
        <w:tc>
          <w:tcPr>
            <w:tcW w:w="3400" w:type="dxa"/>
            <w:vAlign w:val="bottom"/>
            <w:gridSpan w:val="3"/>
          </w:tcPr>
          <w:p>
            <w:pPr>
              <w:jc w:val="center"/>
              <w:ind w:left="233"/>
              <w:spacing w:after="0"/>
              <w:rPr>
                <w:sz w:val="20"/>
                <w:szCs w:val="20"/>
                <w:color w:val="auto"/>
              </w:rPr>
            </w:pPr>
            <w:r>
              <w:rPr>
                <w:rFonts w:ascii="Times New Roman" w:cs="Times New Roman" w:eastAsia="Times New Roman" w:hAnsi="Times New Roman"/>
                <w:sz w:val="14"/>
                <w:szCs w:val="14"/>
                <w:b w:val="1"/>
                <w:bCs w:val="1"/>
                <w:color w:val="auto"/>
              </w:rPr>
              <w:t>3131 Las Vegas Boulevard South</w:t>
            </w:r>
          </w:p>
        </w:tc>
        <w:tc>
          <w:tcPr>
            <w:tcW w:w="6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980" w:type="dxa"/>
            <w:vAlign w:val="bottom"/>
          </w:tcPr>
          <w:p>
            <w:pPr>
              <w:spacing w:after="0"/>
              <w:rPr>
                <w:sz w:val="15"/>
                <w:szCs w:val="15"/>
                <w:color w:val="auto"/>
              </w:rPr>
            </w:pPr>
          </w:p>
        </w:tc>
        <w:tc>
          <w:tcPr>
            <w:tcW w:w="24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Las Vegas, Nevada</w:t>
            </w:r>
          </w:p>
        </w:tc>
        <w:tc>
          <w:tcPr>
            <w:tcW w:w="6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2700" w:type="dxa"/>
            <w:vAlign w:val="bottom"/>
            <w:gridSpan w:val="3"/>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89109</w:t>
            </w: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400" w:type="dxa"/>
            <w:vAlign w:val="bottom"/>
            <w:gridSpan w:val="3"/>
          </w:tcPr>
          <w:p>
            <w:pPr>
              <w:jc w:val="center"/>
              <w:ind w:left="233"/>
              <w:spacing w:after="0"/>
              <w:rPr>
                <w:sz w:val="20"/>
                <w:szCs w:val="20"/>
                <w:color w:val="auto"/>
              </w:rPr>
            </w:pPr>
            <w:r>
              <w:rPr>
                <w:rFonts w:ascii="Times New Roman" w:cs="Times New Roman" w:eastAsia="Times New Roman" w:hAnsi="Times New Roman"/>
                <w:sz w:val="11"/>
                <w:szCs w:val="11"/>
                <w:b w:val="1"/>
                <w:bCs w:val="1"/>
                <w:color w:val="auto"/>
              </w:rPr>
              <w:t>(Address of principal executive offices)</w:t>
            </w:r>
          </w:p>
        </w:tc>
        <w:tc>
          <w:tcPr>
            <w:tcW w:w="6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380" w:type="dxa"/>
            <w:vAlign w:val="bottom"/>
            <w:gridSpan w:val="2"/>
          </w:tcPr>
          <w:p>
            <w:pPr>
              <w:jc w:val="center"/>
              <w:ind w:right="420"/>
              <w:spacing w:after="0"/>
              <w:rPr>
                <w:sz w:val="20"/>
                <w:szCs w:val="20"/>
                <w:color w:val="auto"/>
              </w:rPr>
            </w:pPr>
            <w:r>
              <w:rPr>
                <w:rFonts w:ascii="Times New Roman" w:cs="Times New Roman" w:eastAsia="Times New Roman" w:hAnsi="Times New Roman"/>
                <w:sz w:val="11"/>
                <w:szCs w:val="11"/>
                <w:b w:val="1"/>
                <w:bCs w:val="1"/>
                <w:color w:val="auto"/>
              </w:rPr>
              <w:t>(Zip Code)</w:t>
            </w:r>
          </w:p>
        </w:tc>
        <w:tc>
          <w:tcPr>
            <w:tcW w:w="0" w:type="dxa"/>
            <w:vAlign w:val="bottom"/>
          </w:tcPr>
          <w:p>
            <w:pPr>
              <w:spacing w:after="0"/>
              <w:rPr>
                <w:sz w:val="1"/>
                <w:szCs w:val="1"/>
                <w:color w:val="auto"/>
              </w:rPr>
            </w:pPr>
          </w:p>
        </w:tc>
      </w:tr>
      <w:tr>
        <w:trPr>
          <w:trHeight w:val="551"/>
        </w:trPr>
        <w:tc>
          <w:tcPr>
            <w:tcW w:w="9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900" w:type="dxa"/>
            <w:vAlign w:val="bottom"/>
            <w:gridSpan w:val="3"/>
          </w:tcPr>
          <w:p>
            <w:pPr>
              <w:jc w:val="center"/>
              <w:ind w:left="509"/>
              <w:spacing w:after="0"/>
              <w:rPr>
                <w:sz w:val="20"/>
                <w:szCs w:val="20"/>
                <w:color w:val="auto"/>
              </w:rPr>
            </w:pPr>
            <w:r>
              <w:rPr>
                <w:rFonts w:ascii="Times New Roman" w:cs="Times New Roman" w:eastAsia="Times New Roman" w:hAnsi="Times New Roman"/>
                <w:sz w:val="14"/>
                <w:szCs w:val="14"/>
                <w:b w:val="1"/>
                <w:bCs w:val="1"/>
                <w:color w:val="auto"/>
              </w:rPr>
              <w:t>(702) 770-7555</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9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30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(Registrant’s telephone number, including area code)</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9"/>
        </w:trPr>
        <w:tc>
          <w:tcPr>
            <w:tcW w:w="9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180" w:type="dxa"/>
            <w:vAlign w:val="bottom"/>
          </w:tcPr>
          <w:p>
            <w:pPr>
              <w:jc w:val="center"/>
              <w:ind w:right="1059"/>
              <w:spacing w:after="0"/>
              <w:rPr>
                <w:sz w:val="20"/>
                <w:szCs w:val="20"/>
                <w:color w:val="auto"/>
              </w:rPr>
            </w:pPr>
            <w:r>
              <w:rPr>
                <w:rFonts w:ascii="Times New Roman" w:cs="Times New Roman" w:eastAsia="Times New Roman" w:hAnsi="Times New Roman"/>
                <w:sz w:val="14"/>
                <w:szCs w:val="14"/>
                <w:b w:val="1"/>
                <w:bCs w:val="1"/>
                <w:color w:val="auto"/>
              </w:rPr>
              <w:t>Not Applicable</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9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30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(Former name or former address, if changed since last report)</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34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46"/>
        </w:trPr>
        <w:tc>
          <w:tcPr>
            <w:tcW w:w="3400" w:type="dxa"/>
            <w:vAlign w:val="bottom"/>
            <w:gridSpan w:val="3"/>
            <w:vMerge w:val="continue"/>
          </w:tcPr>
          <w:p>
            <w:pPr>
              <w:spacing w:after="0"/>
              <w:rPr>
                <w:sz w:val="24"/>
                <w:szCs w:val="24"/>
                <w:color w:val="auto"/>
              </w:rPr>
            </w:pPr>
          </w:p>
        </w:tc>
        <w:tc>
          <w:tcPr>
            <w:tcW w:w="6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980" w:type="dxa"/>
            <w:vAlign w:val="bottom"/>
          </w:tcPr>
          <w:p>
            <w:pPr>
              <w:spacing w:after="0"/>
              <w:rPr>
                <w:sz w:val="14"/>
                <w:szCs w:val="14"/>
                <w:color w:val="auto"/>
              </w:rPr>
            </w:pPr>
          </w:p>
        </w:tc>
        <w:tc>
          <w:tcPr>
            <w:tcW w:w="2420" w:type="dxa"/>
            <w:vAlign w:val="bottom"/>
            <w:gridSpan w:val="2"/>
          </w:tcPr>
          <w:p>
            <w:pPr>
              <w:jc w:val="center"/>
              <w:ind w:right="136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600" w:type="dxa"/>
            <w:vAlign w:val="bottom"/>
          </w:tcPr>
          <w:p>
            <w:pPr>
              <w:spacing w:after="0"/>
              <w:rPr>
                <w:sz w:val="14"/>
                <w:szCs w:val="14"/>
                <w:color w:val="auto"/>
              </w:rPr>
            </w:pPr>
          </w:p>
        </w:tc>
        <w:tc>
          <w:tcPr>
            <w:tcW w:w="3300" w:type="dxa"/>
            <w:vAlign w:val="bottom"/>
            <w:gridSpan w:val="2"/>
          </w:tcPr>
          <w:p>
            <w:pPr>
              <w:jc w:val="center"/>
              <w:ind w:right="2119"/>
              <w:spacing w:after="0"/>
              <w:rPr>
                <w:sz w:val="20"/>
                <w:szCs w:val="20"/>
                <w:color w:val="auto"/>
              </w:rPr>
            </w:pPr>
            <w:r>
              <w:rPr>
                <w:rFonts w:ascii="Times New Roman" w:cs="Times New Roman" w:eastAsia="Times New Roman" w:hAnsi="Times New Roman"/>
                <w:sz w:val="14"/>
                <w:szCs w:val="14"/>
                <w:b w:val="1"/>
                <w:bCs w:val="1"/>
                <w:color w:val="auto"/>
                <w:w w:val="99"/>
              </w:rPr>
              <w:t>Trading Symbol(s)</w:t>
            </w:r>
          </w:p>
        </w:tc>
        <w:tc>
          <w:tcPr>
            <w:tcW w:w="3980" w:type="dxa"/>
            <w:vAlign w:val="bottom"/>
            <w:gridSpan w:val="4"/>
          </w:tcPr>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20" w:type="dxa"/>
            <w:vAlign w:val="bottom"/>
            <w:gridSpan w:val="2"/>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40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color w:val="auto"/>
              </w:rPr>
              <w:t>Common stock, par value $0.01</w:t>
            </w:r>
          </w:p>
        </w:tc>
        <w:tc>
          <w:tcPr>
            <w:tcW w:w="600" w:type="dxa"/>
            <w:vAlign w:val="bottom"/>
          </w:tcPr>
          <w:p>
            <w:pPr>
              <w:spacing w:after="0"/>
              <w:rPr>
                <w:sz w:val="16"/>
                <w:szCs w:val="16"/>
                <w:color w:val="auto"/>
              </w:rPr>
            </w:pPr>
          </w:p>
        </w:tc>
        <w:tc>
          <w:tcPr>
            <w:tcW w:w="3300" w:type="dxa"/>
            <w:vAlign w:val="bottom"/>
            <w:gridSpan w:val="2"/>
          </w:tcPr>
          <w:p>
            <w:pPr>
              <w:jc w:val="center"/>
              <w:ind w:right="2119"/>
              <w:spacing w:after="0"/>
              <w:rPr>
                <w:sz w:val="20"/>
                <w:szCs w:val="20"/>
                <w:color w:val="auto"/>
              </w:rPr>
            </w:pPr>
            <w:r>
              <w:rPr>
                <w:rFonts w:ascii="Times New Roman" w:cs="Times New Roman" w:eastAsia="Times New Roman" w:hAnsi="Times New Roman"/>
                <w:sz w:val="14"/>
                <w:szCs w:val="14"/>
                <w:color w:val="auto"/>
              </w:rPr>
              <w:t>WYNN</w:t>
            </w:r>
          </w:p>
        </w:tc>
        <w:tc>
          <w:tcPr>
            <w:tcW w:w="80" w:type="dxa"/>
            <w:vAlign w:val="bottom"/>
          </w:tcPr>
          <w:p>
            <w:pPr>
              <w:spacing w:after="0"/>
              <w:rPr>
                <w:sz w:val="16"/>
                <w:szCs w:val="16"/>
                <w:color w:val="auto"/>
              </w:rPr>
            </w:pPr>
          </w:p>
        </w:tc>
        <w:tc>
          <w:tcPr>
            <w:tcW w:w="3900" w:type="dxa"/>
            <w:vAlign w:val="bottom"/>
            <w:gridSpan w:val="3"/>
          </w:tcPr>
          <w:p>
            <w:pPr>
              <w:jc w:val="center"/>
              <w:ind w:right="1280"/>
              <w:spacing w:after="0"/>
              <w:rPr>
                <w:sz w:val="20"/>
                <w:szCs w:val="20"/>
                <w:color w:val="auto"/>
              </w:rPr>
            </w:pPr>
            <w:r>
              <w:rPr>
                <w:rFonts w:ascii="Times New Roman" w:cs="Times New Roman" w:eastAsia="Times New Roman" w:hAnsi="Times New Roman"/>
                <w:sz w:val="14"/>
                <w:szCs w:val="14"/>
                <w:color w:val="auto"/>
              </w:rPr>
              <w:t>Nasdaq Global Select Market</w:t>
            </w:r>
          </w:p>
        </w:tc>
        <w:tc>
          <w:tcPr>
            <w:tcW w:w="0" w:type="dxa"/>
            <w:vAlign w:val="bottom"/>
          </w:tcPr>
          <w:p>
            <w:pPr>
              <w:spacing w:after="0"/>
              <w:rPr>
                <w:sz w:val="1"/>
                <w:szCs w:val="1"/>
                <w:color w:val="auto"/>
              </w:rPr>
            </w:pPr>
          </w:p>
        </w:tc>
      </w:tr>
      <w:tr>
        <w:trPr>
          <w:trHeight w:val="161"/>
        </w:trPr>
        <w:tc>
          <w:tcPr>
            <w:tcW w:w="9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2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6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23" w:lineRule="exact"/>
        <w:rPr>
          <w:sz w:val="24"/>
          <w:szCs w:val="24"/>
          <w:color w:val="auto"/>
        </w:rPr>
      </w:pPr>
    </w:p>
    <w:p>
      <w:pPr>
        <w:ind w:left="280" w:hanging="275"/>
        <w:spacing w:after="0"/>
        <w:tabs>
          <w:tab w:leader="none" w:pos="2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21" w:lineRule="exact"/>
        <w:rPr>
          <w:rFonts w:ascii="MS PGothic" w:cs="MS PGothic" w:eastAsia="MS PGothic" w:hAnsi="MS PGothic"/>
          <w:sz w:val="14"/>
          <w:szCs w:val="14"/>
          <w:color w:val="auto"/>
        </w:rPr>
      </w:pPr>
    </w:p>
    <w:p>
      <w:pPr>
        <w:ind w:left="280" w:hanging="275"/>
        <w:spacing w:after="0"/>
        <w:tabs>
          <w:tab w:leader="none" w:pos="2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9" w:lineRule="exact"/>
        <w:rPr>
          <w:rFonts w:ascii="MS PGothic" w:cs="MS PGothic" w:eastAsia="MS PGothic" w:hAnsi="MS PGothic"/>
          <w:sz w:val="14"/>
          <w:szCs w:val="14"/>
          <w:color w:val="auto"/>
        </w:rPr>
      </w:pPr>
    </w:p>
    <w:p>
      <w:pPr>
        <w:ind w:left="280" w:hanging="275"/>
        <w:spacing w:after="0"/>
        <w:tabs>
          <w:tab w:leader="none" w:pos="2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9" w:lineRule="exact"/>
        <w:rPr>
          <w:rFonts w:ascii="MS PGothic" w:cs="MS PGothic" w:eastAsia="MS PGothic" w:hAnsi="MS PGothic"/>
          <w:sz w:val="14"/>
          <w:szCs w:val="14"/>
          <w:color w:val="auto"/>
        </w:rPr>
      </w:pPr>
    </w:p>
    <w:p>
      <w:pPr>
        <w:ind w:left="280" w:hanging="275"/>
        <w:spacing w:after="0"/>
        <w:tabs>
          <w:tab w:leader="none" w:pos="2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9" w:lineRule="exact"/>
        <w:rPr>
          <w:sz w:val="24"/>
          <w:szCs w:val="24"/>
          <w:color w:val="auto"/>
        </w:rPr>
      </w:pPr>
    </w:p>
    <w:p>
      <w:pPr>
        <w:spacing w:after="0" w:line="251"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32" w:lineRule="exact"/>
        <w:rPr>
          <w:sz w:val="24"/>
          <w:szCs w:val="24"/>
          <w:color w:val="auto"/>
        </w:rPr>
      </w:pPr>
    </w:p>
    <w:p>
      <w:pPr>
        <w:spacing w:after="0" w:line="177"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537210</wp:posOffset>
            </wp:positionV>
            <wp:extent cx="71869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5" w:right="319" w:bottom="1440" w:gutter="0" w:footer="0" w:header="0"/>
        </w:sectPr>
      </w:pPr>
    </w:p>
    <w:bookmarkStart w:id="1" w:name="page2"/>
    <w:bookmarkEnd w:id="1"/>
    <w:p>
      <w:pPr>
        <w:ind w:left="20"/>
        <w:spacing w:after="0"/>
        <w:tabs>
          <w:tab w:leader="none" w:pos="1340" w:val="left"/>
        </w:tabs>
        <w:rPr>
          <w:sz w:val="20"/>
          <w:szCs w:val="20"/>
          <w:color w:val="auto"/>
        </w:rPr>
      </w:pPr>
      <w:r>
        <w:rPr>
          <w:rFonts w:ascii="Times New Roman" w:cs="Times New Roman" w:eastAsia="Times New Roman" w:hAnsi="Times New Roman"/>
          <w:sz w:val="14"/>
          <w:szCs w:val="14"/>
          <w:b w:val="1"/>
          <w:bCs w:val="1"/>
          <w:color w:val="auto"/>
        </w:rPr>
        <w:t>Item 7.01</w:t>
      </w:r>
      <w:r>
        <w:rPr>
          <w:sz w:val="20"/>
          <w:szCs w:val="20"/>
          <w:color w:val="auto"/>
        </w:rPr>
        <w:tab/>
      </w:r>
      <w:r>
        <w:rPr>
          <w:rFonts w:ascii="Times New Roman" w:cs="Times New Roman" w:eastAsia="Times New Roman" w:hAnsi="Times New Roman"/>
          <w:sz w:val="14"/>
          <w:szCs w:val="14"/>
          <w:b w:val="1"/>
          <w:bCs w:val="1"/>
          <w:color w:val="auto"/>
        </w:rPr>
        <w:t>Regulation FD Disclosure.</w:t>
      </w:r>
    </w:p>
    <w:p>
      <w:pPr>
        <w:spacing w:after="0" w:line="276"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On August 29, 2022, Wynn Macau, Limited ("WML"), an indirect subsidiary of Wynn Resorts, Limited (the "Registrant") with its ordinary shares of common stock listed on The Stock Exchange of Hong Kong Limited (the "HKSE"), filed with the HKSE its interim report in respect of the six months ended June 30, 2022 (the "Interim Report"). The Registrant owns approximately 72% of WML's ordinary shares of common stock. The Interim Report is furnished herewith as Exhibit 99.1. The information in this Form 8-K and Exhibit 99.1 attached hereto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Item 9.01</w:t>
            </w:r>
          </w:p>
        </w:tc>
        <w:tc>
          <w:tcPr>
            <w:tcW w:w="9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Financial Statements and Exhibits.</w:t>
            </w:r>
          </w:p>
        </w:tc>
      </w:tr>
      <w:tr>
        <w:trPr>
          <w:trHeight w:val="340"/>
        </w:trPr>
        <w:tc>
          <w:tcPr>
            <w:tcW w:w="20" w:type="dxa"/>
            <w:vAlign w:val="bottom"/>
          </w:tcPr>
          <w:p>
            <w:pPr>
              <w:spacing w:after="0"/>
              <w:rPr>
                <w:sz w:val="24"/>
                <w:szCs w:val="24"/>
                <w:color w:val="auto"/>
              </w:rPr>
            </w:pPr>
          </w:p>
        </w:tc>
        <w:tc>
          <w:tcPr>
            <w:tcW w:w="13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(d) Exhibits.</w:t>
            </w:r>
          </w:p>
        </w:tc>
        <w:tc>
          <w:tcPr>
            <w:tcW w:w="56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4840" w:type="dxa"/>
            <w:vAlign w:val="bottom"/>
          </w:tcPr>
          <w:p>
            <w:pPr>
              <w:spacing w:after="0"/>
              <w:rPr>
                <w:sz w:val="24"/>
                <w:szCs w:val="24"/>
                <w:color w:val="auto"/>
              </w:rPr>
            </w:pPr>
          </w:p>
        </w:tc>
      </w:tr>
      <w:tr>
        <w:trPr>
          <w:trHeight w:val="138"/>
        </w:trPr>
        <w:tc>
          <w:tcPr>
            <w:tcW w:w="20" w:type="dxa"/>
            <w:vAlign w:val="bottom"/>
          </w:tcPr>
          <w:p>
            <w:pPr>
              <w:spacing w:after="0"/>
              <w:rPr>
                <w:sz w:val="12"/>
                <w:szCs w:val="12"/>
                <w:color w:val="auto"/>
              </w:rPr>
            </w:pPr>
          </w:p>
        </w:tc>
        <w:tc>
          <w:tcPr>
            <w:tcW w:w="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Exhibit No.</w:t>
            </w:r>
          </w:p>
        </w:tc>
        <w:tc>
          <w:tcPr>
            <w:tcW w:w="780" w:type="dxa"/>
            <w:vAlign w:val="bottom"/>
          </w:tcPr>
          <w:p>
            <w:pPr>
              <w:spacing w:after="0"/>
              <w:rPr>
                <w:sz w:val="12"/>
                <w:szCs w:val="12"/>
                <w:color w:val="auto"/>
              </w:rPr>
            </w:pPr>
          </w:p>
        </w:tc>
        <w:tc>
          <w:tcPr>
            <w:tcW w:w="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w w:val="99"/>
              </w:rPr>
              <w:t>Description</w:t>
            </w:r>
          </w:p>
        </w:tc>
        <w:tc>
          <w:tcPr>
            <w:tcW w:w="9360" w:type="dxa"/>
            <w:vAlign w:val="bottom"/>
            <w:gridSpan w:val="2"/>
          </w:tcPr>
          <w:p>
            <w:pPr>
              <w:spacing w:after="0"/>
              <w:rPr>
                <w:sz w:val="12"/>
                <w:szCs w:val="12"/>
                <w:color w:val="auto"/>
              </w:rPr>
            </w:pPr>
          </w:p>
        </w:tc>
      </w:tr>
      <w:tr>
        <w:trPr>
          <w:trHeight w:val="213"/>
        </w:trPr>
        <w:tc>
          <w:tcPr>
            <w:tcW w:w="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99.1</w:t>
            </w:r>
          </w:p>
        </w:tc>
        <w:tc>
          <w:tcPr>
            <w:tcW w:w="780" w:type="dxa"/>
            <w:vAlign w:val="bottom"/>
          </w:tcPr>
          <w:p>
            <w:pPr>
              <w:spacing w:after="0"/>
              <w:rPr>
                <w:sz w:val="18"/>
                <w:szCs w:val="18"/>
                <w:color w:val="auto"/>
              </w:rPr>
            </w:pPr>
          </w:p>
        </w:tc>
        <w:tc>
          <w:tcPr>
            <w:tcW w:w="9920" w:type="dxa"/>
            <w:vAlign w:val="bottom"/>
            <w:gridSpan w:val="3"/>
          </w:tcPr>
          <w:p>
            <w:pPr>
              <w:spacing w:after="0"/>
              <w:rPr>
                <w:sz w:val="20"/>
                <w:szCs w:val="20"/>
                <w:color w:val="auto"/>
              </w:rPr>
            </w:pPr>
            <w:r>
              <w:rPr>
                <w:rFonts w:ascii="Times New Roman" w:cs="Times New Roman" w:eastAsia="Times New Roman" w:hAnsi="Times New Roman"/>
                <w:sz w:val="14"/>
                <w:szCs w:val="14"/>
                <w:color w:val="0000FF"/>
              </w:rPr>
              <w:t>Interim Report of Wynn Macau, Limited in respect of the six months ended June 30, 2022</w:t>
            </w:r>
          </w:p>
        </w:tc>
      </w:tr>
      <w:tr>
        <w:trPr>
          <w:trHeight w:val="20"/>
        </w:trPr>
        <w:tc>
          <w:tcPr>
            <w:tcW w:w="5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80" w:type="dxa"/>
            <w:vAlign w:val="bottom"/>
            <w:gridSpan w:val="2"/>
            <w:shd w:val="clear" w:color="auto" w:fill="0000FF"/>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r>
      <w:tr>
        <w:trPr>
          <w:trHeight w:val="192"/>
        </w:trPr>
        <w:tc>
          <w:tcPr>
            <w:tcW w:w="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104</w:t>
            </w:r>
          </w:p>
        </w:tc>
        <w:tc>
          <w:tcPr>
            <w:tcW w:w="780" w:type="dxa"/>
            <w:vAlign w:val="bottom"/>
          </w:tcPr>
          <w:p>
            <w:pPr>
              <w:spacing w:after="0"/>
              <w:rPr>
                <w:sz w:val="16"/>
                <w:szCs w:val="16"/>
                <w:color w:val="auto"/>
              </w:rPr>
            </w:pPr>
          </w:p>
        </w:tc>
        <w:tc>
          <w:tcPr>
            <w:tcW w:w="99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Cover Page Interactive Data File - the cover page XBRL tags are embedded within the Inline XBRL document</w:t>
            </w:r>
          </w:p>
        </w:tc>
      </w:tr>
      <w:tr>
        <w:trPr>
          <w:trHeight w:val="957"/>
        </w:trPr>
        <w:tc>
          <w:tcPr>
            <w:tcW w:w="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4520" w:type="dxa"/>
            <w:vAlign w:val="bottom"/>
            <w:tcBorders>
              <w:bottom w:val="single" w:sz="8" w:color="9A9A9A"/>
            </w:tcBorders>
          </w:tcPr>
          <w:p>
            <w:pPr>
              <w:spacing w:after="0"/>
              <w:rPr>
                <w:sz w:val="24"/>
                <w:szCs w:val="24"/>
                <w:color w:val="auto"/>
              </w:rPr>
            </w:pPr>
          </w:p>
        </w:tc>
        <w:tc>
          <w:tcPr>
            <w:tcW w:w="4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2" w:name="page3"/>
    <w:bookmarkEnd w:id="2"/>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4"/>
          <w:szCs w:val="14"/>
          <w:b w:val="1"/>
          <w:bCs w:val="1"/>
          <w:color w:val="auto"/>
        </w:rPr>
        <w:t>WYNN RESORTS, LIMITED</w:t>
      </w:r>
    </w:p>
    <w:p>
      <w:pPr>
        <w:sectPr>
          <w:pgSz w:w="11900" w:h="16838" w:orient="portrait"/>
          <w:cols w:equalWidth="0" w:num="1">
            <w:col w:w="10320"/>
          </w:cols>
          <w:pgMar w:left="660" w:top="728" w:right="919" w:bottom="1440" w:gutter="0" w:footer="0" w:header="0"/>
        </w:sectPr>
      </w:pP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Dated: August 29, 2022</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3"/>
          <w:szCs w:val="13"/>
          <w:color w:val="auto"/>
        </w:rPr>
        <w:t>By:</w:t>
      </w:r>
      <w:r>
        <w:rPr>
          <w:sz w:val="20"/>
          <w:szCs w:val="20"/>
          <w:color w:val="auto"/>
        </w:rPr>
        <w:tab/>
      </w:r>
      <w:r>
        <w:rPr>
          <w:rFonts w:ascii="Times New Roman" w:cs="Times New Roman" w:eastAsia="Times New Roman" w:hAnsi="Times New Roman"/>
          <w:sz w:val="13"/>
          <w:szCs w:val="13"/>
          <w:color w:val="auto"/>
        </w:rPr>
        <w:t>/s/ Julie Cameron-Doe</w:t>
      </w:r>
    </w:p>
    <w:p>
      <w:pPr>
        <w:spacing w:after="0" w:line="34" w:lineRule="exact"/>
        <w:rPr>
          <w:sz w:val="20"/>
          <w:szCs w:val="20"/>
          <w:color w:val="auto"/>
        </w:rPr>
      </w:pPr>
    </w:p>
    <w:p>
      <w:pPr>
        <w:sectPr>
          <w:pgSz w:w="11900" w:h="16838" w:orient="portrait"/>
          <w:cols w:equalWidth="0" w:num="2">
            <w:col w:w="5760" w:space="720"/>
            <w:col w:w="3840"/>
          </w:cols>
          <w:pgMar w:left="660" w:top="728" w:right="919" w:bottom="1440" w:gutter="0" w:footer="0" w:header="0"/>
          <w:type w:val="continuous"/>
        </w:sectPr>
      </w:pPr>
    </w:p>
    <w:p>
      <w:pPr>
        <w:ind w:left="6580"/>
        <w:spacing w:after="0"/>
        <w:rPr>
          <w:sz w:val="20"/>
          <w:szCs w:val="20"/>
          <w:color w:val="auto"/>
        </w:rPr>
      </w:pPr>
      <w:r>
        <w:rPr>
          <w:rFonts w:ascii="Times New Roman" w:cs="Times New Roman" w:eastAsia="Times New Roman" w:hAnsi="Times New Roman"/>
          <w:sz w:val="14"/>
          <w:szCs w:val="14"/>
          <w:color w:val="auto"/>
        </w:rPr>
        <w:t>Julie Cameron-Doe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-101600</wp:posOffset>
            </wp:positionV>
            <wp:extent cx="248793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87930" cy="698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19"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4"/>
          <w:szCs w:val="14"/>
          <w:color w:val="auto"/>
        </w:rPr>
        <w:t>(Principal Financial and Accounting Officer)</w:t>
      </w:r>
    </w:p>
    <w:p>
      <w:pPr>
        <w:sectPr>
          <w:pgSz w:w="11900" w:h="16838" w:orient="portrait"/>
          <w:cols w:equalWidth="0" w:num="1">
            <w:col w:w="10320"/>
          </w:cols>
          <w:pgMar w:left="660" w:top="728" w:right="919" w:bottom="1440" w:gutter="0" w:footer="0" w:header="0"/>
          <w:type w:val="continuous"/>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275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9733915</wp:posOffset>
            </wp:positionV>
            <wp:extent cx="7105650" cy="196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9733915</wp:posOffset>
            </wp:positionV>
            <wp:extent cx="7105650" cy="196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9733280</wp:posOffset>
            </wp:positionV>
            <wp:extent cx="7105650" cy="196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2022-08-29T15:52:55Z</dcterms:created>
  <dcterms:modified xsi:type="dcterms:W3CDTF">2022-08-29T15:52:55Z</dcterms:modified>
</cp:coreProperties>
</file>