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jc w:val="center"/>
        <w:spacing w:after="0" w:line="227" w:lineRule="auto"/>
        <w:rPr>
          <w:sz w:val="20"/>
          <w:szCs w:val="20"/>
          <w:color w:val="auto"/>
        </w:rPr>
      </w:pPr>
      <w:r>
        <w:rPr>
          <w:rFonts w:ascii="Arial" w:cs="Arial" w:eastAsia="Arial" w:hAnsi="Arial"/>
          <w:sz w:val="20"/>
          <w:szCs w:val="20"/>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180" w:lineRule="exact"/>
        <w:rPr>
          <w:sz w:val="24"/>
          <w:szCs w:val="24"/>
          <w:color w:val="auto"/>
        </w:rPr>
      </w:pPr>
    </w:p>
    <w:tbl>
      <w:tblPr>
        <w:tblLayout w:type="fixed"/>
        <w:tblInd w:w="720" w:type="dxa"/>
        <w:tblCellMar>
          <w:top w:w="0" w:type="dxa"/>
          <w:left w:w="0" w:type="dxa"/>
          <w:bottom w:w="0" w:type="dxa"/>
          <w:right w:w="0" w:type="dxa"/>
        </w:tblCellMar>
      </w:tblPr>
      <w:tr>
        <w:trPr>
          <w:trHeight w:val="256"/>
        </w:trPr>
        <w:tc>
          <w:tcPr>
            <w:tcW w:w="238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rPr>
              <w:t>FORM 8-K/A</w:t>
            </w:r>
          </w:p>
        </w:tc>
        <w:tc>
          <w:tcPr>
            <w:tcW w:w="2120" w:type="dxa"/>
            <w:vAlign w:val="bottom"/>
          </w:tcPr>
          <w:p>
            <w:pPr>
              <w:spacing w:after="0"/>
              <w:rPr>
                <w:sz w:val="22"/>
                <w:szCs w:val="22"/>
                <w:color w:val="auto"/>
              </w:rPr>
            </w:pPr>
          </w:p>
        </w:tc>
      </w:tr>
      <w:tr>
        <w:trPr>
          <w:trHeight w:val="432"/>
        </w:trPr>
        <w:tc>
          <w:tcPr>
            <w:tcW w:w="238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90"/>
              </w:rPr>
              <w:t>Amendment No. 1</w:t>
            </w:r>
          </w:p>
        </w:tc>
        <w:tc>
          <w:tcPr>
            <w:tcW w:w="2120" w:type="dxa"/>
            <w:vAlign w:val="bottom"/>
          </w:tcPr>
          <w:p>
            <w:pPr>
              <w:spacing w:after="0"/>
              <w:rPr>
                <w:sz w:val="24"/>
                <w:szCs w:val="24"/>
                <w:color w:val="auto"/>
              </w:rPr>
            </w:pPr>
          </w:p>
        </w:tc>
      </w:tr>
      <w:tr>
        <w:trPr>
          <w:trHeight w:val="392"/>
        </w:trPr>
        <w:tc>
          <w:tcPr>
            <w:tcW w:w="2380" w:type="dxa"/>
            <w:vAlign w:val="bottom"/>
          </w:tcPr>
          <w:p>
            <w:pPr>
              <w:spacing w:after="0"/>
              <w:rPr>
                <w:sz w:val="24"/>
                <w:szCs w:val="24"/>
                <w:color w:val="auto"/>
              </w:rPr>
            </w:pPr>
          </w:p>
        </w:tc>
        <w:tc>
          <w:tcPr>
            <w:tcW w:w="4700" w:type="dxa"/>
            <w:vAlign w:val="bottom"/>
          </w:tcPr>
          <w:p>
            <w:pPr>
              <w:jc w:val="center"/>
              <w:ind w:right="1"/>
              <w:spacing w:after="0"/>
              <w:rPr>
                <w:sz w:val="20"/>
                <w:szCs w:val="20"/>
                <w:color w:val="auto"/>
              </w:rPr>
            </w:pPr>
            <w:r>
              <w:rPr>
                <w:rFonts w:ascii="Arial" w:cs="Arial" w:eastAsia="Arial" w:hAnsi="Arial"/>
                <w:sz w:val="20"/>
                <w:szCs w:val="20"/>
                <w:b w:val="1"/>
                <w:bCs w:val="1"/>
                <w:color w:val="auto"/>
                <w:w w:val="98"/>
              </w:rPr>
              <w:t>CURRENT REPORT</w:t>
            </w:r>
          </w:p>
        </w:tc>
        <w:tc>
          <w:tcPr>
            <w:tcW w:w="212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4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89"/>
              </w:rPr>
              <w:t>Pursuant to Section 13 or 15(d) of</w:t>
            </w:r>
          </w:p>
        </w:tc>
        <w:tc>
          <w:tcPr>
            <w:tcW w:w="2120" w:type="dxa"/>
            <w:vAlign w:val="bottom"/>
          </w:tcPr>
          <w:p>
            <w:pPr>
              <w:spacing w:after="0"/>
              <w:rPr>
                <w:sz w:val="18"/>
                <w:szCs w:val="18"/>
                <w:color w:val="auto"/>
              </w:rPr>
            </w:pPr>
          </w:p>
        </w:tc>
      </w:tr>
      <w:tr>
        <w:trPr>
          <w:trHeight w:val="256"/>
        </w:trPr>
        <w:tc>
          <w:tcPr>
            <w:tcW w:w="238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88"/>
              </w:rPr>
              <w:t>The Securities Exchange Act of 1934</w:t>
            </w:r>
          </w:p>
        </w:tc>
        <w:tc>
          <w:tcPr>
            <w:tcW w:w="2120" w:type="dxa"/>
            <w:vAlign w:val="bottom"/>
          </w:tcPr>
          <w:p>
            <w:pPr>
              <w:spacing w:after="0"/>
              <w:rPr>
                <w:sz w:val="22"/>
                <w:szCs w:val="22"/>
                <w:color w:val="auto"/>
              </w:rPr>
            </w:pPr>
          </w:p>
        </w:tc>
      </w:tr>
      <w:tr>
        <w:trPr>
          <w:trHeight w:val="392"/>
        </w:trPr>
        <w:tc>
          <w:tcPr>
            <w:tcW w:w="238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20"/>
                <w:szCs w:val="20"/>
                <w:color w:val="auto"/>
                <w:w w:val="90"/>
              </w:rPr>
              <w:t>Date of Report (Date of Earliest Event Reported):</w:t>
            </w:r>
          </w:p>
        </w:tc>
        <w:tc>
          <w:tcPr>
            <w:tcW w:w="2120" w:type="dxa"/>
            <w:vAlign w:val="bottom"/>
          </w:tcPr>
          <w:p>
            <w:pPr>
              <w:spacing w:after="0"/>
              <w:rPr>
                <w:sz w:val="24"/>
                <w:szCs w:val="24"/>
                <w:color w:val="auto"/>
              </w:rPr>
            </w:pPr>
          </w:p>
        </w:tc>
      </w:tr>
      <w:tr>
        <w:trPr>
          <w:trHeight w:val="256"/>
        </w:trPr>
        <w:tc>
          <w:tcPr>
            <w:tcW w:w="238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89"/>
              </w:rPr>
              <w:t>June 9, 2008</w:t>
            </w:r>
          </w:p>
        </w:tc>
        <w:tc>
          <w:tcPr>
            <w:tcW w:w="2120" w:type="dxa"/>
            <w:vAlign w:val="bottom"/>
          </w:tcPr>
          <w:p>
            <w:pPr>
              <w:spacing w:after="0"/>
              <w:rPr>
                <w:sz w:val="22"/>
                <w:szCs w:val="22"/>
                <w:color w:val="auto"/>
              </w:rPr>
            </w:pPr>
          </w:p>
        </w:tc>
      </w:tr>
      <w:tr>
        <w:trPr>
          <w:trHeight w:val="398"/>
        </w:trPr>
        <w:tc>
          <w:tcPr>
            <w:tcW w:w="238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91"/>
              </w:rPr>
              <w:t>Wynn Resorts, Limited</w:t>
            </w:r>
          </w:p>
        </w:tc>
        <w:tc>
          <w:tcPr>
            <w:tcW w:w="2120" w:type="dxa"/>
            <w:vAlign w:val="bottom"/>
          </w:tcPr>
          <w:p>
            <w:pPr>
              <w:spacing w:after="0"/>
              <w:rPr>
                <w:sz w:val="24"/>
                <w:szCs w:val="24"/>
                <w:color w:val="auto"/>
              </w:rPr>
            </w:pPr>
          </w:p>
        </w:tc>
      </w:tr>
      <w:tr>
        <w:trPr>
          <w:trHeight w:val="250"/>
        </w:trPr>
        <w:tc>
          <w:tcPr>
            <w:tcW w:w="238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20"/>
                <w:szCs w:val="20"/>
                <w:color w:val="auto"/>
                <w:w w:val="90"/>
              </w:rPr>
              <w:t>(Exact Name of Registrant as specified in Charter)</w:t>
            </w:r>
          </w:p>
        </w:tc>
        <w:tc>
          <w:tcPr>
            <w:tcW w:w="2120" w:type="dxa"/>
            <w:vAlign w:val="bottom"/>
          </w:tcPr>
          <w:p>
            <w:pPr>
              <w:spacing w:after="0"/>
              <w:rPr>
                <w:sz w:val="21"/>
                <w:szCs w:val="21"/>
                <w:color w:val="auto"/>
              </w:rPr>
            </w:pPr>
          </w:p>
        </w:tc>
      </w:tr>
      <w:tr>
        <w:trPr>
          <w:trHeight w:val="398"/>
        </w:trPr>
        <w:tc>
          <w:tcPr>
            <w:tcW w:w="238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Nevada</w:t>
            </w: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89"/>
              </w:rPr>
              <w:t>000-50028</w:t>
            </w:r>
          </w:p>
        </w:tc>
        <w:tc>
          <w:tcPr>
            <w:tcW w:w="2120" w:type="dxa"/>
            <w:vAlign w:val="bottom"/>
          </w:tcPr>
          <w:p>
            <w:pPr>
              <w:jc w:val="center"/>
              <w:ind w:left="201"/>
              <w:spacing w:after="0"/>
              <w:rPr>
                <w:sz w:val="20"/>
                <w:szCs w:val="20"/>
                <w:color w:val="auto"/>
              </w:rPr>
            </w:pPr>
            <w:r>
              <w:rPr>
                <w:rFonts w:ascii="Arial" w:cs="Arial" w:eastAsia="Arial" w:hAnsi="Arial"/>
                <w:sz w:val="20"/>
                <w:szCs w:val="20"/>
                <w:b w:val="1"/>
                <w:bCs w:val="1"/>
                <w:color w:val="auto"/>
                <w:w w:val="88"/>
              </w:rPr>
              <w:t>46-0484987</w:t>
            </w:r>
          </w:p>
        </w:tc>
      </w:tr>
      <w:tr>
        <w:trPr>
          <w:trHeight w:val="216"/>
        </w:trPr>
        <w:tc>
          <w:tcPr>
            <w:tcW w:w="2380" w:type="dxa"/>
            <w:vAlign w:val="bottom"/>
          </w:tcPr>
          <w:p>
            <w:pPr>
              <w:jc w:val="center"/>
              <w:ind w:right="121"/>
              <w:spacing w:after="0" w:line="216" w:lineRule="exact"/>
              <w:rPr>
                <w:sz w:val="20"/>
                <w:szCs w:val="20"/>
                <w:color w:val="auto"/>
              </w:rPr>
            </w:pPr>
            <w:r>
              <w:rPr>
                <w:rFonts w:ascii="Arial" w:cs="Arial" w:eastAsia="Arial" w:hAnsi="Arial"/>
                <w:sz w:val="20"/>
                <w:szCs w:val="20"/>
                <w:color w:val="auto"/>
                <w:w w:val="90"/>
              </w:rPr>
              <w:t>(State or Other Jurisdiction</w:t>
            </w:r>
          </w:p>
        </w:tc>
        <w:tc>
          <w:tcPr>
            <w:tcW w:w="4700" w:type="dxa"/>
            <w:vAlign w:val="bottom"/>
          </w:tcPr>
          <w:p>
            <w:pPr>
              <w:jc w:val="center"/>
              <w:spacing w:after="0" w:line="216" w:lineRule="exact"/>
              <w:rPr>
                <w:sz w:val="20"/>
                <w:szCs w:val="20"/>
                <w:color w:val="auto"/>
              </w:rPr>
            </w:pPr>
            <w:r>
              <w:rPr>
                <w:rFonts w:ascii="Arial" w:cs="Arial" w:eastAsia="Arial" w:hAnsi="Arial"/>
                <w:sz w:val="20"/>
                <w:szCs w:val="20"/>
                <w:color w:val="auto"/>
                <w:w w:val="91"/>
              </w:rPr>
              <w:t>(Commission File</w:t>
            </w:r>
          </w:p>
        </w:tc>
        <w:tc>
          <w:tcPr>
            <w:tcW w:w="2120" w:type="dxa"/>
            <w:vAlign w:val="bottom"/>
          </w:tcPr>
          <w:p>
            <w:pPr>
              <w:jc w:val="center"/>
              <w:ind w:left="201"/>
              <w:spacing w:after="0" w:line="216" w:lineRule="exact"/>
              <w:rPr>
                <w:sz w:val="20"/>
                <w:szCs w:val="20"/>
                <w:color w:val="auto"/>
              </w:rPr>
            </w:pPr>
            <w:r>
              <w:rPr>
                <w:rFonts w:ascii="Arial" w:cs="Arial" w:eastAsia="Arial" w:hAnsi="Arial"/>
                <w:sz w:val="20"/>
                <w:szCs w:val="20"/>
                <w:color w:val="auto"/>
                <w:w w:val="91"/>
              </w:rPr>
              <w:t>(I.R.S. Employer</w:t>
            </w:r>
          </w:p>
        </w:tc>
      </w:tr>
      <w:tr>
        <w:trPr>
          <w:trHeight w:val="250"/>
        </w:trPr>
        <w:tc>
          <w:tcPr>
            <w:tcW w:w="2380" w:type="dxa"/>
            <w:vAlign w:val="bottom"/>
          </w:tcPr>
          <w:p>
            <w:pPr>
              <w:jc w:val="center"/>
              <w:ind w:right="121"/>
              <w:spacing w:after="0"/>
              <w:rPr>
                <w:sz w:val="20"/>
                <w:szCs w:val="20"/>
                <w:color w:val="auto"/>
              </w:rPr>
            </w:pPr>
            <w:r>
              <w:rPr>
                <w:rFonts w:ascii="Arial" w:cs="Arial" w:eastAsia="Arial" w:hAnsi="Arial"/>
                <w:sz w:val="20"/>
                <w:szCs w:val="20"/>
                <w:color w:val="auto"/>
                <w:w w:val="93"/>
              </w:rPr>
              <w:t>of Incorporation)</w:t>
            </w:r>
          </w:p>
        </w:tc>
        <w:tc>
          <w:tcPr>
            <w:tcW w:w="4700" w:type="dxa"/>
            <w:vAlign w:val="bottom"/>
          </w:tcPr>
          <w:p>
            <w:pPr>
              <w:jc w:val="center"/>
              <w:ind w:right="1"/>
              <w:spacing w:after="0"/>
              <w:rPr>
                <w:sz w:val="20"/>
                <w:szCs w:val="20"/>
                <w:color w:val="auto"/>
              </w:rPr>
            </w:pPr>
            <w:r>
              <w:rPr>
                <w:rFonts w:ascii="Arial" w:cs="Arial" w:eastAsia="Arial" w:hAnsi="Arial"/>
                <w:sz w:val="20"/>
                <w:szCs w:val="20"/>
                <w:color w:val="auto"/>
                <w:w w:val="92"/>
              </w:rPr>
              <w:t>Number)</w:t>
            </w:r>
          </w:p>
        </w:tc>
        <w:tc>
          <w:tcPr>
            <w:tcW w:w="2120" w:type="dxa"/>
            <w:vAlign w:val="bottom"/>
          </w:tcPr>
          <w:p>
            <w:pPr>
              <w:jc w:val="center"/>
              <w:ind w:left="201"/>
              <w:spacing w:after="0"/>
              <w:rPr>
                <w:sz w:val="20"/>
                <w:szCs w:val="20"/>
                <w:color w:val="auto"/>
              </w:rPr>
            </w:pPr>
            <w:r>
              <w:rPr>
                <w:rFonts w:ascii="Arial" w:cs="Arial" w:eastAsia="Arial" w:hAnsi="Arial"/>
                <w:sz w:val="20"/>
                <w:szCs w:val="20"/>
                <w:color w:val="auto"/>
                <w:w w:val="93"/>
              </w:rPr>
              <w:t>Identification Number)</w:t>
            </w:r>
          </w:p>
        </w:tc>
      </w:tr>
      <w:tr>
        <w:trPr>
          <w:trHeight w:val="392"/>
        </w:trPr>
        <w:tc>
          <w:tcPr>
            <w:tcW w:w="238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88"/>
              </w:rPr>
              <w:t>3131 Las Vegas Boulevard South</w:t>
            </w:r>
          </w:p>
        </w:tc>
        <w:tc>
          <w:tcPr>
            <w:tcW w:w="2120" w:type="dxa"/>
            <w:vAlign w:val="bottom"/>
          </w:tcPr>
          <w:p>
            <w:pPr>
              <w:spacing w:after="0"/>
              <w:rPr>
                <w:sz w:val="24"/>
                <w:szCs w:val="24"/>
                <w:color w:val="auto"/>
              </w:rPr>
            </w:pPr>
          </w:p>
        </w:tc>
      </w:tr>
      <w:tr>
        <w:trPr>
          <w:trHeight w:val="222"/>
        </w:trPr>
        <w:tc>
          <w:tcPr>
            <w:tcW w:w="2380" w:type="dxa"/>
            <w:vAlign w:val="bottom"/>
          </w:tcPr>
          <w:p>
            <w:pPr>
              <w:spacing w:after="0"/>
              <w:rPr>
                <w:sz w:val="19"/>
                <w:szCs w:val="19"/>
                <w:color w:val="auto"/>
              </w:rPr>
            </w:pPr>
          </w:p>
        </w:tc>
        <w:tc>
          <w:tcPr>
            <w:tcW w:w="4700" w:type="dxa"/>
            <w:vAlign w:val="bottom"/>
          </w:tcPr>
          <w:p>
            <w:pPr>
              <w:jc w:val="center"/>
              <w:spacing w:after="0" w:line="222" w:lineRule="exact"/>
              <w:rPr>
                <w:sz w:val="20"/>
                <w:szCs w:val="20"/>
                <w:color w:val="auto"/>
              </w:rPr>
            </w:pPr>
            <w:r>
              <w:rPr>
                <w:rFonts w:ascii="Arial" w:cs="Arial" w:eastAsia="Arial" w:hAnsi="Arial"/>
                <w:sz w:val="20"/>
                <w:szCs w:val="20"/>
                <w:b w:val="1"/>
                <w:bCs w:val="1"/>
                <w:color w:val="auto"/>
                <w:w w:val="88"/>
              </w:rPr>
              <w:t>Las Vegas, Nevada 89109</w:t>
            </w:r>
          </w:p>
        </w:tc>
        <w:tc>
          <w:tcPr>
            <w:tcW w:w="2120" w:type="dxa"/>
            <w:vAlign w:val="bottom"/>
          </w:tcPr>
          <w:p>
            <w:pPr>
              <w:spacing w:after="0"/>
              <w:rPr>
                <w:sz w:val="19"/>
                <w:szCs w:val="19"/>
                <w:color w:val="auto"/>
              </w:rPr>
            </w:pPr>
          </w:p>
        </w:tc>
      </w:tr>
      <w:tr>
        <w:trPr>
          <w:trHeight w:val="250"/>
        </w:trPr>
        <w:tc>
          <w:tcPr>
            <w:tcW w:w="238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20"/>
                <w:szCs w:val="20"/>
                <w:color w:val="auto"/>
                <w:w w:val="91"/>
              </w:rPr>
              <w:t>(Address of principal executive offices) (Zip Code)</w:t>
            </w:r>
          </w:p>
        </w:tc>
        <w:tc>
          <w:tcPr>
            <w:tcW w:w="2120" w:type="dxa"/>
            <w:vAlign w:val="bottom"/>
          </w:tcPr>
          <w:p>
            <w:pPr>
              <w:spacing w:after="0"/>
              <w:rPr>
                <w:sz w:val="21"/>
                <w:szCs w:val="21"/>
                <w:color w:val="auto"/>
              </w:rPr>
            </w:pPr>
          </w:p>
        </w:tc>
      </w:tr>
      <w:tr>
        <w:trPr>
          <w:trHeight w:val="398"/>
        </w:trPr>
        <w:tc>
          <w:tcPr>
            <w:tcW w:w="238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89"/>
              </w:rPr>
              <w:t>(702) 770-7555</w:t>
            </w:r>
          </w:p>
        </w:tc>
        <w:tc>
          <w:tcPr>
            <w:tcW w:w="2120" w:type="dxa"/>
            <w:vAlign w:val="bottom"/>
          </w:tcPr>
          <w:p>
            <w:pPr>
              <w:spacing w:after="0"/>
              <w:rPr>
                <w:sz w:val="24"/>
                <w:szCs w:val="24"/>
                <w:color w:val="auto"/>
              </w:rPr>
            </w:pPr>
          </w:p>
        </w:tc>
      </w:tr>
      <w:tr>
        <w:trPr>
          <w:trHeight w:val="210"/>
        </w:trPr>
        <w:tc>
          <w:tcPr>
            <w:tcW w:w="2380" w:type="dxa"/>
            <w:vAlign w:val="bottom"/>
          </w:tcPr>
          <w:p>
            <w:pPr>
              <w:spacing w:after="0"/>
              <w:rPr>
                <w:sz w:val="18"/>
                <w:szCs w:val="18"/>
                <w:color w:val="auto"/>
              </w:rPr>
            </w:pPr>
          </w:p>
        </w:tc>
        <w:tc>
          <w:tcPr>
            <w:tcW w:w="4700" w:type="dxa"/>
            <w:vAlign w:val="bottom"/>
          </w:tcPr>
          <w:p>
            <w:pPr>
              <w:jc w:val="center"/>
              <w:spacing w:after="0" w:line="210" w:lineRule="exact"/>
              <w:rPr>
                <w:sz w:val="20"/>
                <w:szCs w:val="20"/>
                <w:color w:val="auto"/>
              </w:rPr>
            </w:pPr>
            <w:r>
              <w:rPr>
                <w:rFonts w:ascii="Arial" w:cs="Arial" w:eastAsia="Arial" w:hAnsi="Arial"/>
                <w:sz w:val="20"/>
                <w:szCs w:val="20"/>
                <w:color w:val="auto"/>
                <w:w w:val="88"/>
              </w:rPr>
              <w:t>(Registrant’s telephone number, including area code)</w:t>
            </w:r>
          </w:p>
        </w:tc>
        <w:tc>
          <w:tcPr>
            <w:tcW w:w="2120" w:type="dxa"/>
            <w:vAlign w:val="bottom"/>
          </w:tcPr>
          <w:p>
            <w:pPr>
              <w:spacing w:after="0"/>
              <w:rPr>
                <w:sz w:val="18"/>
                <w:szCs w:val="18"/>
                <w:color w:val="auto"/>
              </w:rPr>
            </w:pPr>
          </w:p>
        </w:tc>
      </w:tr>
      <w:tr>
        <w:trPr>
          <w:trHeight w:val="256"/>
        </w:trPr>
        <w:tc>
          <w:tcPr>
            <w:tcW w:w="238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20"/>
                <w:szCs w:val="20"/>
                <w:b w:val="1"/>
                <w:bCs w:val="1"/>
                <w:color w:val="auto"/>
                <w:w w:val="88"/>
              </w:rPr>
              <w:t>Not applicable.</w:t>
            </w:r>
          </w:p>
        </w:tc>
        <w:tc>
          <w:tcPr>
            <w:tcW w:w="2120" w:type="dxa"/>
            <w:vAlign w:val="bottom"/>
          </w:tcPr>
          <w:p>
            <w:pPr>
              <w:spacing w:after="0"/>
              <w:rPr>
                <w:sz w:val="22"/>
                <w:szCs w:val="22"/>
                <w:color w:val="auto"/>
              </w:rPr>
            </w:pPr>
          </w:p>
        </w:tc>
      </w:tr>
    </w:tbl>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2" w:lineRule="exact"/>
        <w:rPr>
          <w:sz w:val="24"/>
          <w:szCs w:val="24"/>
          <w:color w:val="auto"/>
        </w:rPr>
      </w:pPr>
    </w:p>
    <w:p>
      <w:pPr>
        <w:ind w:right="60"/>
        <w:spacing w:after="0" w:line="24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260" w:type="dxa"/>
            <w:vAlign w:val="bottom"/>
          </w:tcPr>
          <w:p>
            <w:pPr>
              <w:ind w:left="260"/>
              <w:spacing w:after="0"/>
              <w:rPr>
                <w:sz w:val="20"/>
                <w:szCs w:val="20"/>
                <w:color w:val="auto"/>
              </w:rPr>
            </w:pPr>
            <w:r>
              <w:rPr>
                <w:rFonts w:ascii="Arial" w:cs="Arial" w:eastAsia="Arial" w:hAnsi="Arial"/>
                <w:sz w:val="20"/>
                <w:szCs w:val="20"/>
                <w:color w:val="auto"/>
              </w:rPr>
              <w:t>Written communications pursuant to Rule 425 under the Securities Act (17 CFR 230.425)</w:t>
            </w:r>
          </w:p>
        </w:tc>
      </w:tr>
      <w:tr>
        <w:trPr>
          <w:trHeight w:val="432"/>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260" w:type="dxa"/>
            <w:vAlign w:val="bottom"/>
          </w:tcPr>
          <w:p>
            <w:pPr>
              <w:ind w:left="280"/>
              <w:spacing w:after="0"/>
              <w:rPr>
                <w:sz w:val="20"/>
                <w:szCs w:val="20"/>
                <w:color w:val="auto"/>
              </w:rPr>
            </w:pPr>
            <w:r>
              <w:rPr>
                <w:rFonts w:ascii="Arial" w:cs="Arial" w:eastAsia="Arial" w:hAnsi="Arial"/>
                <w:sz w:val="20"/>
                <w:szCs w:val="20"/>
                <w:color w:val="auto"/>
              </w:rPr>
              <w:t>Soliciting material pursuant to Rule 14a-12 under the Exchange Act (17 CFR 240.14a-12)</w:t>
            </w:r>
          </w:p>
        </w:tc>
      </w:tr>
      <w:tr>
        <w:trPr>
          <w:trHeight w:val="432"/>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260" w:type="dxa"/>
            <w:vAlign w:val="bottom"/>
          </w:tcPr>
          <w:p>
            <w:pPr>
              <w:ind w:left="280"/>
              <w:spacing w:after="0"/>
              <w:rPr>
                <w:sz w:val="20"/>
                <w:szCs w:val="20"/>
                <w:color w:val="auto"/>
              </w:rPr>
            </w:pPr>
            <w:r>
              <w:rPr>
                <w:rFonts w:ascii="Arial" w:cs="Arial" w:eastAsia="Arial" w:hAnsi="Arial"/>
                <w:sz w:val="20"/>
                <w:szCs w:val="20"/>
                <w:color w:val="auto"/>
              </w:rPr>
              <w:t>Pre-commencement communications pursuant to Rule 14d-2(b) under the Exchange Act (17 CFR240.14d-2(b))</w:t>
            </w:r>
          </w:p>
        </w:tc>
      </w:tr>
      <w:tr>
        <w:trPr>
          <w:trHeight w:val="432"/>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260" w:type="dxa"/>
            <w:vAlign w:val="bottom"/>
          </w:tcPr>
          <w:p>
            <w:pPr>
              <w:ind w:left="280"/>
              <w:spacing w:after="0"/>
              <w:rPr>
                <w:sz w:val="20"/>
                <w:szCs w:val="20"/>
                <w:color w:val="auto"/>
              </w:rPr>
            </w:pPr>
            <w:r>
              <w:rPr>
                <w:rFonts w:ascii="Arial" w:cs="Arial" w:eastAsia="Arial" w:hAnsi="Arial"/>
                <w:sz w:val="20"/>
                <w:szCs w:val="20"/>
                <w:color w:val="auto"/>
              </w:rPr>
              <w:t>Pre-commencement communications pursuant to Rule 13e-4(c) under the Exchange Act (17 CFR240.13e-4(c))</w:t>
            </w:r>
          </w:p>
        </w:tc>
      </w:tr>
      <w:tr>
        <w:trPr>
          <w:trHeight w:val="317"/>
        </w:trPr>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771" w:right="839" w:bottom="1440" w:gutter="0" w:footer="0" w:header="0"/>
        </w:sectPr>
      </w:pPr>
    </w:p>
    <w:bookmarkStart w:id="1" w:name="page2"/>
    <w:bookmarkEnd w:id="1"/>
    <w:p>
      <w:pPr>
        <w:ind w:right="580"/>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68649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4985" cy="38735"/>
                    </a:xfrm>
                    <a:prstGeom prst="rect">
                      <a:avLst/>
                    </a:prstGeom>
                    <a:noFill/>
                  </pic:spPr>
                </pic:pic>
              </a:graphicData>
            </a:graphic>
          </wp:anchor>
        </w:drawing>
        <w:t>Item 5.02. Departure of Directors or Certain Officers; Election of Directors; Appointment of Certain Officers; Compensatory Arrangement of Certain Officers.</w:t>
      </w:r>
    </w:p>
    <w:p>
      <w:pPr>
        <w:spacing w:after="0" w:line="19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On May 30, 2008, Wynn Resorts, Limited (the “Company”) filed a Current Report on Form 8-K to disclose that Russell Goldsmith had been appointed as a member of the Company’s Board of Directors, effective as of May 29, 2008. At the time of the filing, Mr. Goldsmith had not been appointed to serve on any committees of the Board of Directors.</w:t>
      </w:r>
    </w:p>
    <w:p>
      <w:pPr>
        <w:spacing w:after="0" w:line="161"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Pursuant to Instruction 2 of Item 5.02 of Form 8-K, the Company is filing this amendment to its prior report for the sole purpose of disclosing that on June 9, 2008, Mr. Goldsmith was appointed as a member of the Company’s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318135</wp:posOffset>
            </wp:positionV>
            <wp:extent cx="68649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780"/>
          </w:cols>
          <w:pgMar w:left="240" w:top="652"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June 12, 2008</w:t>
      </w:r>
    </w:p>
    <w:p>
      <w:pPr>
        <w:spacing w:after="0" w:line="233"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6000"/>
        <w:spacing w:after="0"/>
        <w:tabs>
          <w:tab w:leader="none" w:pos="658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7620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22"/>
          <w:szCs w:val="22"/>
          <w:color w:val="auto"/>
        </w:rPr>
        <w:t>Matt Maddox</w:t>
      </w:r>
    </w:p>
    <w:p>
      <w:pPr>
        <w:ind w:left="660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Treasurer</w:t>
      </w:r>
    </w:p>
    <w:sectPr>
      <w:pgSz w:w="11900" w:h="16838" w:orient="portrait"/>
      <w:cols w:equalWidth="0" w:num="1">
        <w:col w:w="10820"/>
      </w:cols>
      <w:pgMar w:left="240" w:top="355"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2019-12-11T15:56:46Z</dcterms:created>
  <dcterms:modified xsi:type="dcterms:W3CDTF">2019-12-11T15:56:46Z</dcterms:modified>
</cp:coreProperties>
</file>