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13D/A</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 (Amendment No. 10)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7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5"/>
              </w:rPr>
              <w:t>Kim Sinatra</w:t>
            </w:r>
          </w:p>
        </w:tc>
        <w:tc>
          <w:tcPr>
            <w:tcW w:w="3740" w:type="dxa"/>
            <w:vAlign w:val="bottom"/>
          </w:tcPr>
          <w:p>
            <w:pPr>
              <w:jc w:val="center"/>
              <w:ind w:left="1351"/>
              <w:spacing w:after="0"/>
              <w:rPr>
                <w:sz w:val="20"/>
                <w:szCs w:val="20"/>
                <w:color w:val="auto"/>
              </w:rPr>
            </w:pPr>
            <w:r>
              <w:rPr>
                <w:rFonts w:ascii="Arial" w:cs="Arial" w:eastAsia="Arial" w:hAnsi="Arial"/>
                <w:sz w:val="18"/>
                <w:szCs w:val="18"/>
                <w:b w:val="1"/>
                <w:bCs w:val="1"/>
                <w:color w:val="auto"/>
                <w:w w:val="92"/>
              </w:rPr>
              <w:t>Brett J. Rodda</w:t>
            </w:r>
          </w:p>
        </w:tc>
      </w:tr>
      <w:tr>
        <w:trPr>
          <w:trHeight w:val="216"/>
        </w:trPr>
        <w:tc>
          <w:tcPr>
            <w:tcW w:w="478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Senior Vice President and General Counsel</w:t>
            </w:r>
          </w:p>
        </w:tc>
        <w:tc>
          <w:tcPr>
            <w:tcW w:w="3740" w:type="dxa"/>
            <w:vAlign w:val="bottom"/>
          </w:tcPr>
          <w:p>
            <w:pPr>
              <w:jc w:val="center"/>
              <w:ind w:left="1351"/>
              <w:spacing w:after="0"/>
              <w:rPr>
                <w:sz w:val="20"/>
                <w:szCs w:val="20"/>
                <w:color w:val="auto"/>
              </w:rPr>
            </w:pPr>
            <w:r>
              <w:rPr>
                <w:rFonts w:ascii="Arial" w:cs="Arial" w:eastAsia="Arial" w:hAnsi="Arial"/>
                <w:sz w:val="18"/>
                <w:szCs w:val="18"/>
                <w:b w:val="1"/>
                <w:bCs w:val="1"/>
                <w:color w:val="auto"/>
                <w:w w:val="92"/>
              </w:rPr>
              <w:t>Munger, Tolles &amp; Olson LLP</w:t>
            </w:r>
          </w:p>
        </w:tc>
      </w:tr>
      <w:tr>
        <w:trPr>
          <w:trHeight w:val="193"/>
        </w:trPr>
        <w:tc>
          <w:tcPr>
            <w:tcW w:w="4780" w:type="dxa"/>
            <w:vAlign w:val="bottom"/>
          </w:tcPr>
          <w:p>
            <w:pPr>
              <w:jc w:val="center"/>
              <w:ind w:right="1350"/>
              <w:spacing w:after="0" w:line="193" w:lineRule="exact"/>
              <w:rPr>
                <w:sz w:val="20"/>
                <w:szCs w:val="20"/>
                <w:color w:val="auto"/>
              </w:rPr>
            </w:pPr>
            <w:r>
              <w:rPr>
                <w:rFonts w:ascii="Arial" w:cs="Arial" w:eastAsia="Arial" w:hAnsi="Arial"/>
                <w:sz w:val="18"/>
                <w:szCs w:val="18"/>
                <w:b w:val="1"/>
                <w:bCs w:val="1"/>
                <w:color w:val="auto"/>
                <w:w w:val="91"/>
              </w:rPr>
              <w:t>Wynn Resorts, Limited</w:t>
            </w:r>
          </w:p>
        </w:tc>
        <w:tc>
          <w:tcPr>
            <w:tcW w:w="3740" w:type="dxa"/>
            <w:vAlign w:val="bottom"/>
          </w:tcPr>
          <w:p>
            <w:pPr>
              <w:jc w:val="center"/>
              <w:ind w:left="1351"/>
              <w:spacing w:after="0" w:line="193" w:lineRule="exact"/>
              <w:rPr>
                <w:sz w:val="20"/>
                <w:szCs w:val="20"/>
                <w:color w:val="auto"/>
              </w:rPr>
            </w:pPr>
            <w:r>
              <w:rPr>
                <w:rFonts w:ascii="Arial" w:cs="Arial" w:eastAsia="Arial" w:hAnsi="Arial"/>
                <w:sz w:val="18"/>
                <w:szCs w:val="18"/>
                <w:b w:val="1"/>
                <w:bCs w:val="1"/>
                <w:color w:val="auto"/>
                <w:w w:val="90"/>
              </w:rPr>
              <w:t>355 South Grand Avenue</w:t>
            </w:r>
          </w:p>
        </w:tc>
      </w:tr>
      <w:tr>
        <w:trPr>
          <w:trHeight w:val="239"/>
        </w:trPr>
        <w:tc>
          <w:tcPr>
            <w:tcW w:w="4780" w:type="dxa"/>
            <w:vAlign w:val="bottom"/>
          </w:tcPr>
          <w:p>
            <w:pPr>
              <w:jc w:val="center"/>
              <w:ind w:right="1370"/>
              <w:spacing w:after="0"/>
              <w:rPr>
                <w:sz w:val="20"/>
                <w:szCs w:val="20"/>
                <w:color w:val="auto"/>
              </w:rPr>
            </w:pPr>
            <w:r>
              <w:rPr>
                <w:rFonts w:ascii="Arial" w:cs="Arial" w:eastAsia="Arial" w:hAnsi="Arial"/>
                <w:sz w:val="18"/>
                <w:szCs w:val="18"/>
                <w:b w:val="1"/>
                <w:bCs w:val="1"/>
                <w:color w:val="auto"/>
                <w:w w:val="88"/>
              </w:rPr>
              <w:t>3131 Las Vegas Boulevard South</w:t>
            </w:r>
          </w:p>
        </w:tc>
        <w:tc>
          <w:tcPr>
            <w:tcW w:w="3740" w:type="dxa"/>
            <w:vAlign w:val="bottom"/>
          </w:tcPr>
          <w:p>
            <w:pPr>
              <w:jc w:val="center"/>
              <w:ind w:left="1351"/>
              <w:spacing w:after="0" w:line="240" w:lineRule="exact"/>
              <w:rPr>
                <w:sz w:val="20"/>
                <w:szCs w:val="20"/>
                <w:color w:val="auto"/>
              </w:rPr>
            </w:pPr>
            <w:r>
              <w:rPr>
                <w:rFonts w:ascii="Arial" w:cs="Arial" w:eastAsia="Arial" w:hAnsi="Arial"/>
                <w:sz w:val="17"/>
                <w:szCs w:val="17"/>
                <w:b w:val="1"/>
                <w:bCs w:val="1"/>
                <w:color w:val="auto"/>
                <w:w w:val="93"/>
              </w:rPr>
              <w:t>35</w:t>
            </w:r>
            <w:r>
              <w:rPr>
                <w:rFonts w:ascii="Arial" w:cs="Arial" w:eastAsia="Arial" w:hAnsi="Arial"/>
                <w:sz w:val="27"/>
                <w:szCs w:val="27"/>
                <w:b w:val="1"/>
                <w:bCs w:val="1"/>
                <w:color w:val="auto"/>
                <w:w w:val="93"/>
                <w:vertAlign w:val="superscript"/>
              </w:rPr>
              <w:t>th</w:t>
            </w:r>
            <w:r>
              <w:rPr>
                <w:rFonts w:ascii="Arial" w:cs="Arial" w:eastAsia="Arial" w:hAnsi="Arial"/>
                <w:sz w:val="17"/>
                <w:szCs w:val="17"/>
                <w:b w:val="1"/>
                <w:bCs w:val="1"/>
                <w:color w:val="auto"/>
                <w:w w:val="93"/>
              </w:rPr>
              <w:t xml:space="preserve"> Floor</w:t>
            </w:r>
          </w:p>
        </w:tc>
      </w:tr>
      <w:tr>
        <w:trPr>
          <w:trHeight w:val="216"/>
        </w:trPr>
        <w:tc>
          <w:tcPr>
            <w:tcW w:w="4780" w:type="dxa"/>
            <w:vAlign w:val="bottom"/>
          </w:tcPr>
          <w:p>
            <w:pPr>
              <w:jc w:val="center"/>
              <w:ind w:right="1350"/>
              <w:spacing w:after="0"/>
              <w:rPr>
                <w:sz w:val="20"/>
                <w:szCs w:val="20"/>
                <w:color w:val="auto"/>
              </w:rPr>
            </w:pPr>
            <w:r>
              <w:rPr>
                <w:rFonts w:ascii="Arial" w:cs="Arial" w:eastAsia="Arial" w:hAnsi="Arial"/>
                <w:sz w:val="18"/>
                <w:szCs w:val="18"/>
                <w:b w:val="1"/>
                <w:bCs w:val="1"/>
                <w:color w:val="auto"/>
                <w:w w:val="88"/>
              </w:rPr>
              <w:t>Las Vegas, Nevada 89109</w:t>
            </w:r>
          </w:p>
        </w:tc>
        <w:tc>
          <w:tcPr>
            <w:tcW w:w="3740" w:type="dxa"/>
            <w:vAlign w:val="bottom"/>
          </w:tcPr>
          <w:p>
            <w:pPr>
              <w:jc w:val="center"/>
              <w:ind w:left="1351"/>
              <w:spacing w:after="0"/>
              <w:rPr>
                <w:sz w:val="20"/>
                <w:szCs w:val="20"/>
                <w:color w:val="auto"/>
              </w:rPr>
            </w:pPr>
            <w:r>
              <w:rPr>
                <w:rFonts w:ascii="Arial" w:cs="Arial" w:eastAsia="Arial" w:hAnsi="Arial"/>
                <w:sz w:val="18"/>
                <w:szCs w:val="18"/>
                <w:b w:val="1"/>
                <w:bCs w:val="1"/>
                <w:color w:val="auto"/>
                <w:w w:val="90"/>
              </w:rPr>
              <w:t>Los Angeles, California 90071</w:t>
            </w:r>
          </w:p>
        </w:tc>
      </w:tr>
      <w:tr>
        <w:trPr>
          <w:trHeight w:val="234"/>
        </w:trPr>
        <w:tc>
          <w:tcPr>
            <w:tcW w:w="47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(702) 770-2112</w:t>
            </w:r>
          </w:p>
        </w:tc>
        <w:tc>
          <w:tcPr>
            <w:tcW w:w="3740" w:type="dxa"/>
            <w:vAlign w:val="bottom"/>
          </w:tcPr>
          <w:p>
            <w:pPr>
              <w:jc w:val="center"/>
              <w:ind w:left="1351"/>
              <w:spacing w:after="0"/>
              <w:rPr>
                <w:sz w:val="20"/>
                <w:szCs w:val="20"/>
                <w:color w:val="auto"/>
              </w:rPr>
            </w:pPr>
            <w:r>
              <w:rPr>
                <w:rFonts w:ascii="Arial" w:cs="Arial" w:eastAsia="Arial" w:hAnsi="Arial"/>
                <w:sz w:val="18"/>
                <w:szCs w:val="18"/>
                <w:b w:val="1"/>
                <w:bCs w:val="1"/>
                <w:color w:val="auto"/>
                <w:w w:val="92"/>
              </w:rPr>
              <w:t>(213) 683-9100</w:t>
            </w:r>
          </w:p>
        </w:tc>
      </w:tr>
    </w:tbl>
    <w:p>
      <w:pPr>
        <w:jc w:val="center"/>
        <w:ind w:right="-9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Receive Notices and Communications)</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March 20, 2015</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66"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1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5483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483860"/>
                    </a:xfrm>
                    <a:prstGeom prst="rect">
                      <a:avLst/>
                    </a:prstGeom>
                    <a:noFill/>
                  </pic:spPr>
                </pic:pic>
              </a:graphicData>
            </a:graphic>
          </wp:anchor>
        </w:drawing>
      </w:r>
    </w:p>
    <w:p>
      <w:pPr>
        <w:spacing w:after="0" w:line="3" w:lineRule="exact"/>
        <w:rPr>
          <w:sz w:val="20"/>
          <w:szCs w:val="20"/>
          <w:color w:val="auto"/>
        </w:rPr>
      </w:pPr>
    </w:p>
    <w:p>
      <w:pPr>
        <w:ind w:left="680" w:hanging="49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37" w:lineRule="exact"/>
        <w:rPr>
          <w:rFonts w:ascii="Arial" w:cs="Arial" w:eastAsia="Arial" w:hAnsi="Arial"/>
          <w:sz w:val="18"/>
          <w:szCs w:val="18"/>
          <w:color w:val="auto"/>
        </w:rPr>
      </w:pPr>
    </w:p>
    <w:p>
      <w:pPr>
        <w:ind w:left="680" w:hanging="49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620" w:hanging="288"/>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1620" w:hanging="288"/>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24" w:lineRule="exact"/>
        <w:rPr>
          <w:rFonts w:ascii="Arial" w:cs="Arial" w:eastAsia="Arial" w:hAnsi="Arial"/>
          <w:sz w:val="18"/>
          <w:szCs w:val="18"/>
          <w:color w:val="auto"/>
        </w:rPr>
      </w:pPr>
    </w:p>
    <w:p>
      <w:pPr>
        <w:ind w:left="680" w:hanging="49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680" w:right="8260" w:hanging="496"/>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38" w:lineRule="exact"/>
        <w:rPr>
          <w:rFonts w:ascii="Arial" w:cs="Arial" w:eastAsia="Arial" w:hAnsi="Arial"/>
          <w:sz w:val="18"/>
          <w:szCs w:val="18"/>
          <w:color w:val="auto"/>
        </w:rPr>
      </w:pPr>
    </w:p>
    <w:p>
      <w:pPr>
        <w:ind w:left="680" w:right="8120" w:hanging="496"/>
        <w:spacing w:after="0" w:line="342" w:lineRule="auto"/>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94"/>
              </w:rPr>
              <w:t>Number of Shares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480" w:type="dxa"/>
            <w:vAlign w:val="bottom"/>
          </w:tcPr>
          <w:p>
            <w:pPr>
              <w:ind w:left="160"/>
              <w:spacing w:after="0"/>
              <w:rPr>
                <w:sz w:val="20"/>
                <w:szCs w:val="20"/>
                <w:color w:val="auto"/>
              </w:rPr>
            </w:pPr>
            <w:r>
              <w:rPr>
                <w:rFonts w:ascii="Arial" w:cs="Arial" w:eastAsia="Arial" w:hAnsi="Arial"/>
                <w:sz w:val="18"/>
                <w:szCs w:val="18"/>
                <w:color w:val="auto"/>
              </w:rPr>
              <w:t>Sole Voting Power</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Owned by Each</w:t>
            </w:r>
          </w:p>
        </w:tc>
        <w:tc>
          <w:tcPr>
            <w:tcW w:w="36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195"/>
        </w:trPr>
        <w:tc>
          <w:tcPr>
            <w:tcW w:w="1300" w:type="dxa"/>
            <w:vAlign w:val="bottom"/>
          </w:tcPr>
          <w:p>
            <w:pPr>
              <w:spacing w:after="0" w:line="195" w:lineRule="exact"/>
              <w:rPr>
                <w:sz w:val="20"/>
                <w:szCs w:val="20"/>
                <w:color w:val="auto"/>
              </w:rPr>
            </w:pPr>
            <w:r>
              <w:rPr>
                <w:rFonts w:ascii="Arial" w:cs="Arial" w:eastAsia="Arial" w:hAnsi="Arial"/>
                <w:sz w:val="18"/>
                <w:szCs w:val="18"/>
                <w:color w:val="auto"/>
                <w:w w:val="91"/>
              </w:rPr>
              <w:t>Reporting Person</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8.</w:t>
            </w:r>
          </w:p>
        </w:tc>
        <w:tc>
          <w:tcPr>
            <w:tcW w:w="9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With</w:t>
            </w:r>
          </w:p>
        </w:tc>
        <w:tc>
          <w:tcPr>
            <w:tcW w:w="360" w:type="dxa"/>
            <w:vAlign w:val="bottom"/>
          </w:tcPr>
          <w:p>
            <w:pPr>
              <w:spacing w:after="0"/>
              <w:rPr>
                <w:sz w:val="20"/>
                <w:szCs w:val="20"/>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19,615,600 *</w:t>
            </w:r>
          </w:p>
        </w:tc>
      </w:tr>
    </w:tbl>
    <w:p>
      <w:pPr>
        <w:spacing w:after="0" w:line="215" w:lineRule="exact"/>
        <w:rPr>
          <w:sz w:val="20"/>
          <w:szCs w:val="20"/>
          <w:color w:val="auto"/>
        </w:rPr>
      </w:pPr>
    </w:p>
    <w:p>
      <w:pPr>
        <w:ind w:left="2100" w:right="7620" w:hanging="444"/>
        <w:spacing w:after="0" w:line="277" w:lineRule="auto"/>
        <w:tabs>
          <w:tab w:leader="none" w:pos="2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83" w:lineRule="exact"/>
        <w:rPr>
          <w:rFonts w:ascii="Arial" w:cs="Arial" w:eastAsia="Arial" w:hAnsi="Arial"/>
          <w:sz w:val="18"/>
          <w:szCs w:val="18"/>
          <w:color w:val="auto"/>
        </w:rPr>
      </w:pPr>
    </w:p>
    <w:p>
      <w:pPr>
        <w:ind w:left="2100" w:right="7440" w:hanging="444"/>
        <w:spacing w:after="0" w:line="277" w:lineRule="auto"/>
        <w:tabs>
          <w:tab w:leader="none" w:pos="2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19,615,600 *</w:t>
      </w:r>
    </w:p>
    <w:p>
      <w:pPr>
        <w:spacing w:after="0" w:line="183" w:lineRule="exact"/>
        <w:rPr>
          <w:rFonts w:ascii="Arial" w:cs="Arial" w:eastAsia="Arial" w:hAnsi="Arial"/>
          <w:sz w:val="18"/>
          <w:szCs w:val="18"/>
          <w:color w:val="auto"/>
        </w:rPr>
      </w:pPr>
    </w:p>
    <w:p>
      <w:pPr>
        <w:ind w:left="680" w:right="5940" w:hanging="496"/>
        <w:spacing w:after="0" w:line="277"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19,615,600</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[__]</w:t>
      </w:r>
    </w:p>
    <w:p>
      <w:pPr>
        <w:spacing w:after="0" w:line="238" w:lineRule="exact"/>
        <w:rPr>
          <w:rFonts w:ascii="Arial" w:cs="Arial" w:eastAsia="Arial" w:hAnsi="Arial"/>
          <w:sz w:val="18"/>
          <w:szCs w:val="18"/>
          <w:color w:val="auto"/>
        </w:rPr>
      </w:pPr>
    </w:p>
    <w:p>
      <w:pPr>
        <w:ind w:left="680" w:right="6980" w:hanging="496"/>
        <w:spacing w:after="0" w:line="277"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19.3% *</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4" w:lineRule="exact"/>
        <w:rPr>
          <w:rFonts w:ascii="Arial" w:cs="Arial" w:eastAsia="Arial" w:hAnsi="Arial"/>
          <w:sz w:val="18"/>
          <w:szCs w:val="18"/>
          <w:color w:val="auto"/>
        </w:rPr>
      </w:pPr>
    </w:p>
    <w:p>
      <w:pPr>
        <w:ind w:left="440" w:right="20" w:hanging="432"/>
        <w:spacing w:after="0" w:line="255" w:lineRule="auto"/>
        <w:rPr>
          <w:rFonts w:ascii="Arial" w:cs="Arial" w:eastAsia="Arial" w:hAnsi="Arial"/>
          <w:sz w:val="18"/>
          <w:szCs w:val="18"/>
          <w:color w:val="auto"/>
        </w:rPr>
      </w:pPr>
      <w:r>
        <w:rPr>
          <w:rFonts w:ascii="Arial" w:cs="Arial" w:eastAsia="Arial" w:hAnsi="Arial"/>
          <w:sz w:val="18"/>
          <w:szCs w:val="18"/>
          <w:color w:val="auto"/>
        </w:rPr>
        <w:t>*Includes 10,076,523 shares (the “SAW Shares”) held by Stephen A. Wynn (“Mr. Wynn”) and 9,539,077 shares (the “EW Shares”) held by Elaine P. Wynn (“Ms. Wynn” and, together with Mr. Wynn,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5483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483860"/>
                    </a:xfrm>
                    <a:prstGeom prst="rect">
                      <a:avLst/>
                    </a:prstGeom>
                    <a:noFill/>
                  </pic:spPr>
                </pic:pic>
              </a:graphicData>
            </a:graphic>
          </wp:anchor>
        </w:drawing>
      </w:r>
    </w:p>
    <w:p>
      <w:pPr>
        <w:spacing w:after="0" w:line="3" w:lineRule="exact"/>
        <w:rPr>
          <w:sz w:val="20"/>
          <w:szCs w:val="20"/>
          <w:color w:val="auto"/>
        </w:rPr>
      </w:pPr>
    </w:p>
    <w:p>
      <w:pPr>
        <w:ind w:left="680" w:hanging="49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37" w:lineRule="exact"/>
        <w:rPr>
          <w:rFonts w:ascii="Arial" w:cs="Arial" w:eastAsia="Arial" w:hAnsi="Arial"/>
          <w:sz w:val="18"/>
          <w:szCs w:val="18"/>
          <w:color w:val="auto"/>
        </w:rPr>
      </w:pPr>
    </w:p>
    <w:p>
      <w:pPr>
        <w:ind w:left="680" w:hanging="49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620" w:hanging="288"/>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1620" w:hanging="288"/>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24" w:lineRule="exact"/>
        <w:rPr>
          <w:rFonts w:ascii="Arial" w:cs="Arial" w:eastAsia="Arial" w:hAnsi="Arial"/>
          <w:sz w:val="18"/>
          <w:szCs w:val="18"/>
          <w:color w:val="auto"/>
        </w:rPr>
      </w:pPr>
    </w:p>
    <w:p>
      <w:pPr>
        <w:ind w:left="680" w:hanging="49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680" w:right="8260" w:hanging="496"/>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38" w:lineRule="exact"/>
        <w:rPr>
          <w:rFonts w:ascii="Arial" w:cs="Arial" w:eastAsia="Arial" w:hAnsi="Arial"/>
          <w:sz w:val="18"/>
          <w:szCs w:val="18"/>
          <w:color w:val="auto"/>
        </w:rPr>
      </w:pPr>
    </w:p>
    <w:p>
      <w:pPr>
        <w:ind w:left="680" w:right="8120" w:hanging="496"/>
        <w:spacing w:after="0" w:line="3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94"/>
              </w:rPr>
              <w:t>Number of Shares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480" w:type="dxa"/>
            <w:vAlign w:val="bottom"/>
          </w:tcPr>
          <w:p>
            <w:pPr>
              <w:ind w:left="160"/>
              <w:spacing w:after="0"/>
              <w:rPr>
                <w:sz w:val="20"/>
                <w:szCs w:val="20"/>
                <w:color w:val="auto"/>
              </w:rPr>
            </w:pPr>
            <w:r>
              <w:rPr>
                <w:rFonts w:ascii="Arial" w:cs="Arial" w:eastAsia="Arial" w:hAnsi="Arial"/>
                <w:sz w:val="18"/>
                <w:szCs w:val="18"/>
                <w:color w:val="auto"/>
              </w:rPr>
              <w:t>Sole Voting Power</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Owned by Each</w:t>
            </w:r>
          </w:p>
        </w:tc>
        <w:tc>
          <w:tcPr>
            <w:tcW w:w="36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195"/>
        </w:trPr>
        <w:tc>
          <w:tcPr>
            <w:tcW w:w="1300" w:type="dxa"/>
            <w:vAlign w:val="bottom"/>
          </w:tcPr>
          <w:p>
            <w:pPr>
              <w:spacing w:after="0" w:line="195" w:lineRule="exact"/>
              <w:rPr>
                <w:sz w:val="20"/>
                <w:szCs w:val="20"/>
                <w:color w:val="auto"/>
              </w:rPr>
            </w:pPr>
            <w:r>
              <w:rPr>
                <w:rFonts w:ascii="Arial" w:cs="Arial" w:eastAsia="Arial" w:hAnsi="Arial"/>
                <w:sz w:val="18"/>
                <w:szCs w:val="18"/>
                <w:color w:val="auto"/>
                <w:w w:val="91"/>
              </w:rPr>
              <w:t>Reporting Person</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8.</w:t>
            </w:r>
          </w:p>
        </w:tc>
        <w:tc>
          <w:tcPr>
            <w:tcW w:w="9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With</w:t>
            </w:r>
          </w:p>
        </w:tc>
        <w:tc>
          <w:tcPr>
            <w:tcW w:w="360" w:type="dxa"/>
            <w:vAlign w:val="bottom"/>
          </w:tcPr>
          <w:p>
            <w:pPr>
              <w:spacing w:after="0"/>
              <w:rPr>
                <w:sz w:val="20"/>
                <w:szCs w:val="20"/>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19,615,600 *</w:t>
            </w:r>
          </w:p>
        </w:tc>
      </w:tr>
    </w:tbl>
    <w:p>
      <w:pPr>
        <w:spacing w:after="0" w:line="215" w:lineRule="exact"/>
        <w:rPr>
          <w:sz w:val="20"/>
          <w:szCs w:val="20"/>
          <w:color w:val="auto"/>
        </w:rPr>
      </w:pPr>
    </w:p>
    <w:p>
      <w:pPr>
        <w:ind w:left="2100" w:right="7620" w:hanging="444"/>
        <w:spacing w:after="0" w:line="277" w:lineRule="auto"/>
        <w:tabs>
          <w:tab w:leader="none" w:pos="21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83" w:lineRule="exact"/>
        <w:rPr>
          <w:rFonts w:ascii="Arial" w:cs="Arial" w:eastAsia="Arial" w:hAnsi="Arial"/>
          <w:sz w:val="18"/>
          <w:szCs w:val="18"/>
          <w:color w:val="auto"/>
        </w:rPr>
      </w:pPr>
    </w:p>
    <w:p>
      <w:pPr>
        <w:ind w:left="2100" w:right="7440" w:hanging="444"/>
        <w:spacing w:after="0" w:line="277" w:lineRule="auto"/>
        <w:tabs>
          <w:tab w:leader="none" w:pos="21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 19,615,600 *</w:t>
      </w:r>
    </w:p>
    <w:p>
      <w:pPr>
        <w:spacing w:after="0" w:line="183" w:lineRule="exact"/>
        <w:rPr>
          <w:rFonts w:ascii="Arial" w:cs="Arial" w:eastAsia="Arial" w:hAnsi="Arial"/>
          <w:sz w:val="18"/>
          <w:szCs w:val="18"/>
          <w:color w:val="auto"/>
        </w:rPr>
      </w:pPr>
    </w:p>
    <w:p>
      <w:pPr>
        <w:ind w:left="680" w:right="5940" w:hanging="496"/>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19,615,600</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[__]</w:t>
      </w:r>
    </w:p>
    <w:p>
      <w:pPr>
        <w:spacing w:after="0" w:line="238" w:lineRule="exact"/>
        <w:rPr>
          <w:rFonts w:ascii="Arial" w:cs="Arial" w:eastAsia="Arial" w:hAnsi="Arial"/>
          <w:sz w:val="18"/>
          <w:szCs w:val="18"/>
          <w:color w:val="auto"/>
        </w:rPr>
      </w:pPr>
    </w:p>
    <w:p>
      <w:pPr>
        <w:ind w:left="680" w:right="6980" w:hanging="496"/>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19.3% *</w:t>
      </w:r>
    </w:p>
    <w:p>
      <w:pPr>
        <w:spacing w:after="0" w:line="183" w:lineRule="exact"/>
        <w:rPr>
          <w:rFonts w:ascii="Arial" w:cs="Arial" w:eastAsia="Arial" w:hAnsi="Arial"/>
          <w:sz w:val="18"/>
          <w:szCs w:val="18"/>
          <w:color w:val="auto"/>
        </w:rPr>
      </w:pPr>
    </w:p>
    <w:p>
      <w:pPr>
        <w:ind w:left="680" w:hanging="496"/>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440" w:right="280" w:hanging="432"/>
        <w:spacing w:after="0" w:line="277" w:lineRule="auto"/>
        <w:rPr>
          <w:rFonts w:ascii="Arial" w:cs="Arial" w:eastAsia="Arial" w:hAnsi="Arial"/>
          <w:sz w:val="18"/>
          <w:szCs w:val="18"/>
          <w:color w:val="auto"/>
        </w:rPr>
      </w:pPr>
      <w:r>
        <w:rPr>
          <w:rFonts w:ascii="Arial" w:cs="Arial" w:eastAsia="Arial" w:hAnsi="Arial"/>
          <w:sz w:val="18"/>
          <w:szCs w:val="18"/>
          <w:color w:val="auto"/>
        </w:rPr>
        <w:t>*Includes the EW Shares and the SAW Shares held by Mr. Wynn that may be deemed to be beneficially owned by Ms. Wynn under the Amended and Restated Stockholders Agreement. Ms. Wynn disclaims beneficial ownership of the SAW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3" w:name="page4"/>
    <w:bookmarkEnd w:id="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This Amendment No. 10 hereby amends and supplements the Schedule 13D filed by Mr. Wynn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as amended by the Schedule 13D/A filed by the Reporting Persons with the Commission on August 3, 2009 (“Amendment No. 4”), as amended by the Schedule 13D/A filed by the Reporting Persons with the Commission on August 18, 2009 (“Amendment No. 5”), as amended by the Schedule 13D/A filed by the Reporting Persons with the Commission on January 6, 2010 (“Amendment No. 6”), as amended by the Schedule 13D/A filed by the Reporting Persons with the Commission on December 3, 2010 (“Amendment No. 7”), as amended by the Schedule 13D/A filed by the Reporting Persons with the Commission on December 20, 2010 (“Amendment No. 8”) and as amended by the Schedule 13D/A filed by the Reporting Persons with the Commission on March 5, 2012 (“Amendment No. 9” and, collectively with the Original Schedule 13D, Amendment No. 1, Amendment No. 2, Amendment No. 3, Amendment No. 4, Amendment No. 5, Amendment No. 6, Amendment No. 7 and Amendment No. 8, the “Schedule 13D”). Capitalized terms used but not defined herein shall have the respective meanings set forth in the Schedule 13D.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4 of the Schedule 13D, as previously amended, is hereby supplemented with the following information: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20, 2015, Elaine P. Wynn filed a definitive proxy statement on Schedule 14A with the Commission to solicit proxies for use at the Company’s 2015 Annual Meeting of Stockholders, to be held on April 24, 2015. She intends to use such proxies to vote in favor of her re-election to the Board of Directors, and for the election of the Company’s nominee other than John J. Hagenbuch.</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Nothing contained in this Schedule 13D shall be construed as a waiver or an admission by any Reporting Person with respect to any right, claim or agreement, nor shall the contents of, execution of or filing of the Schedule 13D be used as, or be deemed to be, evidence of any such waiver or admission in any manner, including in any future proceeding relating to any such right, claim or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as previously amended, is hereby supplemented with the following information:</w:t>
      </w:r>
    </w:p>
    <w:p>
      <w:pPr>
        <w:spacing w:after="0" w:line="225" w:lineRule="exact"/>
        <w:rPr>
          <w:sz w:val="20"/>
          <w:szCs w:val="20"/>
          <w:color w:val="auto"/>
        </w:rPr>
      </w:pPr>
    </w:p>
    <w:p>
      <w:pPr>
        <w:ind w:right="340" w:firstLine="8"/>
        <w:spacing w:after="0" w:line="286"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items 11 and 13 on the cover pages to this Schedule 13D for the aggregate number of shares and the percentage of the Company’s Common Stock owned by the Reporting Persons. All percentages in this Amendment No. 10 assume there to be 101,524,590 shares of Common Stock outstanding, as reported in the Company’s definitive proxy statement on Schedule 14A, filed with the Commission on March 16, 2015.</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items 7 through 10 on the cover pages to this Schedule 13D.</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 The following table sets forth the transactions in the Common Stock effected by the Reporting Persons within sixty (60) days preceding the date hereof:</w:t>
      </w:r>
    </w:p>
    <w:p>
      <w:pPr>
        <w:sectPr>
          <w:pgSz w:w="11900" w:h="16838" w:orient="portrait"/>
          <w:cols w:equalWidth="0" w:num="1">
            <w:col w:w="11200"/>
          </w:cols>
          <w:pgMar w:left="240" w:top="611" w:right="459" w:bottom="1440" w:gutter="0" w:footer="0" w:header="0"/>
        </w:sectPr>
      </w:pPr>
    </w:p>
    <w:p>
      <w:pPr>
        <w:spacing w:after="0" w:line="244"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1/26/15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Party</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Ms. Wynn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Type of Transaction</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Gift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Security</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236220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Number of Shares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69,257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Price Per Share</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$0.00</w:t>
      </w:r>
    </w:p>
    <w:p>
      <w:pPr>
        <w:spacing w:after="0" w:line="200" w:lineRule="exact"/>
        <w:rPr>
          <w:sz w:val="20"/>
          <w:szCs w:val="20"/>
          <w:color w:val="auto"/>
        </w:rPr>
      </w:pPr>
    </w:p>
    <w:p>
      <w:pPr>
        <w:sectPr>
          <w:pgSz w:w="11900" w:h="16838" w:orient="portrait"/>
          <w:cols w:equalWidth="0" w:num="6">
            <w:col w:w="1320" w:space="720"/>
            <w:col w:w="920" w:space="720"/>
            <w:col w:w="1720" w:space="720"/>
            <w:col w:w="1260" w:space="640"/>
            <w:col w:w="1400" w:space="520"/>
            <w:col w:w="1260"/>
          </w:cols>
          <w:pgMar w:left="240" w:top="611" w:right="45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2015</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WYNN</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-130810</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Elaine P. Wynn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-130810</wp:posOffset>
            </wp:positionV>
            <wp:extent cx="2958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ind w:left="1380" w:right="180" w:hanging="1372"/>
        <w:spacing w:after="0" w:line="263"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sectPr>
      <w:pgSz w:w="11900" w:h="16838" w:orient="portrait"/>
      <w:cols w:equalWidth="0" w:num="1">
        <w:col w:w="11200"/>
      </w:cols>
      <w:pgMar w:left="240" w:top="61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
      <w:numFmt w:val="bullet"/>
      <w:start w:val="1"/>
    </w:lvl>
    <w:lvl w:ilvl="1">
      <w:lvlJc w:val="left"/>
      <w:lvlText w:val="%2"/>
      <w:numFmt w:val="decimal"/>
      <w:start w:val="1"/>
    </w:lvl>
    <w:lvl w:ilvl="2">
      <w:lvlJc w:val="left"/>
      <w:lvlText w:val="%3."/>
      <w:numFmt w:val="decimal"/>
      <w:start w:val="9"/>
    </w:lvl>
  </w:abstractNum>
  <w:abstractNum w:abstractNumId="3">
    <w:nsid w:val="2EB141F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41B71EFB"/>
    <w:multiLevelType w:val="hybridMultilevel"/>
    <w:lvl w:ilvl="0">
      <w:lvlJc w:val="left"/>
      <w:lvlText w:val="%1."/>
      <w:numFmt w:val="decimal"/>
      <w:start w:val="1"/>
    </w:lvl>
    <w:lvl w:ilvl="1">
      <w:lvlJc w:val="left"/>
      <w:lvlText w:val="(%2)"/>
      <w:numFmt w:val="upperLetter"/>
      <w:start w:val="1"/>
    </w:lvl>
  </w:abstractNum>
  <w:abstractNum w:abstractNumId="5">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9"/>
    </w:lvl>
  </w:abstractNum>
  <w:abstractNum w:abstractNumId="6">
    <w:nsid w:val="7545E14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2019-12-08T01:56:57Z</dcterms:created>
  <dcterms:modified xsi:type="dcterms:W3CDTF">2019-12-08T01:56:57Z</dcterms:modified>
</cp:coreProperties>
</file>