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137795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57150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August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66675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WYNN RESORTS, LIMITED</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390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000-50028</w:t>
            </w:r>
          </w:p>
        </w:tc>
        <w:tc>
          <w:tcPr>
            <w:tcW w:w="270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46-0484987</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2420" w:type="dxa"/>
            <w:vAlign w:val="bottom"/>
            <w:gridSpan w:val="2"/>
          </w:tcPr>
          <w:p>
            <w:pPr>
              <w:jc w:val="center"/>
              <w:ind w:right="68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80" w:type="dxa"/>
            <w:vAlign w:val="bottom"/>
          </w:tcPr>
          <w:p>
            <w:pPr>
              <w:ind w:left="120"/>
              <w:spacing w:after="0" w:line="117"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38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83"/>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3131 Las Vegas Boulevard South</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Las Vegas, Nevada</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89109</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551"/>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0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(702) 770-7555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jc w:val="center"/>
              <w:ind w:right="105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340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2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14"/>
                <w:szCs w:val="14"/>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98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600" w:type="dxa"/>
            <w:vAlign w:val="bottom"/>
          </w:tcPr>
          <w:p>
            <w:pPr>
              <w:spacing w:after="0"/>
              <w:rPr>
                <w:sz w:val="16"/>
                <w:szCs w:val="16"/>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color w:val="auto"/>
              </w:rPr>
              <w:t>WYNN</w:t>
            </w:r>
          </w:p>
        </w:tc>
        <w:tc>
          <w:tcPr>
            <w:tcW w:w="80" w:type="dxa"/>
            <w:vAlign w:val="bottom"/>
          </w:tcPr>
          <w:p>
            <w:pPr>
              <w:spacing w:after="0"/>
              <w:rPr>
                <w:sz w:val="16"/>
                <w:szCs w:val="16"/>
                <w:color w:val="auto"/>
              </w:rPr>
            </w:pPr>
          </w:p>
        </w:tc>
        <w:tc>
          <w:tcPr>
            <w:tcW w:w="390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61"/>
        </w:trPr>
        <w:tc>
          <w:tcPr>
            <w:tcW w:w="9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1"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8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August 11, 2025, Wynn Macau, Limited (“WML”), an indirect subsidiary of Wynn Resorts, Limited (the “Registrant”) with its ordinary shares of common stock listed on The Stock Exchange of Hong Kong Limited (the “HKSE”), filed with the HKSE an announcement (the “Announcement”) of WML’s proposed private offering of senior notes (the “Offering”) pursuant to Rule 144A and Regulation S under the Securities Act of 1933 (the “Securities Act”). The completion of the Offering is subject to, among other things, market conditions and investor interest. The Registrant owns approximately 72% of WML’s ordinary shares of common stock. The Announcement is furnished herewith as Exhibit 99.1.</w:t>
      </w:r>
    </w:p>
    <w:p>
      <w:pPr>
        <w:spacing w:after="0" w:line="16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information furnished pursuant to this Item 7.01 (including Exhibit 99.1 hereto) shall not be deemed to be “filed” for purposes of Section 18 of the Securities Exchange Act of 1934, as amended (the “Exchange Act”), or otherwise subject to the liabilities of that section, nor shall it be deemed incorporated by reference in any filing under the Securities Act or the Exchange Act, except as shall be expressly set forth by specific reference in such a filing.</w:t>
      </w:r>
    </w:p>
    <w:p>
      <w:pPr>
        <w:spacing w:after="0" w:line="1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This Current Report on Form 8-K contains forward-looking statements within the meaning of Section 27A of the Securities Act and Section 21E of the Exchange Act. Such forward-looking statements are subject to numerous assumptions, risks and uncertainties that could cause actual results to differ materially from those described in such statements. Such forward-looking statements are based on management’s expectations or beliefs as of August 11, 2025. Factors that might cause such differences include, but are not limited to, a variety of economic, competitive, and regulatory factors, many of which are beyond the Registrant’s control and are described in the Registrant’s Annual Report on Form 10-K filed by the Registrant on February 13, 2025 with the Securities and Exchange Commission (the “SEC”) and the other reports the Registrant files from time to time with the SEC. The Registrant undertakes no obligation to revise or publicly release any updates to such statements based on future information or actual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40"/>
        </w:trPr>
        <w:tc>
          <w:tcPr>
            <w:tcW w:w="2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 Exhibits.</w:t>
            </w: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7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9360" w:type="dxa"/>
            <w:vAlign w:val="bottom"/>
            <w:gridSpan w:val="2"/>
          </w:tcPr>
          <w:p>
            <w:pPr>
              <w:spacing w:after="0"/>
              <w:rPr>
                <w:sz w:val="12"/>
                <w:szCs w:val="12"/>
                <w:color w:val="auto"/>
              </w:rPr>
            </w:pPr>
          </w:p>
        </w:tc>
      </w:tr>
      <w:tr>
        <w:trPr>
          <w:trHeight w:val="213"/>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78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Announcement of Wynn Macau, Limited, dated August 11, 2025</w:t>
            </w: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192"/>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spacing w:after="0"/>
              <w:rPr>
                <w:sz w:val="16"/>
                <w:szCs w:val="16"/>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WYNN RESORTS, LIMITED</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Dated: August 11, 2025</w:t>
            </w:r>
          </w:p>
        </w:tc>
        <w:tc>
          <w:tcPr>
            <w:tcW w:w="316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By:</w:t>
            </w:r>
          </w:p>
        </w:tc>
        <w:tc>
          <w:tcPr>
            <w:tcW w:w="3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Julie Cameron-Doe</w:t>
            </w:r>
          </w:p>
        </w:tc>
      </w:tr>
      <w:tr>
        <w:trPr>
          <w:trHeight w:val="167"/>
        </w:trPr>
        <w:tc>
          <w:tcPr>
            <w:tcW w:w="3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Julie Cameron-Doe</w:t>
            </w:r>
          </w:p>
        </w:tc>
      </w:tr>
      <w:tr>
        <w:trPr>
          <w:trHeight w:val="184"/>
        </w:trPr>
        <w:tc>
          <w:tcPr>
            <w:tcW w:w="39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000"/>
          </w:cols>
          <w:pgMar w:left="660" w:top="728"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2025-08-11T06:41:27Z</dcterms:created>
  <dcterms:modified xsi:type="dcterms:W3CDTF">2025-08-11T06:41:27Z</dcterms:modified>
</cp:coreProperties>
</file>