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68580</wp:posOffset>
            </wp:positionV>
            <wp:extent cx="1106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85090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July 29, 2010</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ectPr>
          <w:pgSz w:w="11900" w:h="16838" w:orient="portrait"/>
          <w:cols w:equalWidth="0" w:num="1">
            <w:col w:w="11420"/>
          </w:cols>
          <w:pgMar w:left="240" w:top="464" w:right="239" w:bottom="1440" w:gutter="0" w:footer="0" w:header="0"/>
        </w:sectPr>
      </w:pPr>
    </w:p>
    <w:p>
      <w:pPr>
        <w:spacing w:after="0" w:line="21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Nevada</w:t>
      </w:r>
    </w:p>
    <w:p>
      <w:pPr>
        <w:spacing w:after="0" w:line="2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(State or other jurisdiction of</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20"/>
          <w:szCs w:val="20"/>
          <w:b w:val="1"/>
          <w:bCs w:val="1"/>
          <w:color w:val="auto"/>
        </w:rPr>
        <w:t>000-50028</w:t>
      </w:r>
    </w:p>
    <w:p>
      <w:pPr>
        <w:spacing w:after="0" w:line="26"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20"/>
          <w:szCs w:val="20"/>
          <w:b w:val="1"/>
          <w:bCs w:val="1"/>
          <w:color w:val="auto"/>
        </w:rPr>
        <w:t>46-0484987</w:t>
      </w:r>
    </w:p>
    <w:p>
      <w:pPr>
        <w:spacing w:after="0" w:line="26"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18" w:lineRule="exact"/>
        <w:rPr>
          <w:sz w:val="24"/>
          <w:szCs w:val="24"/>
          <w:color w:val="auto"/>
        </w:rPr>
      </w:pPr>
    </w:p>
    <w:p>
      <w:pPr>
        <w:sectPr>
          <w:pgSz w:w="11900" w:h="16838" w:orient="portrait"/>
          <w:cols w:equalWidth="0" w:num="3">
            <w:col w:w="3680" w:space="720"/>
            <w:col w:w="2840" w:space="720"/>
            <w:col w:w="3460"/>
          </w:cols>
          <w:pgMar w:left="240" w:top="464" w:right="23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20"/>
          <w:szCs w:val="20"/>
          <w:color w:val="auto"/>
        </w:rPr>
        <w:t>incorporation)</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WYNN LAS VEGAS, LLC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(Exact name of registrant as specified in its charter)</w:t>
      </w:r>
    </w:p>
    <w:p>
      <w:pPr>
        <w:sectPr>
          <w:pgSz w:w="11900" w:h="16838" w:orient="portrait"/>
          <w:cols w:equalWidth="0" w:num="1">
            <w:col w:w="11420"/>
          </w:cols>
          <w:pgMar w:left="240" w:top="464" w:right="239" w:bottom="1440" w:gutter="0" w:footer="0" w:header="0"/>
          <w:type w:val="continuous"/>
        </w:sectPr>
      </w:pPr>
    </w:p>
    <w:p>
      <w:pPr>
        <w:spacing w:after="0" w:line="22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Nevada</w:t>
      </w:r>
    </w:p>
    <w:p>
      <w:pPr>
        <w:spacing w:after="0" w:line="2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(State or other jurisdiction of</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20"/>
          <w:szCs w:val="20"/>
          <w:b w:val="1"/>
          <w:bCs w:val="1"/>
          <w:color w:val="auto"/>
        </w:rPr>
        <w:t>333-100768</w:t>
      </w:r>
    </w:p>
    <w:p>
      <w:pPr>
        <w:spacing w:after="0" w:line="26"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20"/>
          <w:szCs w:val="20"/>
          <w:b w:val="1"/>
          <w:bCs w:val="1"/>
          <w:color w:val="auto"/>
        </w:rPr>
        <w:t>88-0494875</w:t>
      </w:r>
    </w:p>
    <w:p>
      <w:pPr>
        <w:spacing w:after="0" w:line="26"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18" w:lineRule="exact"/>
        <w:rPr>
          <w:sz w:val="24"/>
          <w:szCs w:val="24"/>
          <w:color w:val="auto"/>
        </w:rPr>
      </w:pPr>
    </w:p>
    <w:p>
      <w:pPr>
        <w:sectPr>
          <w:pgSz w:w="11900" w:h="16838" w:orient="portrait"/>
          <w:cols w:equalWidth="0" w:num="3">
            <w:col w:w="3680" w:space="720"/>
            <w:col w:w="2840" w:space="720"/>
            <w:col w:w="3460"/>
          </w:cols>
          <w:pgMar w:left="240" w:top="464" w:right="23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9"/>
          <w:szCs w:val="19"/>
          <w:color w:val="auto"/>
        </w:rPr>
        <w:t>incorporation)</w:t>
      </w:r>
    </w:p>
    <w:p>
      <w:pPr>
        <w:sectPr>
          <w:pgSz w:w="11900" w:h="16838" w:orient="portrait"/>
          <w:cols w:equalWidth="0" w:num="1">
            <w:col w:w="11420"/>
          </w:cols>
          <w:pgMar w:left="240" w:top="464" w:right="239" w:bottom="1440" w:gutter="0" w:footer="0" w:header="0"/>
          <w:type w:val="continuous"/>
        </w:sectPr>
      </w:pPr>
    </w:p>
    <w:p>
      <w:pPr>
        <w:spacing w:after="0" w:line="22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3131 Las Vegas Boulevard South</w:t>
      </w:r>
    </w:p>
    <w:p>
      <w:pPr>
        <w:spacing w:after="0" w:line="25"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20"/>
          <w:szCs w:val="20"/>
          <w:b w:val="1"/>
          <w:bCs w:val="1"/>
          <w:color w:val="auto"/>
        </w:rPr>
        <w:t>Las Vegas, Nevada</w:t>
      </w:r>
    </w:p>
    <w:p>
      <w:pPr>
        <w:spacing w:after="0"/>
        <w:rPr>
          <w:sz w:val="20"/>
          <w:szCs w:val="20"/>
          <w:color w:val="auto"/>
        </w:rPr>
      </w:pPr>
      <w:r>
        <w:rPr>
          <w:rFonts w:ascii="Times New Roman" w:cs="Times New Roman" w:eastAsia="Times New Roman" w:hAnsi="Times New Roman"/>
          <w:sz w:val="19"/>
          <w:szCs w:val="19"/>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0"/>
          <w:szCs w:val="20"/>
          <w:b w:val="1"/>
          <w:bCs w:val="1"/>
          <w:color w:val="auto"/>
        </w:rPr>
        <w:t>89109</w:t>
      </w:r>
    </w:p>
    <w:p>
      <w:pPr>
        <w:spacing w:after="0" w:line="2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9"/>
          <w:szCs w:val="19"/>
          <w:color w:val="auto"/>
        </w:rPr>
        <w:t>(Zip Code)</w:t>
      </w:r>
    </w:p>
    <w:p>
      <w:pPr>
        <w:spacing w:after="0" w:line="200" w:lineRule="exact"/>
        <w:rPr>
          <w:sz w:val="24"/>
          <w:szCs w:val="24"/>
          <w:color w:val="auto"/>
        </w:rPr>
      </w:pPr>
    </w:p>
    <w:p>
      <w:pPr>
        <w:sectPr>
          <w:pgSz w:w="11900" w:h="16838" w:orient="portrait"/>
          <w:cols w:equalWidth="0" w:num="2">
            <w:col w:w="8780" w:space="720"/>
            <w:col w:w="1920"/>
          </w:cols>
          <w:pgMar w:left="240" w:top="464" w:right="239" w:bottom="1440" w:gutter="0" w:footer="0" w:header="0"/>
          <w:type w:val="continuous"/>
        </w:sectPr>
      </w:pP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(702) 770-7555</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(Registrant’s telephone number, including area code)</w:t>
      </w:r>
    </w:p>
    <w:p>
      <w:pPr>
        <w:sectPr>
          <w:pgSz w:w="11900" w:h="16838" w:orient="portrait"/>
          <w:cols w:equalWidth="0" w:num="1">
            <w:col w:w="11420"/>
          </w:cols>
          <w:pgMar w:left="240" w:top="464" w:right="239" w:bottom="1440" w:gutter="0" w:footer="0" w:header="0"/>
          <w:type w:val="continuous"/>
        </w:sectPr>
      </w:pP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221"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is intended to simultaneously satisfy the filing obligation of the registrant under any of the following provisions:</w:t>
      </w:r>
    </w:p>
    <w:p>
      <w:pPr>
        <w:spacing w:after="0" w:line="187" w:lineRule="exact"/>
        <w:rPr>
          <w:sz w:val="24"/>
          <w:szCs w:val="24"/>
          <w:color w:val="auto"/>
        </w:rPr>
      </w:pPr>
    </w:p>
    <w:p>
      <w:pPr>
        <w:ind w:left="1100" w:hanging="1092"/>
        <w:spacing w:after="0"/>
        <w:tabs>
          <w:tab w:leader="none" w:pos="11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 pursuant to Rule 425 under the Securities Act (17 CFR 230.425)</w:t>
      </w:r>
    </w:p>
    <w:p>
      <w:pPr>
        <w:spacing w:after="0" w:line="229" w:lineRule="exact"/>
        <w:rPr>
          <w:rFonts w:ascii="MS PGothic" w:cs="MS PGothic" w:eastAsia="MS PGothic" w:hAnsi="MS PGothic"/>
          <w:sz w:val="20"/>
          <w:szCs w:val="20"/>
          <w:color w:val="auto"/>
        </w:rPr>
      </w:pPr>
    </w:p>
    <w:p>
      <w:pPr>
        <w:ind w:left="1100" w:hanging="1092"/>
        <w:spacing w:after="0"/>
        <w:tabs>
          <w:tab w:leader="none" w:pos="11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229" w:lineRule="exact"/>
        <w:rPr>
          <w:rFonts w:ascii="MS PGothic" w:cs="MS PGothic" w:eastAsia="MS PGothic" w:hAnsi="MS PGothic"/>
          <w:sz w:val="20"/>
          <w:szCs w:val="20"/>
          <w:color w:val="auto"/>
        </w:rPr>
      </w:pPr>
    </w:p>
    <w:p>
      <w:pPr>
        <w:ind w:left="1100" w:hanging="1092"/>
        <w:spacing w:after="0"/>
        <w:tabs>
          <w:tab w:leader="none" w:pos="11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229" w:lineRule="exact"/>
        <w:rPr>
          <w:rFonts w:ascii="MS PGothic" w:cs="MS PGothic" w:eastAsia="MS PGothic" w:hAnsi="MS PGothic"/>
          <w:sz w:val="20"/>
          <w:szCs w:val="20"/>
          <w:color w:val="auto"/>
        </w:rPr>
      </w:pPr>
    </w:p>
    <w:p>
      <w:pPr>
        <w:ind w:left="1100" w:hanging="1092"/>
        <w:spacing w:after="0"/>
        <w:tabs>
          <w:tab w:leader="none" w:pos="11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586740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3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On July 29, 2010, Wynn Resorts, Limited issued a press release announcing its results of operations for the second quarter of 2010.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7.01 Regulation FD Disclosure.</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information set forth under Item 2.02 of this report is incorporated herein by reference.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8.01 Other Events.</w:t>
      </w:r>
    </w:p>
    <w:p>
      <w:pPr>
        <w:spacing w:after="0" w:line="237"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On July 29, 2010, the Board of Directors of Wynn Resorts, Limited declared a quarterly cash dividend of $0.25 per share of its outstanding common stock. This cash dividend will be payable on August 26, 2010 to stockholders of record on August 12, 2010.</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37" w:lineRule="exact"/>
        <w:rPr>
          <w:sz w:val="20"/>
          <w:szCs w:val="20"/>
          <w:color w:val="auto"/>
        </w:rPr>
      </w:pPr>
    </w:p>
    <w:p>
      <w:pPr>
        <w:ind w:left="1460" w:hanging="750"/>
        <w:spacing w:after="0"/>
        <w:tabs>
          <w:tab w:leader="none" w:pos="14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Exhibits:</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Exhibit</w:t>
      </w:r>
    </w:p>
    <w:p>
      <w:pPr>
        <w:spacing w:after="0" w:line="14" w:lineRule="exact"/>
        <w:rPr>
          <w:sz w:val="20"/>
          <w:szCs w:val="20"/>
          <w:color w:val="auto"/>
        </w:rPr>
      </w:pPr>
    </w:p>
    <w:p>
      <w:pPr>
        <w:ind w:left="1220"/>
        <w:spacing w:after="0"/>
        <w:tabs>
          <w:tab w:leader="none" w:pos="3100" w:val="left"/>
        </w:tabs>
        <w:rPr>
          <w:sz w:val="20"/>
          <w:szCs w:val="20"/>
          <w:color w:val="auto"/>
        </w:rPr>
      </w:pPr>
      <w:r>
        <w:rPr>
          <w:rFonts w:ascii="Times New Roman" w:cs="Times New Roman" w:eastAsia="Times New Roman" w:hAnsi="Times New Roman"/>
          <w:sz w:val="22"/>
          <w:szCs w:val="22"/>
          <w:u w:val="single" w:color="auto"/>
          <w:color w:val="auto"/>
        </w:rPr>
        <w:t>Number</w:t>
      </w:r>
      <w:r>
        <w:rPr>
          <w:sz w:val="20"/>
          <w:szCs w:val="20"/>
          <w:color w:val="auto"/>
        </w:rPr>
        <w:tab/>
      </w:r>
      <w:r>
        <w:rPr>
          <w:rFonts w:ascii="Times New Roman" w:cs="Times New Roman" w:eastAsia="Times New Roman" w:hAnsi="Times New Roman"/>
          <w:sz w:val="22"/>
          <w:szCs w:val="22"/>
          <w:u w:val="single" w:color="auto"/>
          <w:color w:val="auto"/>
        </w:rPr>
        <w:t>Description</w:t>
      </w:r>
    </w:p>
    <w:p>
      <w:pPr>
        <w:spacing w:after="0" w:line="182" w:lineRule="exact"/>
        <w:rPr>
          <w:sz w:val="20"/>
          <w:szCs w:val="20"/>
          <w:color w:val="auto"/>
        </w:rPr>
      </w:pPr>
    </w:p>
    <w:p>
      <w:pPr>
        <w:ind w:left="1380"/>
        <w:spacing w:after="0"/>
        <w:tabs>
          <w:tab w:leader="none" w:pos="310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Press release, dated July 29, 2010,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729615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43" w:right="2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July 29, 2010</w:t>
      </w:r>
    </w:p>
    <w:p>
      <w:pPr>
        <w:spacing w:after="0" w:line="24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p>
      <w:pPr>
        <w:ind w:left="6060"/>
        <w:spacing w:after="0"/>
        <w:tabs>
          <w:tab w:leader="none" w:pos="6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13970</wp:posOffset>
            </wp:positionV>
            <wp:extent cx="3112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Matt Maddox</w:t>
      </w:r>
    </w:p>
    <w:p>
      <w:pPr>
        <w:spacing w:after="0" w:line="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Chief Financial Officer and</w:t>
      </w:r>
    </w:p>
    <w:p>
      <w:pPr>
        <w:ind w:left="6520"/>
        <w:spacing w:after="0"/>
        <w:rPr>
          <w:sz w:val="20"/>
          <w:szCs w:val="20"/>
          <w:color w:val="auto"/>
        </w:rPr>
      </w:pPr>
      <w:r>
        <w:rPr>
          <w:rFonts w:ascii="Times New Roman" w:cs="Times New Roman" w:eastAsia="Times New Roman" w:hAnsi="Times New Roman"/>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July 29, 2010</w:t>
      </w:r>
    </w:p>
    <w:p>
      <w:pPr>
        <w:spacing w:after="0" w:line="24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WYNN LAS VEGAS, LLC</w:t>
      </w:r>
    </w:p>
    <w:p>
      <w:pPr>
        <w:spacing w:after="0" w:line="216" w:lineRule="exact"/>
        <w:rPr>
          <w:sz w:val="20"/>
          <w:szCs w:val="20"/>
          <w:color w:val="auto"/>
        </w:rPr>
      </w:pPr>
    </w:p>
    <w:p>
      <w:pPr>
        <w:ind w:left="6060"/>
        <w:spacing w:after="0"/>
        <w:tabs>
          <w:tab w:leader="none" w:pos="6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Wynn Resorts Holdings, LLC, its sole member</w:t>
      </w:r>
    </w:p>
    <w:p>
      <w:pPr>
        <w:spacing w:after="0" w:line="200" w:lineRule="exact"/>
        <w:rPr>
          <w:sz w:val="20"/>
          <w:szCs w:val="20"/>
          <w:color w:val="auto"/>
        </w:rPr>
      </w:pPr>
    </w:p>
    <w:p>
      <w:pPr>
        <w:spacing w:after="0" w:line="232" w:lineRule="exact"/>
        <w:rPr>
          <w:sz w:val="20"/>
          <w:szCs w:val="20"/>
          <w:color w:val="auto"/>
        </w:rPr>
      </w:pPr>
    </w:p>
    <w:p>
      <w:pPr>
        <w:ind w:left="6060"/>
        <w:spacing w:after="0"/>
        <w:tabs>
          <w:tab w:leader="none" w:pos="6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Wynn Resorts, Limited, its sole member</w:t>
      </w:r>
    </w:p>
    <w:p>
      <w:pPr>
        <w:spacing w:after="0" w:line="200" w:lineRule="exact"/>
        <w:rPr>
          <w:sz w:val="20"/>
          <w:szCs w:val="20"/>
          <w:color w:val="auto"/>
        </w:rPr>
      </w:pPr>
    </w:p>
    <w:p>
      <w:pPr>
        <w:spacing w:after="0" w:line="232" w:lineRule="exact"/>
        <w:rPr>
          <w:sz w:val="20"/>
          <w:szCs w:val="20"/>
          <w:color w:val="auto"/>
        </w:rPr>
      </w:pPr>
    </w:p>
    <w:p>
      <w:pPr>
        <w:ind w:left="6060"/>
        <w:spacing w:after="0"/>
        <w:tabs>
          <w:tab w:leader="none" w:pos="6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13970</wp:posOffset>
            </wp:positionV>
            <wp:extent cx="3112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Matt Maddox</w:t>
      </w:r>
    </w:p>
    <w:p>
      <w:pPr>
        <w:spacing w:after="0" w:line="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Chief Financial Officer and</w:t>
      </w:r>
    </w:p>
    <w:p>
      <w:pPr>
        <w:ind w:left="6520"/>
        <w:spacing w:after="0"/>
        <w:rPr>
          <w:sz w:val="20"/>
          <w:szCs w:val="20"/>
          <w:color w:val="auto"/>
        </w:rPr>
      </w:pPr>
      <w:r>
        <w:rPr>
          <w:rFonts w:ascii="Times New Roman" w:cs="Times New Roman" w:eastAsia="Times New Roman" w:hAnsi="Times New Roman"/>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530225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81"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auto"/>
        </w:rPr>
        <w:t>Wynn Resorts, Limited Reports Second Quarter Results</w:t>
      </w:r>
    </w:p>
    <w:p>
      <w:pPr>
        <w:spacing w:after="0" w:line="238"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LAS VEGAS, July 29, 2010 (BUSINESS WIRE) -- Wynn Resorts, Limited (Nasdaq: WYNN) today reported financial results for the second quarter ended June 30, 2010.</w:t>
      </w:r>
    </w:p>
    <w:p>
      <w:pPr>
        <w:spacing w:after="0" w:line="172"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Net revenues for the second quarter of 2010 were $1.0 billion, compared to $723.3 million in the second quarter of 2009, driven by a 74.1% increase in net revenues at Wynn Macau. Adjusted property EBITDA(1) increased 46.0% to $281.4 million for the second quarter of 2010, compared to $192.7 million in the 2009 comparable period.</w:t>
      </w:r>
    </w:p>
    <w:p>
      <w:pPr>
        <w:spacing w:after="0" w:line="191"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On a US GAAP (Generally Accepted Accounting Principles) basis, net income attributable to Wynn Resorts for the second quarter of 2010 was $52.4 million, or $0.42 per diluted share, compared to a net income attributable to Wynn Resorts of $ 25.5 million, or $0.21 per diluted share in the second quarter of 2009. Adjusted net income in the second quarter of 2010 was $64.9 million, or $0.52 per diluted share (adjusted EPS)(2) compared to an adjusted net income of $11.5 million, or $0.09 per diluted share in the second quarter of 2009.</w:t>
      </w:r>
    </w:p>
    <w:p>
      <w:pPr>
        <w:spacing w:after="0" w:line="198"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Wynn Resorts also announced today that its Board of Directors has approved a cash dividend for the quarter of $0.25 per common share. This dividend will be payable on August 26, 2010 to stockholders of record on August 12,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Macau</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21, 2010, we opened Encore at Wynn Macau, a further expansion of Wynn Macau. Encore adds a fully-integrated resort hotel with 410 luxury suites and four villas along with restaurants, additional retail space (including Chanel, Piaget and Cartier) and gaming space including approximately 37 VIP tables, 24 mass market tables and 69 slot machines.</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Including Encore, we currently have 474 tables (239 VIP tables, 224 mass market tables and 11 poker tables) and 1,193 slot machines at Wynn Macau.</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Total development and construction costs for Encore were approximately $550 million. As of June 30, 2010, we had incurred approximately $537.3 million of these costs.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and Encore Second Quarter Results</w:t>
      </w:r>
    </w:p>
    <w:p>
      <w:pPr>
        <w:spacing w:after="0" w:line="241" w:lineRule="exact"/>
        <w:rPr>
          <w:sz w:val="20"/>
          <w:szCs w:val="20"/>
          <w:color w:val="auto"/>
        </w:rPr>
      </w:pPr>
    </w:p>
    <w:p>
      <w:pPr>
        <w:ind w:right="620"/>
        <w:spacing w:after="0" w:line="276" w:lineRule="auto"/>
        <w:rPr>
          <w:sz w:val="20"/>
          <w:szCs w:val="20"/>
          <w:color w:val="auto"/>
        </w:rPr>
      </w:pPr>
      <w:r>
        <w:rPr>
          <w:rFonts w:ascii="Arial" w:cs="Arial" w:eastAsia="Arial" w:hAnsi="Arial"/>
          <w:sz w:val="18"/>
          <w:szCs w:val="18"/>
          <w:color w:val="auto"/>
        </w:rPr>
        <w:t>In the second quarter of 2010 net revenues were $714.4 million compared to $410.4 million in the second quarter of 2009. Wynn Macau generated adjusted property EBITDA of $216.2 million compared to $117.2 million in the second quarter of 2009.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are segregated into two distinct reporting categories, the VIP segment and the mass market segment.</w:t>
      </w:r>
    </w:p>
    <w:p>
      <w:pPr>
        <w:spacing w:after="0" w:line="239"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Table games turnover in the VIP segment was $21.7 billion for the 2010 quarter, compared to $12.6 billion for the second quarter of 2009. VIP table games win as a percentage of turnover (calculated before discounts and commissions) for the quarter was 3.22%, above the expected range of 2.7% to 3.0% and the 2.66% experienced in the second quarter of 2009. In November 2009 we added two new private gaming salons with 29 VIP tables and on April 21, 2010 we added 37 VIP tables with the opening of Encore, which helped drive some of the growth in our VIP segment in the second quarter.</w:t>
      </w:r>
    </w:p>
    <w:p>
      <w:pPr>
        <w:spacing w:after="0" w:line="20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Table games drop in the mass market category was $548.1 million during the period, a 14.0% increase from $481.0 million in the second quarter of 2009. Mass market table games win percentage (calculated before discounts) of 22.9% was above our expected range of 19% to 21% and above the 21.5% generated in the 2009 quarter.</w:t>
      </w:r>
    </w:p>
    <w:p>
      <w:pPr>
        <w:spacing w:after="0" w:line="191" w:lineRule="exact"/>
        <w:rPr>
          <w:sz w:val="20"/>
          <w:szCs w:val="20"/>
          <w:color w:val="auto"/>
        </w:rPr>
      </w:pPr>
    </w:p>
    <w:p>
      <w:pPr>
        <w:ind w:right="420"/>
        <w:spacing w:after="0" w:line="276" w:lineRule="auto"/>
        <w:rPr>
          <w:sz w:val="20"/>
          <w:szCs w:val="20"/>
          <w:color w:val="auto"/>
        </w:rPr>
      </w:pPr>
      <w:r>
        <w:rPr>
          <w:rFonts w:ascii="Arial" w:cs="Arial" w:eastAsia="Arial" w:hAnsi="Arial"/>
          <w:sz w:val="18"/>
          <w:szCs w:val="18"/>
          <w:color w:val="auto"/>
        </w:rPr>
        <w:t>Slot machine handle increased 21.0% to $1.1 billion as compared to the prior year quarter. Win per unit per day was 19.2% higher at $457 compared to $383 in the second quarter 2009.</w:t>
      </w:r>
    </w:p>
    <w:p>
      <w:pPr>
        <w:spacing w:after="0" w:line="172" w:lineRule="exact"/>
        <w:rPr>
          <w:sz w:val="20"/>
          <w:szCs w:val="20"/>
          <w:color w:val="auto"/>
        </w:rPr>
      </w:pPr>
    </w:p>
    <w:p>
      <w:pPr>
        <w:jc w:val="both"/>
        <w:ind w:right="580"/>
        <w:spacing w:after="0" w:line="277" w:lineRule="auto"/>
        <w:rPr>
          <w:sz w:val="20"/>
          <w:szCs w:val="20"/>
          <w:color w:val="auto"/>
        </w:rPr>
      </w:pPr>
      <w:r>
        <w:rPr>
          <w:rFonts w:ascii="Arial" w:cs="Arial" w:eastAsia="Arial" w:hAnsi="Arial"/>
          <w:sz w:val="17"/>
          <w:szCs w:val="17"/>
          <w:color w:val="auto"/>
        </w:rPr>
        <w:t>Wynn Macau achieved an Average Daily Rate (ADR) of $287 for the second quarter of 2010, compared to $263 in the 2009 quarter. The property’s occupancy was 81.3%, compared to 86.7% during the prior year period as we added 414 rooms and villas with the opening of Encore on April 21, 2010. Revenue per available room (REVPAR) was $234 in the 2010 quarter, 2.5% above 2009 levels of $228.</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5" w:name="page6"/>
    <w:bookmarkEnd w:id="5"/>
    <w:p>
      <w:pPr>
        <w:spacing w:after="0" w:line="276" w:lineRule="auto"/>
        <w:rPr>
          <w:sz w:val="20"/>
          <w:szCs w:val="20"/>
          <w:color w:val="auto"/>
        </w:rPr>
      </w:pPr>
      <w:r>
        <w:rPr>
          <w:rFonts w:ascii="Arial" w:cs="Arial" w:eastAsia="Arial" w:hAnsi="Arial"/>
          <w:sz w:val="18"/>
          <w:szCs w:val="18"/>
          <w:color w:val="auto"/>
        </w:rPr>
        <w:t>Gross non-gaming revenues at Wynn Macau increased 59.2% during the quarter to $70.8 million, driven by hotel and retail revenues which were up 57.9% and 75.5% respectively as a result of the addition of the Encore rooms and the opening of several new retail outlets.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and Encore Second Quarter Results</w:t>
      </w:r>
    </w:p>
    <w:p>
      <w:pPr>
        <w:spacing w:after="0" w:line="241"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For the quarter ended June 30, 2010, net revenues for our Las Vegas operations were $318.2 million, 1.7% higher than in the second quarter of 2009. Property EBITDA of $65.1 million (with a 20.5% EBITDA margin on net revenue) was down 13.7% versus the $75.5 million generated in the comparable period in 2009, primarily due to higher healthcare and other employee benefit costs, customer acquisition expenses as well as repairs and maintenance costs to preserve the property’s overall quality.</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Net casino revenues in the second quarter of 2010 were $117.2 million, down 5.8% from the second quarter of 2009. Table games drop was $485.9 million compared to drop of $494.8 million in the 2009 quarter and table games win percentage of 20.0% was lower than the property’s expected range of 21% to 24% and the 20.7% reported in the 2009 quarter. Slot machine handle of $671.8 million was 19.7% below the comparable period of 2009, however net slot win was down only 1.6%.</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Gross non-casino revenues for the quarter were $244.2 million, a 5.3% increase from the second quarter of 2009, driven primarily by higher revenues from our nightclub operations and the recently opened Beach Club.</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Room revenues were down 3.2% to $78.8 million during the quarter, versus $81.5 million in the second quarter of 2009 as Average Daily Rate (ADR) decreased 9.6% to $197, compared to $218 in the 2009 quarter. Our occupancy was 92.6%, up from the 86.6% generated in the prior year period, generating revenue per available room (REVPAR) of $182 in the 2010 period compared to $188 in the second quarter of 2009.</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Food and beverage revenues increased 11.5% to $111.5 million in the quarter as we opened the new Encore Beach Club and Surrender nightclub in May 2010. Retail revenues were $21.5 million in the quarter, 3.0% below last year’s levels. Entertainment revenues increased 27.1% to $15.6 million from the second quarter of 2009 primarily due to the Garth Brooks performances (started in December 2009), as well as increased revenue from our Le Rêve show.</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Earnings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Interest expense, net of $1.8 million in capitalized interest, was $53.6 million for the second quarter of 2010. Depreciation and amortization expense was $ 101.4 million during the quarter compared to $102.7 million for the three months ended June 30, 2009. Depreciation decreased modestly even with the opening of Encore at Wynn Macau (in April 2010) and the Beach Club at Wynn Las Vegas (in May 2010) as Wynn Las Vegas’ depreciation decreased as a result of assets with a 5 year life being fully depreciated as of April 2010.</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Corporate expense and other was $22.1 million (including approximately $7.0 million of stock based compensation) in the second quarter 2010, a $9.0 million increase primarily due to higher spending associated with corporate development activities.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Capital Expenditures</w:t>
      </w:r>
    </w:p>
    <w:p>
      <w:pPr>
        <w:spacing w:after="0" w:line="241" w:lineRule="exact"/>
        <w:rPr>
          <w:sz w:val="20"/>
          <w:szCs w:val="20"/>
          <w:color w:val="auto"/>
        </w:rPr>
      </w:pPr>
    </w:p>
    <w:p>
      <w:pPr>
        <w:ind w:right="860"/>
        <w:spacing w:after="0" w:line="276" w:lineRule="auto"/>
        <w:rPr>
          <w:sz w:val="20"/>
          <w:szCs w:val="20"/>
          <w:color w:val="auto"/>
        </w:rPr>
      </w:pPr>
      <w:r>
        <w:rPr>
          <w:rFonts w:ascii="Arial" w:cs="Arial" w:eastAsia="Arial" w:hAnsi="Arial"/>
          <w:sz w:val="18"/>
          <w:szCs w:val="18"/>
          <w:color w:val="auto"/>
        </w:rPr>
        <w:t>Our total cash balances at June 30, 2010 were $1.9 billion. Total debt outstanding at the end of the quarter was $3.2 billion, including approximately $2.5 billion of Wynn Las Vegas debt and $681 million of Wynn Macau debt.</w:t>
      </w:r>
    </w:p>
    <w:p>
      <w:pPr>
        <w:spacing w:after="0" w:line="172"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Capital expenditures during the second quarter of 2010, net of changes in construction payables and retention, totaled approximately $105 million primarily related to Encore at Wynn Macau and the Encore Beach Club at Wynn Las Vegas.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Information</w:t>
      </w: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Company will hold a conference call to discuss its results on Thursday, July 29, 2010 at 1:30 p.m. PT (4:30 p.m. ET). Interested parties are invited to join the call by accessing a live audio webcast at http://www.wynnresorts.com (Investor Relations).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dependence on existing management, levels of travel, leisure and casino spending, general economic conditions, and changes in gaming laws or regulations. Additional information concerning potential factors that could affect the Company's financial results is included in the Company's Annual Report on Form 10-K for the year ended Decem ber 31, 2009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1" w:lineRule="exact"/>
        <w:rPr>
          <w:sz w:val="20"/>
          <w:szCs w:val="20"/>
          <w:color w:val="auto"/>
        </w:rPr>
      </w:pPr>
    </w:p>
    <w:p>
      <w:pPr>
        <w:jc w:val="both"/>
        <w:ind w:firstLine="8"/>
        <w:spacing w:after="0"/>
        <w:tabs>
          <w:tab w:leader="none" w:pos="286"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company&amp; #8217;s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 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3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(loss) attributable to Wynn Resorts to adjusted net income (loss) attributable to Wynn Resorts, and (ii) operating income (loss) to adjusted property EBITDA and adjusted property EBITDA to net income (loss) attributable to Wynn Resorts.</w:t>
      </w:r>
    </w:p>
    <w:p>
      <w:pPr>
        <w:spacing w:after="0" w:line="191" w:lineRule="exact"/>
        <w:rPr>
          <w:sz w:val="20"/>
          <w:szCs w:val="20"/>
          <w:color w:val="auto"/>
        </w:rPr>
      </w:pPr>
    </w:p>
    <w:p>
      <w:pPr>
        <w:jc w:val="both"/>
        <w:ind w:firstLine="8"/>
        <w:spacing w:after="0"/>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net income (loss) attributable to Wynn Resorts is net income (loss) before pre-opening costs, property charges and other non-cash non-operating income and expenses. Adjusted net income (loss) attributable to Wynn Resorts and adjusted net income (loss) per share attributable to Wynn Resorts (“EPS”) are presented as supplemental disclosures because management believes that these financial measures are widely used to measure the performance, and as a principal basis for valuation, of gaming companies. These measures are used by management and/or evaluated by some in vestors, in addition to income and EPS computed in accordance with GAAP, as an additional basis for assessing period-to-period results of our business. Adjusted net income (loss) attributable to Wynn Resorts and adjusted net income (loss) attributable to Wynn Resorts per share may be different from the calculation methods used by other companies and, therefore, comparability may be limited.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color w:val="auto"/>
        </w:rPr>
        <w:t>(amounts 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560"/>
              <w:spacing w:after="0" w:line="202" w:lineRule="exact"/>
              <w:rPr>
                <w:sz w:val="20"/>
                <w:szCs w:val="20"/>
                <w:color w:val="auto"/>
              </w:rPr>
            </w:pPr>
            <w:r>
              <w:rPr>
                <w:rFonts w:ascii="Arial" w:cs="Arial" w:eastAsia="Arial" w:hAnsi="Arial"/>
                <w:sz w:val="18"/>
                <w:szCs w:val="18"/>
                <w:color w:val="auto"/>
              </w:rPr>
              <w:t>Casino</w:t>
            </w:r>
          </w:p>
        </w:tc>
        <w:tc>
          <w:tcPr>
            <w:tcW w:w="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789,205</w:t>
            </w:r>
          </w:p>
        </w:tc>
        <w:tc>
          <w:tcPr>
            <w:tcW w:w="4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508,345</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1,480,793</w:t>
            </w:r>
          </w:p>
        </w:tc>
        <w:tc>
          <w:tcPr>
            <w:tcW w:w="4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1,049,999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Rooms</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100,528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95,185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193,435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193,591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560"/>
              <w:spacing w:after="0" w:line="202" w:lineRule="exact"/>
              <w:rPr>
                <w:sz w:val="20"/>
                <w:szCs w:val="20"/>
                <w:color w:val="auto"/>
              </w:rPr>
            </w:pPr>
            <w:r>
              <w:rPr>
                <w:rFonts w:ascii="Arial" w:cs="Arial" w:eastAsia="Arial" w:hAnsi="Arial"/>
                <w:sz w:val="18"/>
                <w:szCs w:val="18"/>
                <w:color w:val="auto"/>
              </w:rPr>
              <w:t>Food and beverage</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127,390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111,550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239,164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221,141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Borders>
              <w:bottom w:val="single" w:sz="8" w:color="CCEEFF"/>
            </w:tcBorders>
            <w:shd w:val="clear" w:color="auto" w:fill="CCEEFF"/>
          </w:tcPr>
          <w:p>
            <w:pPr>
              <w:ind w:left="560"/>
              <w:spacing w:after="0" w:line="202" w:lineRule="exact"/>
              <w:rPr>
                <w:sz w:val="20"/>
                <w:szCs w:val="20"/>
                <w:color w:val="auto"/>
              </w:rPr>
            </w:pPr>
            <w:r>
              <w:rPr>
                <w:rFonts w:ascii="Arial" w:cs="Arial" w:eastAsia="Arial" w:hAnsi="Arial"/>
                <w:sz w:val="18"/>
                <w:szCs w:val="18"/>
                <w:color w:val="auto"/>
              </w:rPr>
              <w:t>Entertainment, retail and other.</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87,016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69,472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169,863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132,604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Pr>
          <w:p>
            <w:pPr>
              <w:ind w:left="940"/>
              <w:spacing w:after="0" w:line="196" w:lineRule="exact"/>
              <w:rPr>
                <w:sz w:val="20"/>
                <w:szCs w:val="20"/>
                <w:color w:val="auto"/>
              </w:rPr>
            </w:pPr>
            <w:r>
              <w:rPr>
                <w:rFonts w:ascii="Arial" w:cs="Arial" w:eastAsia="Arial" w:hAnsi="Arial"/>
                <w:sz w:val="18"/>
                <w:szCs w:val="18"/>
                <w:color w:val="auto"/>
              </w:rPr>
              <w:t>Gross revenues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1,104,139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784,552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2,083,255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1,597,335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ind w:left="560"/>
              <w:spacing w:after="0" w:line="202" w:lineRule="exact"/>
              <w:rPr>
                <w:sz w:val="20"/>
                <w:szCs w:val="20"/>
                <w:color w:val="auto"/>
              </w:rPr>
            </w:pPr>
            <w:r>
              <w:rPr>
                <w:rFonts w:ascii="Arial" w:cs="Arial" w:eastAsia="Arial" w:hAnsi="Arial"/>
                <w:sz w:val="18"/>
                <w:szCs w:val="18"/>
                <w:color w:val="auto"/>
              </w:rPr>
              <w:t>Less: promotional allowances</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(71,496)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(61,296)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(141,694)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940"/>
              <w:spacing w:after="0" w:line="202" w:lineRule="exact"/>
              <w:rPr>
                <w:sz w:val="20"/>
                <w:szCs w:val="20"/>
                <w:color w:val="auto"/>
              </w:rPr>
            </w:pPr>
            <w:r>
              <w:rPr>
                <w:rFonts w:ascii="Arial" w:cs="Arial" w:eastAsia="Arial" w:hAnsi="Arial"/>
                <w:sz w:val="18"/>
                <w:szCs w:val="18"/>
                <w:color w:val="auto"/>
              </w:rPr>
              <w:t>Net revenues</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1,032,643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723,256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1,941,561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1,463,211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Casino</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519,005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325,579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967,196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699,596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560"/>
              <w:spacing w:after="0" w:line="202" w:lineRule="exact"/>
              <w:rPr>
                <w:sz w:val="20"/>
                <w:szCs w:val="20"/>
                <w:color w:val="auto"/>
              </w:rPr>
            </w:pPr>
            <w:r>
              <w:rPr>
                <w:rFonts w:ascii="Arial" w:cs="Arial" w:eastAsia="Arial" w:hAnsi="Arial"/>
                <w:sz w:val="18"/>
                <w:szCs w:val="18"/>
                <w:color w:val="auto"/>
              </w:rPr>
              <w:t>Rooms.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31,648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27,258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62,791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54,447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72,697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64,901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134,533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125,721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560"/>
              <w:spacing w:after="0" w:line="202" w:lineRule="exact"/>
              <w:rPr>
                <w:sz w:val="20"/>
                <w:szCs w:val="20"/>
                <w:color w:val="auto"/>
              </w:rPr>
            </w:pPr>
            <w:r>
              <w:rPr>
                <w:rFonts w:ascii="Arial" w:cs="Arial" w:eastAsia="Arial" w:hAnsi="Arial"/>
                <w:sz w:val="18"/>
                <w:szCs w:val="18"/>
                <w:color w:val="auto"/>
              </w:rPr>
              <w:t>Entertainment, retail and other</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47,633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97,757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76,043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95,668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81,930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182,669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174,842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560"/>
              <w:spacing w:after="0" w:line="202" w:lineRule="exact"/>
              <w:rPr>
                <w:sz w:val="20"/>
                <w:szCs w:val="20"/>
                <w:color w:val="auto"/>
              </w:rPr>
            </w:pPr>
            <w:r>
              <w:rPr>
                <w:rFonts w:ascii="Arial" w:cs="Arial" w:eastAsia="Arial" w:hAnsi="Arial"/>
                <w:sz w:val="18"/>
                <w:szCs w:val="18"/>
                <w:color w:val="auto"/>
              </w:rPr>
              <w:t>Provision for doubtful accounts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6,852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3,935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13,870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Pre-opening costs</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6,675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8,986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56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101,353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102,731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205,918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204,199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ind w:left="560"/>
              <w:spacing w:after="0" w:line="202" w:lineRule="exact"/>
              <w:rPr>
                <w:sz w:val="20"/>
                <w:szCs w:val="20"/>
                <w:color w:val="auto"/>
              </w:rPr>
            </w:pPr>
            <w:r>
              <w:rPr>
                <w:rFonts w:ascii="Arial" w:cs="Arial" w:eastAsia="Arial" w:hAnsi="Arial"/>
                <w:sz w:val="18"/>
                <w:szCs w:val="18"/>
                <w:color w:val="auto"/>
              </w:rPr>
              <w:t>Property charges and other</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2,966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(5,938)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4,847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1000"/>
              <w:spacing w:after="0" w:line="202" w:lineRule="exact"/>
              <w:rPr>
                <w:sz w:val="20"/>
                <w:szCs w:val="20"/>
                <w:color w:val="auto"/>
              </w:rPr>
            </w:pPr>
            <w:r>
              <w:rPr>
                <w:rFonts w:ascii="Arial" w:cs="Arial" w:eastAsia="Arial" w:hAnsi="Arial"/>
                <w:sz w:val="18"/>
                <w:szCs w:val="18"/>
                <w:color w:val="auto"/>
              </w:rPr>
              <w:t>Total operating costs and expenses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884,497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640,458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1,678,567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1,353,264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148,146</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82,798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262,994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109,947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56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(53,598)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(53,689)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(102,859)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(110,721)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Increase (decrease) in swap fair value</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3,261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560"/>
              <w:spacing w:after="0" w:line="202" w:lineRule="exact"/>
              <w:rPr>
                <w:sz w:val="20"/>
                <w:szCs w:val="20"/>
                <w:color w:val="auto"/>
              </w:rPr>
            </w:pPr>
            <w:r>
              <w:rPr>
                <w:rFonts w:ascii="Arial" w:cs="Arial" w:eastAsia="Arial" w:hAnsi="Arial"/>
                <w:sz w:val="18"/>
                <w:szCs w:val="18"/>
                <w:color w:val="auto"/>
              </w:rPr>
              <w:t>Gain (loss) on extinguishment of debt/exchange offer</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(3,152)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11,878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(3,152)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Equity in income (loss) from unconsolidated affiliates</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560"/>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431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695</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ind w:left="1040"/>
              <w:spacing w:after="0" w:line="202" w:lineRule="exact"/>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(57,308)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(37,772)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(109,228)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(82,841)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90,838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45,026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153,766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27,106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Borders>
              <w:bottom w:val="single" w:sz="8" w:color="CCEEFF"/>
            </w:tcBorders>
            <w:shd w:val="clear" w:color="auto" w:fill="CCEEFF"/>
          </w:tcPr>
          <w:p>
            <w:pPr>
              <w:ind w:left="560"/>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(1,921)</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(19,547)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(6,990)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(35,441)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88,917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25,479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146,776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ind w:left="560"/>
              <w:spacing w:after="0" w:line="180" w:lineRule="exact"/>
              <w:rPr>
                <w:sz w:val="20"/>
                <w:szCs w:val="20"/>
                <w:color w:val="auto"/>
              </w:rPr>
            </w:pPr>
            <w:r>
              <w:rPr>
                <w:rFonts w:ascii="Arial" w:cs="Arial" w:eastAsia="Arial" w:hAnsi="Arial"/>
                <w:sz w:val="18"/>
                <w:szCs w:val="18"/>
                <w:color w:val="auto"/>
              </w:rPr>
              <w:t>Less: Net income attributable to noncontrolling</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interests</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(67,383)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attributable to Wynn Resorts, Limited</w:t>
            </w:r>
          </w:p>
        </w:tc>
        <w:tc>
          <w:tcPr>
            <w:tcW w:w="4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52,405</w:t>
            </w:r>
          </w:p>
        </w:tc>
        <w:tc>
          <w:tcPr>
            <w:tcW w:w="4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25,479</w:t>
            </w:r>
          </w:p>
        </w:tc>
        <w:tc>
          <w:tcPr>
            <w:tcW w:w="4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79,393</w:t>
            </w:r>
          </w:p>
        </w:tc>
        <w:tc>
          <w:tcPr>
            <w:tcW w:w="4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income (loss) per common share: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ind w:left="560"/>
              <w:spacing w:after="0" w:line="180" w:lineRule="exact"/>
              <w:rPr>
                <w:sz w:val="20"/>
                <w:szCs w:val="20"/>
                <w:color w:val="auto"/>
              </w:rPr>
            </w:pPr>
            <w:r>
              <w:rPr>
                <w:rFonts w:ascii="Arial" w:cs="Arial" w:eastAsia="Arial" w:hAnsi="Arial"/>
                <w:sz w:val="18"/>
                <w:szCs w:val="18"/>
                <w:color w:val="auto"/>
              </w:rPr>
              <w:t>Net income (loss) attributable to Wynn Resorts,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00" w:type="dxa"/>
            <w:vAlign w:val="bottom"/>
          </w:tcPr>
          <w:p>
            <w:pPr>
              <w:ind w:left="560"/>
              <w:spacing w:after="0"/>
              <w:rPr>
                <w:sz w:val="20"/>
                <w:szCs w:val="20"/>
                <w:color w:val="auto"/>
              </w:rPr>
            </w:pPr>
            <w:r>
              <w:rPr>
                <w:rFonts w:ascii="Arial" w:cs="Arial" w:eastAsia="Arial" w:hAnsi="Arial"/>
                <w:sz w:val="18"/>
                <w:szCs w:val="18"/>
                <w:color w:val="auto"/>
              </w:rPr>
              <w:t>Limited:</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Basic</w:t>
            </w:r>
          </w:p>
        </w:tc>
        <w:tc>
          <w:tcPr>
            <w:tcW w:w="4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0.43</w:t>
            </w:r>
          </w:p>
        </w:tc>
        <w:tc>
          <w:tcPr>
            <w:tcW w:w="4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0.21</w:t>
            </w:r>
          </w:p>
        </w:tc>
        <w:tc>
          <w:tcPr>
            <w:tcW w:w="4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0.65</w:t>
            </w:r>
          </w:p>
        </w:tc>
        <w:tc>
          <w:tcPr>
            <w:tcW w:w="4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880"/>
              <w:spacing w:after="0" w:line="202" w:lineRule="exact"/>
              <w:rPr>
                <w:sz w:val="20"/>
                <w:szCs w:val="20"/>
                <w:color w:val="auto"/>
              </w:rPr>
            </w:pPr>
            <w:r>
              <w:rPr>
                <w:rFonts w:ascii="Arial" w:cs="Arial" w:eastAsia="Arial" w:hAnsi="Arial"/>
                <w:sz w:val="18"/>
                <w:szCs w:val="18"/>
                <w:color w:val="auto"/>
              </w:rPr>
              <w:t>Diluted</w:t>
            </w:r>
          </w:p>
        </w:tc>
        <w:tc>
          <w:tcPr>
            <w:tcW w:w="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0.42</w:t>
            </w:r>
          </w:p>
        </w:tc>
        <w:tc>
          <w:tcPr>
            <w:tcW w:w="4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0.21</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0.64</w:t>
            </w:r>
          </w:p>
        </w:tc>
        <w:tc>
          <w:tcPr>
            <w:tcW w:w="4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880"/>
              <w:spacing w:after="0" w:line="202" w:lineRule="exact"/>
              <w:rPr>
                <w:sz w:val="20"/>
                <w:szCs w:val="20"/>
                <w:color w:val="auto"/>
              </w:rPr>
            </w:pPr>
            <w:r>
              <w:rPr>
                <w:rFonts w:ascii="Arial" w:cs="Arial" w:eastAsia="Arial" w:hAnsi="Arial"/>
                <w:sz w:val="18"/>
                <w:szCs w:val="18"/>
                <w:color w:val="auto"/>
              </w:rPr>
              <w:t>Basic</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122,521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122,161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122,467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117,391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123,816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122,386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123,387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117,391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declared per common share:</w:t>
            </w:r>
          </w:p>
        </w:tc>
        <w:tc>
          <w:tcPr>
            <w:tcW w:w="4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38" w:right="239" w:bottom="843"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NET INCOME (LOSS)</w:t>
      </w:r>
    </w:p>
    <w:p>
      <w:pPr>
        <w:jc w:val="center"/>
        <w:spacing w:after="0" w:line="234" w:lineRule="auto"/>
        <w:rPr>
          <w:sz w:val="20"/>
          <w:szCs w:val="20"/>
          <w:color w:val="auto"/>
        </w:rPr>
      </w:pPr>
      <w:r>
        <w:rPr>
          <w:rFonts w:ascii="Arial" w:cs="Arial" w:eastAsia="Arial" w:hAnsi="Arial"/>
          <w:sz w:val="18"/>
          <w:szCs w:val="18"/>
          <w:color w:val="auto"/>
        </w:rPr>
        <w:t>TO ADJUSTED NET INCOME (LOSS)</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0"/>
              <w:spacing w:after="0" w:line="202" w:lineRule="exact"/>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attributable to Wynn Resorts, Limited</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52,405</w:t>
            </w:r>
          </w:p>
        </w:tc>
        <w:tc>
          <w:tcPr>
            <w:tcW w:w="4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25,479</w:t>
            </w: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79,393</w:t>
            </w:r>
          </w:p>
        </w:tc>
        <w:tc>
          <w:tcPr>
            <w:tcW w:w="4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ind w:left="560"/>
              <w:spacing w:after="0" w:line="202" w:lineRule="exact"/>
              <w:rPr>
                <w:sz w:val="20"/>
                <w:szCs w:val="20"/>
                <w:color w:val="auto"/>
              </w:rPr>
            </w:pPr>
            <w:r>
              <w:rPr>
                <w:rFonts w:ascii="Arial" w:cs="Arial" w:eastAsia="Arial" w:hAnsi="Arial"/>
                <w:sz w:val="18"/>
                <w:szCs w:val="18"/>
                <w:color w:val="auto"/>
              </w:rPr>
              <w:t>Pre-opening costs</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6,675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8,986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(Gain) loss on extinguishment of debt/exchange offer</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3,152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3,152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ind w:left="560"/>
              <w:spacing w:after="0" w:line="202" w:lineRule="exact"/>
              <w:rPr>
                <w:sz w:val="20"/>
                <w:szCs w:val="20"/>
                <w:color w:val="auto"/>
              </w:rPr>
            </w:pPr>
            <w:r>
              <w:rPr>
                <w:rFonts w:ascii="Arial" w:cs="Arial" w:eastAsia="Arial" w:hAnsi="Arial"/>
                <w:sz w:val="18"/>
                <w:szCs w:val="18"/>
                <w:color w:val="auto"/>
              </w:rPr>
              <w:t>(Increase) decrease in swap fair value</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1,675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(3,261)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5,277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Property charges and other</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2,966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4,847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560"/>
              <w:spacing w:after="0"/>
              <w:rPr>
                <w:sz w:val="20"/>
                <w:szCs w:val="20"/>
                <w:color w:val="auto"/>
              </w:rPr>
            </w:pPr>
            <w:r>
              <w:rPr>
                <w:rFonts w:ascii="Arial" w:cs="Arial" w:eastAsia="Arial" w:hAnsi="Arial"/>
                <w:sz w:val="18"/>
                <w:szCs w:val="18"/>
                <w:color w:val="auto"/>
              </w:rPr>
              <w:t>Adjustment for income taxes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bottom w:val="single" w:sz="8" w:color="CCEEFF"/>
            </w:tcBorders>
            <w:shd w:val="clear" w:color="auto" w:fill="CCEEFF"/>
          </w:tcPr>
          <w:p>
            <w:pPr>
              <w:ind w:left="560"/>
              <w:spacing w:after="0" w:line="202" w:lineRule="exact"/>
              <w:rPr>
                <w:sz w:val="20"/>
                <w:szCs w:val="20"/>
                <w:color w:val="auto"/>
              </w:rPr>
            </w:pPr>
            <w:r>
              <w:rPr>
                <w:rFonts w:ascii="Arial" w:cs="Arial" w:eastAsia="Arial" w:hAnsi="Arial"/>
                <w:sz w:val="18"/>
                <w:szCs w:val="18"/>
                <w:color w:val="auto"/>
              </w:rPr>
              <w:t>Adjustment for noncontrolling interest</w:t>
            </w:r>
          </w:p>
        </w:tc>
        <w:tc>
          <w:tcPr>
            <w:tcW w:w="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(2,961)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spacing w:after="0" w:line="202" w:lineRule="exact"/>
              <w:rPr>
                <w:sz w:val="20"/>
                <w:szCs w:val="20"/>
                <w:color w:val="auto"/>
              </w:rPr>
            </w:pPr>
            <w:r>
              <w:rPr>
                <w:rFonts w:ascii="Arial" w:cs="Arial" w:eastAsia="Arial" w:hAnsi="Arial"/>
                <w:sz w:val="18"/>
                <w:szCs w:val="18"/>
                <w:color w:val="auto"/>
              </w:rPr>
              <w:t>Adjusted net income (loss) attributable to Wynn Resorts, Limited (2)</w:t>
            </w: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64,942</w:t>
            </w:r>
          </w:p>
        </w:tc>
        <w:tc>
          <w:tcPr>
            <w:tcW w:w="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11,489</w:t>
            </w:r>
          </w:p>
        </w:tc>
        <w:tc>
          <w:tcPr>
            <w:tcW w:w="3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98,694</w:t>
            </w:r>
          </w:p>
        </w:tc>
        <w:tc>
          <w:tcPr>
            <w:tcW w:w="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54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Adjusted net income (loss) attributable to Wynn Resorts, Limited per</w:t>
            </w: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share</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55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3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8"/>
                <w:szCs w:val="18"/>
                <w:b w:val="1"/>
                <w:bCs w:val="1"/>
                <w:color w:val="auto"/>
              </w:rPr>
              <w:t>Three Months Ended June 30, 2010</w:t>
            </w:r>
          </w:p>
        </w:tc>
        <w:tc>
          <w:tcPr>
            <w:tcW w:w="1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30"/>
              <w:spacing w:after="0" w:line="171" w:lineRule="exact"/>
              <w:rPr>
                <w:sz w:val="20"/>
                <w:szCs w:val="20"/>
                <w:color w:val="auto"/>
              </w:rPr>
            </w:pPr>
            <w:r>
              <w:rPr>
                <w:rFonts w:ascii="Arial" w:cs="Arial" w:eastAsia="Arial" w:hAnsi="Arial"/>
                <w:sz w:val="18"/>
                <w:szCs w:val="18"/>
                <w:b w:val="1"/>
                <w:bCs w:val="1"/>
                <w:color w:val="auto"/>
              </w:rPr>
              <w:t>Corporate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Las Vegas</w:t>
            </w:r>
          </w:p>
        </w:tc>
        <w:tc>
          <w:tcPr>
            <w:tcW w:w="100" w:type="dxa"/>
            <w:vAlign w:val="bottom"/>
          </w:tcPr>
          <w:p>
            <w:pPr>
              <w:spacing w:after="0"/>
              <w:rPr>
                <w:sz w:val="20"/>
                <w:szCs w:val="20"/>
                <w:color w:val="auto"/>
              </w:rPr>
            </w:pPr>
          </w:p>
        </w:tc>
        <w:tc>
          <w:tcPr>
            <w:tcW w:w="124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Macau</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and Other</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1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140,164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25,204</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148,146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Pre-opening costs</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6,675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67,583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33,005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101,353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Property charges and other</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2,966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320"/>
              <w:spacing w:after="0" w:line="202" w:lineRule="exact"/>
              <w:rPr>
                <w:sz w:val="20"/>
                <w:szCs w:val="20"/>
                <w:color w:val="auto"/>
              </w:rPr>
            </w:pPr>
            <w:r>
              <w:rPr>
                <w:rFonts w:ascii="Arial" w:cs="Arial" w:eastAsia="Arial" w:hAnsi="Arial"/>
                <w:sz w:val="18"/>
                <w:szCs w:val="18"/>
                <w:color w:val="auto"/>
              </w:rPr>
              <w:t>Management and royalty fees</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28,445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(33,232)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Corporate expense and other</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5,843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4,385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15,080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320"/>
              <w:spacing w:after="0" w:line="202" w:lineRule="exact"/>
              <w:rPr>
                <w:sz w:val="20"/>
                <w:szCs w:val="20"/>
                <w:color w:val="auto"/>
              </w:rPr>
            </w:pPr>
            <w:r>
              <w:rPr>
                <w:rFonts w:ascii="Arial" w:cs="Arial" w:eastAsia="Arial" w:hAnsi="Arial"/>
                <w:sz w:val="18"/>
                <w:szCs w:val="18"/>
                <w:color w:val="auto"/>
              </w:rPr>
              <w:t>Stock-based compensation</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7,039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shd w:val="clear" w:color="auto" w:fill="CCEEFF"/>
          </w:tcPr>
          <w:p>
            <w:pPr>
              <w:ind w:left="320"/>
              <w:spacing w:after="0" w:line="180" w:lineRule="exact"/>
              <w:rPr>
                <w:sz w:val="20"/>
                <w:szCs w:val="20"/>
                <w:color w:val="auto"/>
              </w:rPr>
            </w:pPr>
            <w:r>
              <w:rPr>
                <w:rFonts w:ascii="Arial" w:cs="Arial" w:eastAsia="Arial" w:hAnsi="Arial"/>
                <w:sz w:val="18"/>
                <w:szCs w:val="18"/>
                <w:color w:val="auto"/>
              </w:rPr>
              <w:t>Equity in income from</w:t>
            </w: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unconsolidated affiliates</w:t>
            </w: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line="197" w:lineRule="exact"/>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65,126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216,248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281,374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8"/>
                <w:szCs w:val="18"/>
                <w:b w:val="1"/>
                <w:bCs w:val="1"/>
                <w:color w:val="auto"/>
              </w:rPr>
              <w:t>Three Months Ended June 30, 2009</w:t>
            </w:r>
          </w:p>
        </w:tc>
        <w:tc>
          <w:tcPr>
            <w:tcW w:w="1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30"/>
              <w:spacing w:after="0" w:line="171" w:lineRule="exact"/>
              <w:rPr>
                <w:sz w:val="20"/>
                <w:szCs w:val="20"/>
                <w:color w:val="auto"/>
              </w:rPr>
            </w:pPr>
            <w:r>
              <w:rPr>
                <w:rFonts w:ascii="Arial" w:cs="Arial" w:eastAsia="Arial" w:hAnsi="Arial"/>
                <w:sz w:val="18"/>
                <w:szCs w:val="18"/>
                <w:b w:val="1"/>
                <w:bCs w:val="1"/>
                <w:color w:val="auto"/>
              </w:rPr>
              <w:t>Corporate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Las Vegas</w:t>
            </w:r>
          </w:p>
        </w:tc>
        <w:tc>
          <w:tcPr>
            <w:tcW w:w="100" w:type="dxa"/>
            <w:vAlign w:val="bottom"/>
          </w:tcPr>
          <w:p>
            <w:pPr>
              <w:spacing w:after="0"/>
              <w:rPr>
                <w:sz w:val="20"/>
                <w:szCs w:val="20"/>
                <w:color w:val="auto"/>
              </w:rPr>
            </w:pPr>
          </w:p>
        </w:tc>
        <w:tc>
          <w:tcPr>
            <w:tcW w:w="124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Macau</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and Other</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1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73,660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17,484</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82,798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Pre-opening costs</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78,425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23,462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102,731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Property charges and other</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320"/>
              <w:spacing w:after="0" w:line="202" w:lineRule="exact"/>
              <w:rPr>
                <w:sz w:val="20"/>
                <w:szCs w:val="20"/>
                <w:color w:val="auto"/>
              </w:rPr>
            </w:pPr>
            <w:r>
              <w:rPr>
                <w:rFonts w:ascii="Arial" w:cs="Arial" w:eastAsia="Arial" w:hAnsi="Arial"/>
                <w:sz w:val="18"/>
                <w:szCs w:val="18"/>
                <w:color w:val="auto"/>
              </w:rPr>
              <w:t>Management and royalty fees</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15,895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(20,598)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Corporate expense and other</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5,162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6,716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320"/>
              <w:spacing w:after="0" w:line="202" w:lineRule="exact"/>
              <w:rPr>
                <w:sz w:val="20"/>
                <w:szCs w:val="20"/>
                <w:color w:val="auto"/>
              </w:rPr>
            </w:pPr>
            <w:r>
              <w:rPr>
                <w:rFonts w:ascii="Arial" w:cs="Arial" w:eastAsia="Arial" w:hAnsi="Arial"/>
                <w:sz w:val="18"/>
                <w:szCs w:val="18"/>
                <w:color w:val="auto"/>
              </w:rPr>
              <w:t>Stock-based compensation</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shd w:val="clear" w:color="auto" w:fill="CCEEFF"/>
          </w:tcPr>
          <w:p>
            <w:pPr>
              <w:ind w:left="320"/>
              <w:spacing w:after="0" w:line="180" w:lineRule="exact"/>
              <w:rPr>
                <w:sz w:val="20"/>
                <w:szCs w:val="20"/>
                <w:color w:val="auto"/>
              </w:rPr>
            </w:pPr>
            <w:r>
              <w:rPr>
                <w:rFonts w:ascii="Arial" w:cs="Arial" w:eastAsia="Arial" w:hAnsi="Arial"/>
                <w:sz w:val="18"/>
                <w:szCs w:val="18"/>
                <w:color w:val="auto"/>
              </w:rPr>
              <w:t>Equity in income/(loss) from</w:t>
            </w: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unconsolidated affiliates</w:t>
            </w:r>
          </w:p>
        </w:tc>
        <w:tc>
          <w:tcPr>
            <w:tcW w:w="1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7"/>
                <w:szCs w:val="17"/>
                <w:b w:val="1"/>
                <w:bCs w:val="1"/>
                <w:color w:val="auto"/>
              </w:rPr>
              <w:t xml:space="preserve">Adjusted Property EBITDA </w:t>
            </w:r>
            <w:r>
              <w:rPr>
                <w:rFonts w:ascii="Arial" w:cs="Arial" w:eastAsia="Arial" w:hAnsi="Arial"/>
                <w:sz w:val="23"/>
                <w:szCs w:val="23"/>
                <w:b w:val="1"/>
                <w:bCs w:val="1"/>
                <w:color w:val="auto"/>
                <w:vertAlign w:val="superscript"/>
              </w:rPr>
              <w:t>(1)</w:t>
            </w: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75,506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117,173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192,679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Three Months Ended</w:t>
      </w:r>
    </w:p>
    <w:p>
      <w:pPr>
        <w:spacing w:after="0" w:line="16"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7"/>
                <w:szCs w:val="17"/>
                <w:b w:val="1"/>
                <w:bCs w:val="1"/>
                <w:color w:val="auto"/>
              </w:rPr>
              <w:t xml:space="preserve">Adjusted Property EBITDA </w:t>
            </w:r>
            <w:r>
              <w:rPr>
                <w:rFonts w:ascii="Arial" w:cs="Arial" w:eastAsia="Arial" w:hAnsi="Arial"/>
                <w:sz w:val="23"/>
                <w:szCs w:val="23"/>
                <w:b w:val="1"/>
                <w:bCs w:val="1"/>
                <w:color w:val="auto"/>
                <w:vertAlign w:val="superscript"/>
              </w:rPr>
              <w:t>(1)</w:t>
            </w:r>
          </w:p>
        </w:tc>
        <w:tc>
          <w:tcPr>
            <w:tcW w:w="3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281,374</w:t>
            </w:r>
          </w:p>
        </w:tc>
        <w:tc>
          <w:tcPr>
            <w:tcW w:w="3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192,679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Pre-opening costs</w:t>
            </w:r>
          </w:p>
        </w:tc>
        <w:tc>
          <w:tcPr>
            <w:tcW w:w="3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(6,675)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(101,353)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(102,731)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Property charges and other</w:t>
            </w:r>
          </w:p>
        </w:tc>
        <w:tc>
          <w:tcPr>
            <w:tcW w:w="3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Corporate expenses and other</w:t>
            </w:r>
          </w:p>
        </w:tc>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(15,080)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(6,716)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Stock-based compensation</w:t>
            </w:r>
          </w:p>
        </w:tc>
        <w:tc>
          <w:tcPr>
            <w:tcW w:w="3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(7,039)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Interest income</w:t>
            </w:r>
          </w:p>
        </w:tc>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3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(53,598)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(53,689)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Increase (decrease) in swap fair value</w:t>
            </w:r>
          </w:p>
        </w:tc>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(1,675)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Gain (loss) on extinguishment of debt/exchange offer</w:t>
            </w:r>
          </w:p>
        </w:tc>
        <w:tc>
          <w:tcPr>
            <w:tcW w:w="3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11,878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Other</w:t>
            </w:r>
          </w:p>
        </w:tc>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Provision for income taxes</w:t>
            </w:r>
          </w:p>
        </w:tc>
        <w:tc>
          <w:tcPr>
            <w:tcW w:w="3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(1,921)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3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88,917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Less: Net income attributable to noncontrolling interests</w:t>
            </w:r>
          </w:p>
        </w:tc>
        <w:tc>
          <w:tcPr>
            <w:tcW w:w="36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(36,512)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attributable to Wynn Resorts, Limited</w:t>
            </w:r>
          </w:p>
        </w:tc>
        <w:tc>
          <w:tcPr>
            <w:tcW w:w="3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52,405</w:t>
            </w:r>
          </w:p>
        </w:tc>
        <w:tc>
          <w:tcPr>
            <w:tcW w:w="3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25,479</w:t>
            </w: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5200" w:type="dxa"/>
            <w:vAlign w:val="bottom"/>
            <w:tcBorders>
              <w:top w:val="single" w:sz="8" w:color="CCEEFF"/>
            </w:tcBorders>
          </w:tcPr>
          <w:p>
            <w:pPr>
              <w:spacing w:after="0"/>
              <w:rPr>
                <w:sz w:val="24"/>
                <w:szCs w:val="24"/>
                <w:color w:val="auto"/>
              </w:rPr>
            </w:pPr>
          </w:p>
        </w:tc>
        <w:tc>
          <w:tcPr>
            <w:tcW w:w="3600" w:type="dxa"/>
            <w:vAlign w:val="bottom"/>
            <w:tcBorders>
              <w:top w:val="single" w:sz="8" w:color="CCEEFF"/>
            </w:tcBorders>
          </w:tcPr>
          <w:p>
            <w:pPr>
              <w:jc w:val="right"/>
              <w:ind w:right="297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38" w:right="239" w:bottom="303"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 (LOSS)</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w w:val="97"/>
              </w:rPr>
              <w:t>Six Months Ended June 30, 2010</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270"/>
              <w:spacing w:after="0" w:line="171" w:lineRule="exact"/>
              <w:rPr>
                <w:sz w:val="20"/>
                <w:szCs w:val="20"/>
                <w:color w:val="auto"/>
              </w:rPr>
            </w:pPr>
            <w:r>
              <w:rPr>
                <w:rFonts w:ascii="Arial" w:cs="Arial" w:eastAsia="Arial" w:hAnsi="Arial"/>
                <w:sz w:val="18"/>
                <w:szCs w:val="18"/>
                <w:b w:val="1"/>
                <w:bCs w:val="1"/>
                <w:color w:val="auto"/>
                <w:w w:val="99"/>
              </w:rPr>
              <w:t>Corporate</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Las Vegas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Macau</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and Other</w:t>
            </w:r>
          </w:p>
        </w:tc>
        <w:tc>
          <w:tcPr>
            <w:tcW w:w="22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1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(51,707)</w:t>
            </w:r>
          </w:p>
        </w:tc>
        <w:tc>
          <w:tcPr>
            <w:tcW w:w="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265,182</w:t>
            </w:r>
          </w:p>
        </w:tc>
        <w:tc>
          <w:tcPr>
            <w:tcW w:w="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49,519</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262,994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Pre-opening costs</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1,969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7,017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8,986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146,509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57,876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1,533</w:t>
            </w: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205,918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Property charges and other</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1,736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2,947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320"/>
              <w:spacing w:after="0" w:line="202" w:lineRule="exact"/>
              <w:rPr>
                <w:sz w:val="20"/>
                <w:szCs w:val="20"/>
                <w:color w:val="auto"/>
              </w:rPr>
            </w:pPr>
            <w:r>
              <w:rPr>
                <w:rFonts w:ascii="Arial" w:cs="Arial" w:eastAsia="Arial" w:hAnsi="Arial"/>
                <w:sz w:val="18"/>
                <w:szCs w:val="18"/>
                <w:color w:val="auto"/>
              </w:rPr>
              <w:t>Management and royalty fees</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9,561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51,714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(61,275)</w:t>
            </w: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Corporate expense and other</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11,306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10,638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4,108</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26,052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320"/>
              <w:spacing w:after="0" w:line="202" w:lineRule="exact"/>
              <w:rPr>
                <w:sz w:val="20"/>
                <w:szCs w:val="20"/>
                <w:color w:val="auto"/>
              </w:rPr>
            </w:pPr>
            <w:r>
              <w:rPr>
                <w:rFonts w:ascii="Arial" w:cs="Arial" w:eastAsia="Arial" w:hAnsi="Arial"/>
                <w:sz w:val="18"/>
                <w:szCs w:val="18"/>
                <w:color w:val="auto"/>
              </w:rPr>
              <w:t>Stock-based compensation</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5,978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5,524</w:t>
            </w: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13,966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80" w:type="dxa"/>
            <w:vAlign w:val="bottom"/>
            <w:shd w:val="clear" w:color="auto" w:fill="CCEEFF"/>
          </w:tcPr>
          <w:p>
            <w:pPr>
              <w:ind w:left="320"/>
              <w:spacing w:after="0" w:line="180" w:lineRule="exact"/>
              <w:rPr>
                <w:sz w:val="20"/>
                <w:szCs w:val="20"/>
                <w:color w:val="auto"/>
              </w:rPr>
            </w:pPr>
            <w:r>
              <w:rPr>
                <w:rFonts w:ascii="Arial" w:cs="Arial" w:eastAsia="Arial" w:hAnsi="Arial"/>
                <w:sz w:val="18"/>
                <w:szCs w:val="18"/>
                <w:color w:val="auto"/>
              </w:rPr>
              <w:t>Equity in income from</w:t>
            </w: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unconsolidated affiliates</w:t>
            </w:r>
          </w:p>
        </w:tc>
        <w:tc>
          <w:tcPr>
            <w:tcW w:w="1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427</w:t>
            </w: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7"/>
                <w:szCs w:val="17"/>
                <w:b w:val="1"/>
                <w:bCs w:val="1"/>
                <w:color w:val="auto"/>
              </w:rPr>
              <w:t xml:space="preserve">Adjusted Property EBITDA </w:t>
            </w:r>
            <w:r>
              <w:rPr>
                <w:rFonts w:ascii="Arial" w:cs="Arial" w:eastAsia="Arial" w:hAnsi="Arial"/>
                <w:sz w:val="23"/>
                <w:szCs w:val="23"/>
                <w:b w:val="1"/>
                <w:bCs w:val="1"/>
                <w:color w:val="auto"/>
                <w:vertAlign w:val="superscript"/>
              </w:rPr>
              <w:t>(1)</w:t>
            </w:r>
          </w:p>
        </w:tc>
        <w:tc>
          <w:tcPr>
            <w:tcW w:w="1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125,431</w:t>
            </w:r>
          </w:p>
        </w:tc>
        <w:tc>
          <w:tcPr>
            <w:tcW w:w="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397,838</w:t>
            </w:r>
          </w:p>
        </w:tc>
        <w:tc>
          <w:tcPr>
            <w:tcW w:w="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523,269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w w:val="97"/>
              </w:rPr>
              <w:t>Six Months Ended June 30, 2009</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270"/>
              <w:spacing w:after="0" w:line="171" w:lineRule="exact"/>
              <w:rPr>
                <w:sz w:val="20"/>
                <w:szCs w:val="20"/>
                <w:color w:val="auto"/>
              </w:rPr>
            </w:pPr>
            <w:r>
              <w:rPr>
                <w:rFonts w:ascii="Arial" w:cs="Arial" w:eastAsia="Arial" w:hAnsi="Arial"/>
                <w:sz w:val="18"/>
                <w:szCs w:val="18"/>
                <w:b w:val="1"/>
                <w:bCs w:val="1"/>
                <w:color w:val="auto"/>
                <w:w w:val="99"/>
              </w:rPr>
              <w:t>Corporate</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Las Vegas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Macau</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and Other</w:t>
            </w:r>
          </w:p>
        </w:tc>
        <w:tc>
          <w:tcPr>
            <w:tcW w:w="22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1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(66,730)</w:t>
            </w:r>
          </w:p>
        </w:tc>
        <w:tc>
          <w:tcPr>
            <w:tcW w:w="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142,394</w:t>
            </w:r>
          </w:p>
        </w:tc>
        <w:tc>
          <w:tcPr>
            <w:tcW w:w="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34,283</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109,947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Pre-opening costs</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155,869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46,833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1,497</w:t>
            </w: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204,199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Property charges and other</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7,294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1,505</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320"/>
              <w:spacing w:after="0" w:line="202" w:lineRule="exact"/>
              <w:rPr>
                <w:sz w:val="20"/>
                <w:szCs w:val="20"/>
                <w:color w:val="auto"/>
              </w:rPr>
            </w:pPr>
            <w:r>
              <w:rPr>
                <w:rFonts w:ascii="Arial" w:cs="Arial" w:eastAsia="Arial" w:hAnsi="Arial"/>
                <w:sz w:val="18"/>
                <w:szCs w:val="18"/>
                <w:color w:val="auto"/>
              </w:rPr>
              <w:t>Management and royalty fees</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9,057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33,461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(42,518)</w:t>
            </w: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Corporate expense and other</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9,732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14,684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320"/>
              <w:spacing w:after="0" w:line="202" w:lineRule="exact"/>
              <w:rPr>
                <w:sz w:val="20"/>
                <w:szCs w:val="20"/>
                <w:color w:val="auto"/>
              </w:rPr>
            </w:pPr>
            <w:r>
              <w:rPr>
                <w:rFonts w:ascii="Arial" w:cs="Arial" w:eastAsia="Arial" w:hAnsi="Arial"/>
                <w:sz w:val="18"/>
                <w:szCs w:val="18"/>
                <w:color w:val="auto"/>
              </w:rPr>
              <w:t>Stock-based compensation</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4,564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4,771</w:t>
            </w: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11,794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80" w:type="dxa"/>
            <w:vAlign w:val="bottom"/>
            <w:shd w:val="clear" w:color="auto" w:fill="CCEEFF"/>
          </w:tcPr>
          <w:p>
            <w:pPr>
              <w:ind w:left="320"/>
              <w:spacing w:after="0" w:line="180" w:lineRule="exact"/>
              <w:rPr>
                <w:sz w:val="20"/>
                <w:szCs w:val="20"/>
                <w:color w:val="auto"/>
              </w:rPr>
            </w:pPr>
            <w:r>
              <w:rPr>
                <w:rFonts w:ascii="Arial" w:cs="Arial" w:eastAsia="Arial" w:hAnsi="Arial"/>
                <w:sz w:val="18"/>
                <w:szCs w:val="18"/>
                <w:color w:val="auto"/>
              </w:rPr>
              <w:t>Equity in income/(loss) from</w:t>
            </w: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unconsolidated affiliates</w:t>
            </w: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tcBorders>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line="197" w:lineRule="exact"/>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18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119,357</w:t>
            </w:r>
          </w:p>
        </w:tc>
        <w:tc>
          <w:tcPr>
            <w:tcW w:w="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231,816</w:t>
            </w:r>
          </w:p>
        </w:tc>
        <w:tc>
          <w:tcPr>
            <w:tcW w:w="2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351,173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Six Months Ended</w:t>
      </w:r>
    </w:p>
    <w:p>
      <w:pPr>
        <w:spacing w:after="0" w:line="16"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3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523,269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351,173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Pre-opening costs</w:t>
            </w:r>
          </w:p>
        </w:tc>
        <w:tc>
          <w:tcPr>
            <w:tcW w:w="3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(8,986)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(205,918)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(204,199)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Property charges and other</w:t>
            </w:r>
          </w:p>
        </w:tc>
        <w:tc>
          <w:tcPr>
            <w:tcW w:w="3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Corporate expenses and other</w:t>
            </w: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(26,052)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(14,684)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Stock-based compensation</w:t>
            </w:r>
          </w:p>
        </w:tc>
        <w:tc>
          <w:tcPr>
            <w:tcW w:w="3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(13,966)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Interest income</w:t>
            </w: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859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3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(102,859)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(110,721)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Increase (decrease) in swap fair value</w:t>
            </w: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(5,277)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Gain (loss) on extinguishment of debt/exchange offer</w:t>
            </w:r>
          </w:p>
        </w:tc>
        <w:tc>
          <w:tcPr>
            <w:tcW w:w="3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Other</w:t>
            </w: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Provision for income taxes</w:t>
            </w:r>
          </w:p>
        </w:tc>
        <w:tc>
          <w:tcPr>
            <w:tcW w:w="36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(6,990)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(35,441)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2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(loss)</w:t>
            </w:r>
          </w:p>
        </w:tc>
        <w:tc>
          <w:tcPr>
            <w:tcW w:w="3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146,776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Less: Net income attributable to noncontrolling interests</w:t>
            </w:r>
          </w:p>
        </w:tc>
        <w:tc>
          <w:tcPr>
            <w:tcW w:w="36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(67,383)</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3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79,393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5200" w:type="dxa"/>
            <w:vAlign w:val="bottom"/>
            <w:tcBorders>
              <w:top w:val="single" w:sz="8" w:color="CCEEFF"/>
            </w:tcBorders>
          </w:tcPr>
          <w:p>
            <w:pPr>
              <w:spacing w:after="0"/>
              <w:rPr>
                <w:sz w:val="24"/>
                <w:szCs w:val="24"/>
                <w:color w:val="auto"/>
              </w:rPr>
            </w:pPr>
          </w:p>
        </w:tc>
        <w:tc>
          <w:tcPr>
            <w:tcW w:w="3600" w:type="dxa"/>
            <w:vAlign w:val="bottom"/>
            <w:tcBorders>
              <w:top w:val="single" w:sz="8" w:color="CCEEFF"/>
            </w:tcBorders>
          </w:tcPr>
          <w:p>
            <w:pPr>
              <w:jc w:val="right"/>
              <w:ind w:right="297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38" w:right="239" w:bottom="654"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DATA SCHEDULE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4"/>
          </w:tcPr>
          <w:p>
            <w:pPr>
              <w:ind w:left="8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gridSpan w:val="5"/>
          </w:tcPr>
          <w:p>
            <w:pPr>
              <w:ind w:left="1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160" w:type="dxa"/>
            <w:vAlign w:val="bottom"/>
            <w:tcBorders>
              <w:top w:val="single" w:sz="8" w:color="auto"/>
            </w:tcBorders>
            <w:gridSpan w:val="2"/>
          </w:tcPr>
          <w:p>
            <w:pPr>
              <w:jc w:val="right"/>
              <w:ind w:right="130"/>
              <w:spacing w:after="0" w:line="178" w:lineRule="exact"/>
              <w:rPr>
                <w:sz w:val="20"/>
                <w:szCs w:val="20"/>
                <w:color w:val="auto"/>
              </w:rPr>
            </w:pPr>
            <w:r>
              <w:rPr>
                <w:rFonts w:ascii="Arial" w:cs="Arial" w:eastAsia="Arial" w:hAnsi="Arial"/>
                <w:sz w:val="18"/>
                <w:szCs w:val="18"/>
                <w:b w:val="1"/>
                <w:bCs w:val="1"/>
                <w:color w:val="auto"/>
              </w:rPr>
              <w:t>June 30,</w:t>
            </w:r>
          </w:p>
        </w:tc>
        <w:tc>
          <w:tcPr>
            <w:tcW w:w="4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right"/>
              <w:ind w:right="130"/>
              <w:spacing w:after="0" w:line="178" w:lineRule="exact"/>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15"/>
                <w:szCs w:val="15"/>
                <w:color w:val="auto"/>
              </w:rPr>
            </w:pPr>
          </w:p>
        </w:tc>
        <w:tc>
          <w:tcPr>
            <w:tcW w:w="1160" w:type="dxa"/>
            <w:vAlign w:val="bottom"/>
            <w:tcBorders>
              <w:top w:val="single" w:sz="8" w:color="auto"/>
            </w:tcBorders>
            <w:gridSpan w:val="2"/>
          </w:tcPr>
          <w:p>
            <w:pPr>
              <w:jc w:val="right"/>
              <w:ind w:right="130"/>
              <w:spacing w:after="0" w:line="178" w:lineRule="exact"/>
              <w:rPr>
                <w:sz w:val="20"/>
                <w:szCs w:val="20"/>
                <w:color w:val="auto"/>
              </w:rPr>
            </w:pPr>
            <w:r>
              <w:rPr>
                <w:rFonts w:ascii="Arial" w:cs="Arial" w:eastAsia="Arial" w:hAnsi="Arial"/>
                <w:sz w:val="18"/>
                <w:szCs w:val="18"/>
                <w:b w:val="1"/>
                <w:bCs w:val="1"/>
                <w:color w:val="auto"/>
              </w:rPr>
              <w:t>June 30,</w:t>
            </w:r>
          </w:p>
        </w:tc>
        <w:tc>
          <w:tcPr>
            <w:tcW w:w="4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right"/>
              <w:ind w:right="110"/>
              <w:spacing w:after="0" w:line="178" w:lineRule="exact"/>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Room Statistics for Las Vegas operations:</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Occupancy %</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92.6%</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86.6%</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91.0%</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88.0%</w:t>
            </w: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360"/>
              <w:spacing w:after="0" w:line="202" w:lineRule="exact"/>
              <w:rPr>
                <w:sz w:val="20"/>
                <w:szCs w:val="20"/>
                <w:color w:val="auto"/>
              </w:rPr>
            </w:pPr>
            <w:r>
              <w:rPr>
                <w:rFonts w:ascii="Arial" w:cs="Arial" w:eastAsia="Arial" w:hAnsi="Arial"/>
                <w:sz w:val="17"/>
                <w:szCs w:val="17"/>
                <w:color w:val="auto"/>
              </w:rPr>
              <w:t>Average Daily Rate (ADR)</w:t>
            </w:r>
            <w:r>
              <w:rPr>
                <w:rFonts w:ascii="Arial" w:cs="Arial" w:eastAsia="Arial" w:hAnsi="Arial"/>
                <w:sz w:val="23"/>
                <w:szCs w:val="23"/>
                <w:color w:val="auto"/>
                <w:vertAlign w:val="superscript"/>
              </w:rPr>
              <w:t>1</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197</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218</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200</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220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360"/>
              <w:spacing w:after="0" w:line="202" w:lineRule="exact"/>
              <w:rPr>
                <w:sz w:val="20"/>
                <w:szCs w:val="20"/>
                <w:color w:val="auto"/>
              </w:rPr>
            </w:pPr>
            <w:r>
              <w:rPr>
                <w:rFonts w:ascii="Arial" w:cs="Arial" w:eastAsia="Arial" w:hAnsi="Arial"/>
                <w:sz w:val="17"/>
                <w:szCs w:val="17"/>
                <w:color w:val="auto"/>
              </w:rPr>
              <w:t>Revenue per available room (REVPAR)</w:t>
            </w:r>
            <w:r>
              <w:rPr>
                <w:rFonts w:ascii="Arial" w:cs="Arial" w:eastAsia="Arial" w:hAnsi="Arial"/>
                <w:sz w:val="23"/>
                <w:szCs w:val="23"/>
                <w:color w:val="auto"/>
                <w:vertAlign w:val="superscript"/>
              </w:rPr>
              <w:t>2</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182</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188</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182</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194</w:t>
            </w: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 for Las Vegas operations: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360"/>
              <w:spacing w:after="0" w:line="202" w:lineRule="exact"/>
              <w:rPr>
                <w:sz w:val="20"/>
                <w:szCs w:val="20"/>
                <w:color w:val="auto"/>
              </w:rPr>
            </w:pPr>
            <w:r>
              <w:rPr>
                <w:rFonts w:ascii="Arial" w:cs="Arial" w:eastAsia="Arial" w:hAnsi="Arial"/>
                <w:sz w:val="17"/>
                <w:szCs w:val="17"/>
                <w:color w:val="auto"/>
              </w:rPr>
              <w:t>Table games win per unit per day</w:t>
            </w:r>
            <w:r>
              <w:rPr>
                <w:rFonts w:ascii="Arial" w:cs="Arial" w:eastAsia="Arial" w:hAnsi="Arial"/>
                <w:sz w:val="23"/>
                <w:szCs w:val="23"/>
                <w:color w:val="auto"/>
                <w:vertAlign w:val="superscript"/>
              </w:rPr>
              <w:t>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4,721</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5,007</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5,576</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4,702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Table Win %</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w:t>
            </w: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360"/>
              <w:spacing w:after="0" w:line="202" w:lineRule="exact"/>
              <w:rPr>
                <w:sz w:val="20"/>
                <w:szCs w:val="20"/>
                <w:color w:val="auto"/>
              </w:rPr>
            </w:pPr>
            <w:r>
              <w:rPr>
                <w:rFonts w:ascii="Arial" w:cs="Arial" w:eastAsia="Arial" w:hAnsi="Arial"/>
                <w:sz w:val="17"/>
                <w:szCs w:val="17"/>
                <w:color w:val="auto"/>
              </w:rPr>
              <w:t>Slot machine win per unit per day</w:t>
            </w:r>
            <w:r>
              <w:rPr>
                <w:rFonts w:ascii="Arial" w:cs="Arial" w:eastAsia="Arial" w:hAnsi="Arial"/>
                <w:sz w:val="23"/>
                <w:szCs w:val="23"/>
                <w:color w:val="auto"/>
                <w:vertAlign w:val="superscript"/>
              </w:rPr>
              <w:t>4</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167</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164</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160</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177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Average number of table games</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227</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225</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224</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229</w:t>
            </w: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360"/>
              <w:spacing w:after="0" w:line="202" w:lineRule="exact"/>
              <w:rPr>
                <w:sz w:val="20"/>
                <w:szCs w:val="20"/>
                <w:color w:val="auto"/>
              </w:rPr>
            </w:pPr>
            <w:r>
              <w:rPr>
                <w:rFonts w:ascii="Arial" w:cs="Arial" w:eastAsia="Arial" w:hAnsi="Arial"/>
                <w:sz w:val="18"/>
                <w:szCs w:val="18"/>
                <w:color w:val="auto"/>
              </w:rPr>
              <w:t>Average number of slot machines</w:t>
            </w:r>
          </w:p>
        </w:tc>
        <w:tc>
          <w:tcPr>
            <w:tcW w:w="300" w:type="dxa"/>
            <w:vAlign w:val="bottom"/>
          </w:tcPr>
          <w:p>
            <w:pPr>
              <w:spacing w:after="0"/>
              <w:rPr>
                <w:sz w:val="17"/>
                <w:szCs w:val="17"/>
                <w:color w:val="auto"/>
              </w:rPr>
            </w:pPr>
          </w:p>
        </w:tc>
        <w:tc>
          <w:tcPr>
            <w:tcW w:w="8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2,688</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2,780</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2,673</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2,781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Room Statistics for Macau:</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Occupancy %</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81.3%</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86.7%</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85.0%</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85.0%</w:t>
            </w: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360"/>
              <w:spacing w:after="0" w:line="202" w:lineRule="exact"/>
              <w:rPr>
                <w:sz w:val="20"/>
                <w:szCs w:val="20"/>
                <w:color w:val="auto"/>
              </w:rPr>
            </w:pPr>
            <w:r>
              <w:rPr>
                <w:rFonts w:ascii="Arial" w:cs="Arial" w:eastAsia="Arial" w:hAnsi="Arial"/>
                <w:sz w:val="17"/>
                <w:szCs w:val="17"/>
                <w:color w:val="auto"/>
              </w:rPr>
              <w:t>Average Daily Rate (ADR)</w:t>
            </w:r>
            <w:r>
              <w:rPr>
                <w:rFonts w:ascii="Arial" w:cs="Arial" w:eastAsia="Arial" w:hAnsi="Arial"/>
                <w:sz w:val="23"/>
                <w:szCs w:val="23"/>
                <w:color w:val="auto"/>
                <w:vertAlign w:val="superscript"/>
              </w:rPr>
              <w:t>1</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287</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263</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285</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265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360"/>
              <w:spacing w:after="0" w:line="202" w:lineRule="exact"/>
              <w:rPr>
                <w:sz w:val="20"/>
                <w:szCs w:val="20"/>
                <w:color w:val="auto"/>
              </w:rPr>
            </w:pPr>
            <w:r>
              <w:rPr>
                <w:rFonts w:ascii="Arial" w:cs="Arial" w:eastAsia="Arial" w:hAnsi="Arial"/>
                <w:sz w:val="17"/>
                <w:szCs w:val="17"/>
                <w:color w:val="auto"/>
              </w:rPr>
              <w:t>Revenue per available room (REVPAR)</w:t>
            </w:r>
            <w:r>
              <w:rPr>
                <w:rFonts w:ascii="Arial" w:cs="Arial" w:eastAsia="Arial" w:hAnsi="Arial"/>
                <w:sz w:val="23"/>
                <w:szCs w:val="23"/>
                <w:color w:val="auto"/>
                <w:vertAlign w:val="superscript"/>
              </w:rPr>
              <w:t>2</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234</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228</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242</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225</w:t>
            </w: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 for Macau:</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360"/>
              <w:spacing w:after="0" w:line="202" w:lineRule="exact"/>
              <w:rPr>
                <w:sz w:val="20"/>
                <w:szCs w:val="20"/>
                <w:color w:val="auto"/>
              </w:rPr>
            </w:pPr>
            <w:r>
              <w:rPr>
                <w:rFonts w:ascii="Arial" w:cs="Arial" w:eastAsia="Arial" w:hAnsi="Arial"/>
                <w:sz w:val="17"/>
                <w:szCs w:val="17"/>
                <w:color w:val="auto"/>
              </w:rPr>
              <w:t>Table games win per unit per day</w:t>
            </w:r>
            <w:r>
              <w:rPr>
                <w:rFonts w:ascii="Arial" w:cs="Arial" w:eastAsia="Arial" w:hAnsi="Arial"/>
                <w:sz w:val="23"/>
                <w:szCs w:val="23"/>
                <w:color w:val="auto"/>
                <w:vertAlign w:val="superscript"/>
              </w:rPr>
              <w:t>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20,497</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13,178</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19,688</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13,957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360"/>
              <w:spacing w:after="0" w:line="202" w:lineRule="exact"/>
              <w:rPr>
                <w:sz w:val="20"/>
                <w:szCs w:val="20"/>
                <w:color w:val="auto"/>
              </w:rPr>
            </w:pPr>
            <w:r>
              <w:rPr>
                <w:rFonts w:ascii="Arial" w:cs="Arial" w:eastAsia="Arial" w:hAnsi="Arial"/>
                <w:sz w:val="17"/>
                <w:szCs w:val="17"/>
                <w:color w:val="auto"/>
              </w:rPr>
              <w:t>Slot machine win per unit per day</w:t>
            </w:r>
            <w:r>
              <w:rPr>
                <w:rFonts w:ascii="Arial" w:cs="Arial" w:eastAsia="Arial" w:hAnsi="Arial"/>
                <w:sz w:val="23"/>
                <w:szCs w:val="23"/>
                <w:color w:val="auto"/>
                <w:vertAlign w:val="superscript"/>
              </w:rPr>
              <w:t>4</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457</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383</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454</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412</w:t>
            </w: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360"/>
              <w:spacing w:after="0" w:line="202" w:lineRule="exact"/>
              <w:rPr>
                <w:sz w:val="20"/>
                <w:szCs w:val="20"/>
                <w:color w:val="auto"/>
              </w:rPr>
            </w:pPr>
            <w:r>
              <w:rPr>
                <w:rFonts w:ascii="Arial" w:cs="Arial" w:eastAsia="Arial" w:hAnsi="Arial"/>
                <w:sz w:val="18"/>
                <w:szCs w:val="18"/>
                <w:color w:val="auto"/>
              </w:rPr>
              <w:t>Average number of table games</w:t>
            </w:r>
          </w:p>
        </w:tc>
        <w:tc>
          <w:tcPr>
            <w:tcW w:w="300" w:type="dxa"/>
            <w:vAlign w:val="bottom"/>
          </w:tcPr>
          <w:p>
            <w:pPr>
              <w:spacing w:after="0"/>
              <w:rPr>
                <w:sz w:val="17"/>
                <w:szCs w:val="17"/>
                <w:color w:val="auto"/>
              </w:rPr>
            </w:pPr>
          </w:p>
        </w:tc>
        <w:tc>
          <w:tcPr>
            <w:tcW w:w="8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442</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367</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417</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368</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Average number of slot machines</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1,185</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1,217</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1,180</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1,233</w:t>
            </w: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(less service charges, if any) by total rooms occupied.</w:t>
      </w:r>
    </w:p>
    <w:p>
      <w:pPr>
        <w:spacing w:after="0" w:line="238" w:lineRule="exact"/>
        <w:rPr>
          <w:rFonts w:ascii="Arial" w:cs="Arial" w:eastAsia="Arial" w:hAnsi="Arial"/>
          <w:sz w:val="18"/>
          <w:szCs w:val="18"/>
          <w:color w:val="auto"/>
        </w:rPr>
      </w:pPr>
    </w:p>
    <w:p>
      <w:pPr>
        <w:ind w:right="500" w:firstLine="8"/>
        <w:spacing w:after="0" w:line="276"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(less service charges, if any) by total rooms available.</w:t>
      </w:r>
    </w:p>
    <w:p>
      <w:pPr>
        <w:spacing w:after="0" w:line="172"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238"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Slot machine win per unit per day calculated as gross slot win minus progressive accruals and free play.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34" w:lineRule="auto"/>
        <w:rPr>
          <w:sz w:val="20"/>
          <w:szCs w:val="20"/>
          <w:color w:val="auto"/>
        </w:rPr>
      </w:pPr>
      <w:r>
        <w:rPr>
          <w:rFonts w:ascii="Arial" w:cs="Arial" w:eastAsia="Arial" w:hAnsi="Arial"/>
          <w:sz w:val="18"/>
          <w:szCs w:val="18"/>
          <w:color w:val="auto"/>
        </w:rPr>
        <w:t>CONTACT:</w:t>
      </w:r>
    </w:p>
    <w:p>
      <w:pPr>
        <w:spacing w:after="0" w:line="235" w:lineRule="auto"/>
        <w:rPr>
          <w:sz w:val="20"/>
          <w:szCs w:val="20"/>
          <w:color w:val="auto"/>
        </w:rPr>
      </w:pPr>
      <w:r>
        <w:rPr>
          <w:rFonts w:ascii="Arial" w:cs="Arial" w:eastAsia="Arial" w:hAnsi="Arial"/>
          <w:sz w:val="18"/>
          <w:szCs w:val="18"/>
          <w:color w:val="auto"/>
        </w:rPr>
        <w:t>Samanta Stewart, 702-770-7555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9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2019-12-15T07:41:44Z</dcterms:created>
  <dcterms:modified xsi:type="dcterms:W3CDTF">2019-12-15T07:41:44Z</dcterms:modified>
</cp:coreProperties>
</file>