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620395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339090</wp:posOffset>
            </wp:positionV>
            <wp:extent cx="2169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2458085</wp:posOffset>
            </wp:positionH>
            <wp:positionV relativeFrom="paragraph">
              <wp:posOffset>384175</wp:posOffset>
            </wp:positionV>
            <wp:extent cx="23412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93" w:lineRule="exact"/>
        <w:rPr>
          <w:sz w:val="24"/>
          <w:szCs w:val="24"/>
          <w:color w:val="auto"/>
        </w:rPr>
      </w:pPr>
    </w:p>
    <w:p>
      <w:pPr>
        <w:ind w:left="402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 as Amended</w:t>
      </w:r>
    </w:p>
    <w:p>
      <w:pPr>
        <w:spacing w:after="0" w:line="15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May 16,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2458085</wp:posOffset>
            </wp:positionH>
            <wp:positionV relativeFrom="paragraph">
              <wp:posOffset>371475</wp:posOffset>
            </wp:positionV>
            <wp:extent cx="23412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2458085</wp:posOffset>
            </wp:positionH>
            <wp:positionV relativeFrom="paragraph">
              <wp:posOffset>347980</wp:posOffset>
            </wp:positionV>
            <wp:extent cx="23412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tbl>
      <w:tblPr>
        <w:tblLayout w:type="fixed"/>
        <w:tblInd w:w="700" w:type="dxa"/>
        <w:tblCellMar>
          <w:top w:w="0" w:type="dxa"/>
          <w:left w:w="0" w:type="dxa"/>
          <w:bottom w:w="0" w:type="dxa"/>
          <w:right w:w="0" w:type="dxa"/>
        </w:tblCellMar>
      </w:tblPr>
      <w:tr>
        <w:trPr>
          <w:trHeight w:val="234"/>
        </w:trPr>
        <w:tc>
          <w:tcPr>
            <w:tcW w:w="2800" w:type="dxa"/>
            <w:vAlign w:val="bottom"/>
          </w:tcPr>
          <w:p>
            <w:pPr>
              <w:jc w:val="center"/>
              <w:ind w:right="219"/>
              <w:spacing w:after="0"/>
              <w:rPr>
                <w:sz w:val="20"/>
                <w:szCs w:val="20"/>
                <w:color w:val="auto"/>
              </w:rPr>
            </w:pPr>
            <w:r>
              <w:rPr>
                <w:rFonts w:ascii="Arial" w:cs="Arial" w:eastAsia="Arial" w:hAnsi="Arial"/>
                <w:sz w:val="18"/>
                <w:szCs w:val="18"/>
                <w:b w:val="1"/>
                <w:bCs w:val="1"/>
                <w:color w:val="auto"/>
                <w:w w:val="90"/>
              </w:rPr>
              <w:t>Nevada</w:t>
            </w:r>
          </w:p>
        </w:tc>
        <w:tc>
          <w:tcPr>
            <w:tcW w:w="4060" w:type="dxa"/>
            <w:vAlign w:val="bottom"/>
            <w:gridSpan w:val="2"/>
          </w:tcPr>
          <w:p>
            <w:pPr>
              <w:ind w:left="1900"/>
              <w:spacing w:after="0"/>
              <w:rPr>
                <w:sz w:val="20"/>
                <w:szCs w:val="20"/>
                <w:color w:val="auto"/>
              </w:rPr>
            </w:pPr>
            <w:r>
              <w:rPr>
                <w:rFonts w:ascii="Arial" w:cs="Arial" w:eastAsia="Arial" w:hAnsi="Arial"/>
                <w:sz w:val="18"/>
                <w:szCs w:val="18"/>
                <w:b w:val="1"/>
                <w:bCs w:val="1"/>
                <w:color w:val="auto"/>
              </w:rPr>
              <w:t>000-50028</w:t>
            </w:r>
          </w:p>
        </w:tc>
        <w:tc>
          <w:tcPr>
            <w:tcW w:w="740" w:type="dxa"/>
            <w:vAlign w:val="bottom"/>
          </w:tcPr>
          <w:p>
            <w:pPr>
              <w:spacing w:after="0"/>
              <w:rPr>
                <w:sz w:val="20"/>
                <w:szCs w:val="20"/>
                <w:color w:val="auto"/>
              </w:rPr>
            </w:pPr>
          </w:p>
        </w:tc>
        <w:tc>
          <w:tcPr>
            <w:tcW w:w="1800" w:type="dxa"/>
            <w:vAlign w:val="bottom"/>
          </w:tcPr>
          <w:p>
            <w:pPr>
              <w:jc w:val="right"/>
              <w:ind w:right="41"/>
              <w:spacing w:after="0"/>
              <w:rPr>
                <w:sz w:val="20"/>
                <w:szCs w:val="20"/>
                <w:color w:val="auto"/>
              </w:rPr>
            </w:pPr>
            <w:r>
              <w:rPr>
                <w:rFonts w:ascii="Arial" w:cs="Arial" w:eastAsia="Arial" w:hAnsi="Arial"/>
                <w:sz w:val="18"/>
                <w:szCs w:val="18"/>
                <w:b w:val="1"/>
                <w:bCs w:val="1"/>
                <w:color w:val="auto"/>
              </w:rPr>
              <w:t>46-0484987</w:t>
            </w:r>
          </w:p>
        </w:tc>
      </w:tr>
      <w:tr>
        <w:trPr>
          <w:trHeight w:val="180"/>
        </w:trPr>
        <w:tc>
          <w:tcPr>
            <w:tcW w:w="2800" w:type="dxa"/>
            <w:vAlign w:val="bottom"/>
          </w:tcPr>
          <w:p>
            <w:pPr>
              <w:jc w:val="center"/>
              <w:ind w:right="199"/>
              <w:spacing w:after="0"/>
              <w:rPr>
                <w:sz w:val="20"/>
                <w:szCs w:val="20"/>
                <w:color w:val="auto"/>
              </w:rPr>
            </w:pPr>
            <w:r>
              <w:rPr>
                <w:rFonts w:ascii="Arial" w:cs="Arial" w:eastAsia="Arial" w:hAnsi="Arial"/>
                <w:sz w:val="14"/>
                <w:szCs w:val="14"/>
                <w:b w:val="1"/>
                <w:bCs w:val="1"/>
                <w:color w:val="auto"/>
                <w:w w:val="93"/>
              </w:rPr>
              <w:t>(State or other jurisdiction of</w:t>
            </w:r>
          </w:p>
        </w:tc>
        <w:tc>
          <w:tcPr>
            <w:tcW w:w="380" w:type="dxa"/>
            <w:vAlign w:val="bottom"/>
          </w:tcPr>
          <w:p>
            <w:pPr>
              <w:spacing w:after="0"/>
              <w:rPr>
                <w:sz w:val="15"/>
                <w:szCs w:val="15"/>
                <w:color w:val="auto"/>
              </w:rPr>
            </w:pPr>
          </w:p>
        </w:tc>
        <w:tc>
          <w:tcPr>
            <w:tcW w:w="4420" w:type="dxa"/>
            <w:vAlign w:val="bottom"/>
            <w:gridSpan w:val="2"/>
          </w:tcPr>
          <w:p>
            <w:pPr>
              <w:ind w:left="1500"/>
              <w:spacing w:after="0"/>
              <w:rPr>
                <w:sz w:val="20"/>
                <w:szCs w:val="20"/>
                <w:color w:val="auto"/>
              </w:rPr>
            </w:pPr>
            <w:r>
              <w:rPr>
                <w:rFonts w:ascii="Arial" w:cs="Arial" w:eastAsia="Arial" w:hAnsi="Arial"/>
                <w:sz w:val="14"/>
                <w:szCs w:val="14"/>
                <w:b w:val="1"/>
                <w:bCs w:val="1"/>
                <w:color w:val="auto"/>
              </w:rPr>
              <w:t>(Commission</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800" w:type="dxa"/>
            <w:vAlign w:val="bottom"/>
          </w:tcPr>
          <w:p>
            <w:pPr>
              <w:jc w:val="center"/>
              <w:ind w:right="219"/>
              <w:spacing w:after="0"/>
              <w:rPr>
                <w:sz w:val="20"/>
                <w:szCs w:val="20"/>
                <w:color w:val="auto"/>
              </w:rPr>
            </w:pPr>
            <w:r>
              <w:rPr>
                <w:rFonts w:ascii="Arial" w:cs="Arial" w:eastAsia="Arial" w:hAnsi="Arial"/>
                <w:sz w:val="14"/>
                <w:szCs w:val="14"/>
                <w:b w:val="1"/>
                <w:bCs w:val="1"/>
                <w:color w:val="auto"/>
                <w:w w:val="94"/>
              </w:rPr>
              <w:t>incorporation)</w:t>
            </w:r>
          </w:p>
        </w:tc>
        <w:tc>
          <w:tcPr>
            <w:tcW w:w="380" w:type="dxa"/>
            <w:vAlign w:val="bottom"/>
          </w:tcPr>
          <w:p>
            <w:pPr>
              <w:spacing w:after="0"/>
              <w:rPr>
                <w:sz w:val="16"/>
                <w:szCs w:val="16"/>
                <w:color w:val="auto"/>
              </w:rPr>
            </w:pPr>
          </w:p>
        </w:tc>
        <w:tc>
          <w:tcPr>
            <w:tcW w:w="4420" w:type="dxa"/>
            <w:vAlign w:val="bottom"/>
            <w:gridSpan w:val="2"/>
          </w:tcPr>
          <w:p>
            <w:pPr>
              <w:ind w:left="1480"/>
              <w:spacing w:after="0"/>
              <w:rPr>
                <w:sz w:val="20"/>
                <w:szCs w:val="20"/>
                <w:color w:val="auto"/>
              </w:rPr>
            </w:pPr>
            <w:r>
              <w:rPr>
                <w:rFonts w:ascii="Arial" w:cs="Arial" w:eastAsia="Arial" w:hAnsi="Arial"/>
                <w:sz w:val="14"/>
                <w:szCs w:val="14"/>
                <w:b w:val="1"/>
                <w:bCs w:val="1"/>
                <w:color w:val="auto"/>
              </w:rPr>
              <w:t>File Number)</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4"/>
              </w:rPr>
              <w:t>Identification No.)</w:t>
            </w:r>
          </w:p>
        </w:tc>
      </w:tr>
      <w:tr>
        <w:trPr>
          <w:trHeight w:val="561"/>
        </w:trPr>
        <w:tc>
          <w:tcPr>
            <w:tcW w:w="2800" w:type="dxa"/>
            <w:vAlign w:val="bottom"/>
          </w:tcPr>
          <w:p>
            <w:pPr>
              <w:jc w:val="center"/>
              <w:ind w:right="219"/>
              <w:spacing w:after="0"/>
              <w:rPr>
                <w:sz w:val="20"/>
                <w:szCs w:val="20"/>
                <w:color w:val="auto"/>
              </w:rPr>
            </w:pPr>
            <w:r>
              <w:rPr>
                <w:rFonts w:ascii="Arial" w:cs="Arial" w:eastAsia="Arial" w:hAnsi="Arial"/>
                <w:sz w:val="18"/>
                <w:szCs w:val="18"/>
                <w:b w:val="1"/>
                <w:bCs w:val="1"/>
                <w:color w:val="auto"/>
                <w:w w:val="88"/>
              </w:rPr>
              <w:t>3131 Las Vegas Boulevard South</w:t>
            </w:r>
          </w:p>
        </w:tc>
        <w:tc>
          <w:tcPr>
            <w:tcW w:w="3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34"/>
        </w:trPr>
        <w:tc>
          <w:tcPr>
            <w:tcW w:w="2800" w:type="dxa"/>
            <w:vAlign w:val="bottom"/>
          </w:tcPr>
          <w:p>
            <w:pPr>
              <w:jc w:val="center"/>
              <w:ind w:right="199"/>
              <w:spacing w:after="0"/>
              <w:rPr>
                <w:sz w:val="20"/>
                <w:szCs w:val="20"/>
                <w:color w:val="auto"/>
              </w:rPr>
            </w:pPr>
            <w:r>
              <w:rPr>
                <w:rFonts w:ascii="Arial" w:cs="Arial" w:eastAsia="Arial" w:hAnsi="Arial"/>
                <w:sz w:val="18"/>
                <w:szCs w:val="18"/>
                <w:b w:val="1"/>
                <w:bCs w:val="1"/>
                <w:color w:val="auto"/>
                <w:w w:val="88"/>
              </w:rPr>
              <w:t>Las Vegas, Nevada</w:t>
            </w:r>
          </w:p>
        </w:tc>
        <w:tc>
          <w:tcPr>
            <w:tcW w:w="38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8"/>
        </w:trPr>
        <w:tc>
          <w:tcPr>
            <w:tcW w:w="2800" w:type="dxa"/>
            <w:vAlign w:val="bottom"/>
          </w:tcPr>
          <w:p>
            <w:pPr>
              <w:jc w:val="center"/>
              <w:ind w:right="2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8"/>
              </w:rPr>
              <w:t>(Zip Code)</w:t>
            </w:r>
          </w:p>
        </w:tc>
      </w:tr>
      <w:tr>
        <w:trPr>
          <w:trHeight w:val="435"/>
        </w:trPr>
        <w:tc>
          <w:tcPr>
            <w:tcW w:w="2800" w:type="dxa"/>
            <w:vAlign w:val="bottom"/>
          </w:tcPr>
          <w:p>
            <w:pPr>
              <w:spacing w:after="0"/>
              <w:rPr>
                <w:sz w:val="24"/>
                <w:szCs w:val="24"/>
                <w:color w:val="auto"/>
              </w:rPr>
            </w:pPr>
          </w:p>
        </w:tc>
        <w:tc>
          <w:tcPr>
            <w:tcW w:w="4060" w:type="dxa"/>
            <w:vAlign w:val="bottom"/>
            <w:gridSpan w:val="2"/>
          </w:tcPr>
          <w:p>
            <w:pPr>
              <w:jc w:val="center"/>
              <w:ind w:left="296"/>
              <w:spacing w:after="0"/>
              <w:rPr>
                <w:sz w:val="20"/>
                <w:szCs w:val="20"/>
                <w:color w:val="auto"/>
              </w:rPr>
            </w:pPr>
            <w:r>
              <w:rPr>
                <w:rFonts w:ascii="Arial" w:cs="Arial" w:eastAsia="Arial" w:hAnsi="Arial"/>
                <w:sz w:val="18"/>
                <w:szCs w:val="18"/>
                <w:b w:val="1"/>
                <w:bCs w:val="1"/>
                <w:color w:val="auto"/>
                <w:w w:val="90"/>
              </w:rPr>
              <w:t>(702) 770-7555</w:t>
            </w:r>
          </w:p>
        </w:tc>
        <w:tc>
          <w:tcPr>
            <w:tcW w:w="7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86"/>
        </w:trPr>
        <w:tc>
          <w:tcPr>
            <w:tcW w:w="2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800" w:type="dxa"/>
            <w:vAlign w:val="bottom"/>
          </w:tcPr>
          <w:p>
            <w:pPr>
              <w:spacing w:after="0"/>
              <w:rPr>
                <w:sz w:val="16"/>
                <w:szCs w:val="16"/>
                <w:color w:val="auto"/>
              </w:rPr>
            </w:pPr>
          </w:p>
        </w:tc>
      </w:tr>
      <w:tr>
        <w:trPr>
          <w:trHeight w:val="354"/>
        </w:trPr>
        <w:tc>
          <w:tcPr>
            <w:tcW w:w="2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20" w:type="dxa"/>
            <w:vAlign w:val="bottom"/>
            <w:gridSpan w:val="2"/>
          </w:tcPr>
          <w:p>
            <w:pPr>
              <w:jc w:val="center"/>
              <w:ind w:right="740"/>
              <w:spacing w:after="0"/>
              <w:rPr>
                <w:sz w:val="20"/>
                <w:szCs w:val="20"/>
                <w:color w:val="auto"/>
              </w:rPr>
            </w:pPr>
            <w:r>
              <w:rPr>
                <w:rFonts w:ascii="Arial" w:cs="Arial" w:eastAsia="Arial" w:hAnsi="Arial"/>
                <w:sz w:val="18"/>
                <w:szCs w:val="18"/>
                <w:b w:val="1"/>
                <w:bCs w:val="1"/>
                <w:color w:val="auto"/>
                <w:w w:val="92"/>
              </w:rPr>
              <w:t>Not Applicable</w:t>
            </w:r>
          </w:p>
        </w:tc>
        <w:tc>
          <w:tcPr>
            <w:tcW w:w="1800" w:type="dxa"/>
            <w:vAlign w:val="bottom"/>
          </w:tcPr>
          <w:p>
            <w:pPr>
              <w:spacing w:after="0"/>
              <w:rPr>
                <w:sz w:val="24"/>
                <w:szCs w:val="24"/>
                <w:color w:val="auto"/>
              </w:rPr>
            </w:pPr>
          </w:p>
        </w:tc>
      </w:tr>
      <w:tr>
        <w:trPr>
          <w:trHeight w:val="186"/>
        </w:trPr>
        <w:tc>
          <w:tcPr>
            <w:tcW w:w="2800" w:type="dxa"/>
            <w:vAlign w:val="bottom"/>
          </w:tcPr>
          <w:p>
            <w:pPr>
              <w:spacing w:after="0"/>
              <w:rPr>
                <w:sz w:val="16"/>
                <w:szCs w:val="16"/>
                <w:color w:val="auto"/>
              </w:rPr>
            </w:pPr>
          </w:p>
        </w:tc>
        <w:tc>
          <w:tcPr>
            <w:tcW w:w="48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800" w:type="dxa"/>
            <w:vAlign w:val="bottom"/>
          </w:tcPr>
          <w:p>
            <w:pPr>
              <w:spacing w:after="0"/>
              <w:rPr>
                <w:sz w:val="16"/>
                <w:szCs w:val="16"/>
                <w:color w:val="auto"/>
              </w:rPr>
            </w:pPr>
          </w:p>
        </w:tc>
      </w:tr>
      <w:tr>
        <w:trPr>
          <w:trHeight w:val="350"/>
        </w:trPr>
        <w:tc>
          <w:tcPr>
            <w:tcW w:w="2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pacing w:after="0" w:line="200" w:lineRule="exact"/>
        <w:rPr>
          <w:sz w:val="24"/>
          <w:szCs w:val="24"/>
          <w:color w:val="auto"/>
        </w:rPr>
      </w:pPr>
    </w:p>
    <w:p>
      <w:pPr>
        <w:spacing w:after="0" w:line="28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152" w:right="359" w:bottom="1440" w:gutter="0" w:footer="0" w:header="0"/>
        </w:sectPr>
      </w:pPr>
    </w:p>
    <w:bookmarkStart w:id="1" w:name="page2"/>
    <w:bookmarkEnd w:id="1"/>
    <w:p>
      <w:pPr>
        <w:ind w:left="440"/>
        <w:spacing w:after="0"/>
        <w:rPr>
          <w:sz w:val="20"/>
          <w:szCs w:val="20"/>
          <w:color w:val="auto"/>
        </w:rPr>
      </w:pPr>
      <w:r>
        <w:rPr>
          <w:rFonts w:ascii="Arial" w:cs="Arial" w:eastAsia="Arial" w:hAnsi="Arial"/>
          <w:sz w:val="18"/>
          <w:szCs w:val="18"/>
          <w:color w:val="auto"/>
        </w:rPr>
        <w:t>On May 16, 2014, Wynn Resorts, Limited (the “Company”) held its 2014 Annual Meeting of Stockholders (the “Annual Meeting”).</w:t>
      </w:r>
    </w:p>
    <w:p>
      <w:pPr>
        <w:spacing w:after="0" w:line="383" w:lineRule="exact"/>
        <w:rPr>
          <w:sz w:val="20"/>
          <w:szCs w:val="20"/>
          <w:color w:val="auto"/>
        </w:rPr>
      </w:pPr>
    </w:p>
    <w:p>
      <w:pPr>
        <w:ind w:left="1420" w:right="20" w:hanging="1377"/>
        <w:spacing w:after="0" w:line="282" w:lineRule="auto"/>
        <w:tabs>
          <w:tab w:leader="none" w:pos="140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18"/>
          <w:szCs w:val="18"/>
          <w:b w:val="1"/>
          <w:bCs w:val="1"/>
          <w:u w:val="single" w:color="auto"/>
          <w:color w:val="auto"/>
        </w:rPr>
        <w:t>Approval of 2014 Omnibus Incentive Plan</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At the Annual Meeting, the Company’s stockholders approved the adoption of the 2014 Omnibus Incentive Plan (the “2014 Plan”).</w:t>
      </w:r>
    </w:p>
    <w:p>
      <w:pPr>
        <w:spacing w:after="0" w:line="225"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The 2014 Plan replaces the Amended and Restated Annual Performance-Based Incentive Plan for Executive Officers and the 2002 Stock Incentive Plan. The 2014 Plan provides for the grant of stock options (both incentive stock options and non-qualified stock options), restricted stock, stock appreciation rights, performance awards, dividend equivalents, stock payments, deferred stock, deferred stock units, restricted stock units and performance-based awards to eligible participants. The 2014 Plan is designed so that cash and equity incentive compensation awards granted under it may qualify as performance-based compensation exempt from the deduction limitation under Section 162(m) of the Internal Revenue Code. Eligible participants include officers, employees, non-employee directors and certain consultants and advisers. The aggregate number of shares authorized for issuance under the 2014 Plan is 4,409,309, which is the number of shares which remained available for issuance under the 2002 Stock Incentive Plan, and is subject to adjustment as described in the 2014 Plan.</w:t>
      </w:r>
    </w:p>
    <w:p>
      <w:pPr>
        <w:spacing w:after="0" w:line="192" w:lineRule="exact"/>
        <w:rPr>
          <w:sz w:val="20"/>
          <w:szCs w:val="20"/>
          <w:color w:val="auto"/>
        </w:rPr>
      </w:pPr>
    </w:p>
    <w:p>
      <w:pPr>
        <w:ind w:right="280" w:firstLine="392"/>
        <w:spacing w:after="0" w:line="277" w:lineRule="auto"/>
        <w:rPr>
          <w:sz w:val="20"/>
          <w:szCs w:val="20"/>
          <w:color w:val="auto"/>
        </w:rPr>
      </w:pPr>
      <w:r>
        <w:rPr>
          <w:rFonts w:ascii="Arial" w:cs="Arial" w:eastAsia="Arial" w:hAnsi="Arial"/>
          <w:sz w:val="18"/>
          <w:szCs w:val="18"/>
          <w:color w:val="auto"/>
        </w:rPr>
        <w:t>The foregoing summary of the 2014 Plan is qualified in its entirety by reference to Appendix A to the Company’s definitive proxy statement filed on March 31, 2014 (“Proxy Statement”).</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8"/>
          <w:szCs w:val="18"/>
          <w:b w:val="1"/>
          <w:bCs w:val="1"/>
          <w:u w:val="single" w:color="auto"/>
          <w:color w:val="auto"/>
        </w:rPr>
        <w:t>Appointment of Stephen Cootey</w:t>
      </w:r>
    </w:p>
    <w:p>
      <w:pPr>
        <w:spacing w:after="0" w:line="229" w:lineRule="exact"/>
        <w:rPr>
          <w:sz w:val="20"/>
          <w:szCs w:val="20"/>
          <w:color w:val="auto"/>
        </w:rPr>
      </w:pPr>
    </w:p>
    <w:p>
      <w:pPr>
        <w:ind w:right="140" w:firstLine="405"/>
        <w:spacing w:after="0" w:line="276" w:lineRule="auto"/>
        <w:rPr>
          <w:sz w:val="20"/>
          <w:szCs w:val="20"/>
          <w:color w:val="auto"/>
        </w:rPr>
      </w:pPr>
      <w:r>
        <w:rPr>
          <w:rFonts w:ascii="Arial" w:cs="Arial" w:eastAsia="Arial" w:hAnsi="Arial"/>
          <w:sz w:val="17"/>
          <w:szCs w:val="17"/>
          <w:color w:val="auto"/>
        </w:rPr>
        <w:t>On May 16, 2014, the Company appointed Stephen Cootey, age 45, as the Company’s Chief Financial Officer, Senior Vice President and Treasurer, effective immediately. Mr. Cootey has served as the Company’s Treasurer since February 2014, and as the Company’s Senior Vice President - Finance from January 2014 to May 2014. Prior to joining the Company, Mr. Cootey served as Senior Vice President - Corporate Finance for Las Vegas Sands Corporation from March 2012 to December 2013, and Vice President - Corporate Finance from October 2009 to March 2012. From June 2004 to October 2009, Mr. Cootey was Partner and Senior Research Analyst with Prides Capital, LLC.</w:t>
      </w:r>
    </w:p>
    <w:p>
      <w:pPr>
        <w:spacing w:after="0" w:line="173"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As Chief Financial Officer, Mr. Cootey's annual base salary will be $625,000 and will be eligible to receive a target annual bonus of 100% of his base salary, and the amount of any separation payment payable under his employment agreement shall equal the sum of twelve months base salary plus the amount of any bonus paid for the preceding bonus period, plus any accrued but unpaid vacation time.</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Matt Maddox will continue to hold the position of the Company's President.</w:t>
      </w:r>
    </w:p>
    <w:p>
      <w:pPr>
        <w:spacing w:after="0" w:line="167"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256"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On May 16, 2014, the Company’s Board of Directors, after considering the Annual Meeting voting results on Proposal 5, as described below, amended the Sixth Amended and Restated Bylaws of the Company (the “Amended and Restated Bylaws”), effective immediately, to repeal Section 3.2(b) of the Amended and Restated Bylaws, which provided that a person would not qualify for service as a director of the Company if he or she were a party to any compensation arrangement with any third party or had received any such compensation or other payment in connection with his or her candidacy or service as a director of the Company (excluding pre-existing employment arrangements and indemnification and/or reimbursement of out-of-pocket expenses in connection with candidacy, but not service, as a director).</w:t>
      </w:r>
    </w:p>
    <w:p>
      <w:pPr>
        <w:spacing w:after="0" w:line="135"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proposals voted upon at the Annual Meeting and the final results of the stockholder vote on each proposal were as follows:</w:t>
      </w:r>
    </w:p>
    <w:p>
      <w:pPr>
        <w:sectPr>
          <w:pgSz w:w="11900" w:h="16838" w:orient="portrait"/>
          <w:cols w:equalWidth="0" w:num="1">
            <w:col w:w="11400"/>
          </w:cols>
          <w:pgMar w:left="240" w:top="584" w:right="259" w:bottom="1440" w:gutter="0" w:footer="0" w:header="0"/>
        </w:sectPr>
      </w:pPr>
    </w:p>
    <w:bookmarkStart w:id="2" w:name="page3"/>
    <w:bookmarkEnd w:id="2"/>
    <w:p>
      <w:pPr>
        <w:ind w:left="440"/>
        <w:spacing w:after="0"/>
        <w:rPr>
          <w:sz w:val="20"/>
          <w:szCs w:val="20"/>
          <w:color w:val="auto"/>
        </w:rPr>
      </w:pPr>
      <w:r>
        <w:rPr>
          <w:rFonts w:ascii="Arial" w:cs="Arial" w:eastAsia="Arial" w:hAnsi="Arial"/>
          <w:sz w:val="18"/>
          <w:szCs w:val="18"/>
          <w:i w:val="1"/>
          <w:iCs w:val="1"/>
          <w:color w:val="auto"/>
        </w:rPr>
        <w:t>Proposal 1: Election of Directors</w:t>
      </w:r>
    </w:p>
    <w:p>
      <w:pPr>
        <w:spacing w:after="0" w:line="22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To elect the following Class III directors, each to serve until the 2017 Annual Meeting of Stockholders and until his successor has been duly elected and qualified, or until such director’s earlier resignation, death or removal:</w:t>
      </w:r>
    </w:p>
    <w:p>
      <w:pPr>
        <w:spacing w:after="0" w:line="36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040" w:type="dxa"/>
            <w:vAlign w:val="bottom"/>
          </w:tcPr>
          <w:p>
            <w:pPr>
              <w:spacing w:after="0"/>
              <w:rPr>
                <w:sz w:val="20"/>
                <w:szCs w:val="20"/>
                <w:color w:val="auto"/>
              </w:rPr>
            </w:pPr>
            <w:r>
              <w:rPr>
                <w:rFonts w:ascii="Arial" w:cs="Arial" w:eastAsia="Arial" w:hAnsi="Arial"/>
                <w:sz w:val="14"/>
                <w:szCs w:val="14"/>
                <w:b w:val="1"/>
                <w:bCs w:val="1"/>
                <w:color w:val="auto"/>
              </w:rPr>
              <w:t>Director</w:t>
            </w: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Votes For</w:t>
            </w:r>
          </w:p>
        </w:tc>
        <w:tc>
          <w:tcPr>
            <w:tcW w:w="1820" w:type="dxa"/>
            <w:vAlign w:val="bottom"/>
            <w:gridSpan w:val="2"/>
          </w:tcPr>
          <w:p>
            <w:pPr>
              <w:ind w:left="400"/>
              <w:spacing w:after="0"/>
              <w:rPr>
                <w:sz w:val="20"/>
                <w:szCs w:val="20"/>
                <w:color w:val="auto"/>
              </w:rPr>
            </w:pPr>
            <w:r>
              <w:rPr>
                <w:rFonts w:ascii="Arial" w:cs="Arial" w:eastAsia="Arial" w:hAnsi="Arial"/>
                <w:sz w:val="14"/>
                <w:szCs w:val="14"/>
                <w:b w:val="1"/>
                <w:bCs w:val="1"/>
                <w:color w:val="auto"/>
              </w:rPr>
              <w:t>Votes Withheld</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243"/>
        </w:trPr>
        <w:tc>
          <w:tcPr>
            <w:tcW w:w="6040" w:type="dxa"/>
            <w:vAlign w:val="bottom"/>
          </w:tcPr>
          <w:p>
            <w:pPr>
              <w:spacing w:after="0"/>
              <w:rPr>
                <w:sz w:val="20"/>
                <w:szCs w:val="20"/>
                <w:color w:val="auto"/>
              </w:rPr>
            </w:pPr>
            <w:r>
              <w:rPr>
                <w:rFonts w:ascii="Arial" w:cs="Arial" w:eastAsia="Arial" w:hAnsi="Arial"/>
                <w:sz w:val="18"/>
                <w:szCs w:val="18"/>
                <w:color w:val="auto"/>
              </w:rPr>
              <w:t>Robert J. Miller</w:t>
            </w: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79,356,019</w:t>
            </w:r>
          </w:p>
        </w:tc>
        <w:tc>
          <w:tcPr>
            <w:tcW w:w="120" w:type="dxa"/>
            <w:vAlign w:val="bottom"/>
          </w:tcPr>
          <w:p>
            <w:pPr>
              <w:spacing w:after="0"/>
              <w:rPr>
                <w:sz w:val="21"/>
                <w:szCs w:val="21"/>
                <w:color w:val="auto"/>
              </w:rPr>
            </w:pPr>
          </w:p>
        </w:tc>
        <w:tc>
          <w:tcPr>
            <w:tcW w:w="1720" w:type="dxa"/>
            <w:vAlign w:val="bottom"/>
            <w:tcBorders>
              <w:top w:val="single" w:sz="8" w:color="auto"/>
            </w:tcBorders>
          </w:tcPr>
          <w:p>
            <w:pPr>
              <w:jc w:val="right"/>
              <w:ind w:right="416"/>
              <w:spacing w:after="0"/>
              <w:rPr>
                <w:sz w:val="20"/>
                <w:szCs w:val="20"/>
                <w:color w:val="auto"/>
              </w:rPr>
            </w:pPr>
            <w:r>
              <w:rPr>
                <w:rFonts w:ascii="Arial" w:cs="Arial" w:eastAsia="Arial" w:hAnsi="Arial"/>
                <w:sz w:val="18"/>
                <w:szCs w:val="18"/>
                <w:color w:val="auto"/>
              </w:rPr>
              <w:t>5,036,164</w:t>
            </w:r>
          </w:p>
        </w:tc>
        <w:tc>
          <w:tcPr>
            <w:tcW w:w="100" w:type="dxa"/>
            <w:vAlign w:val="bottom"/>
          </w:tcPr>
          <w:p>
            <w:pPr>
              <w:spacing w:after="0"/>
              <w:rPr>
                <w:sz w:val="21"/>
                <w:szCs w:val="21"/>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6,384,144</w:t>
            </w:r>
          </w:p>
        </w:tc>
      </w:tr>
      <w:tr>
        <w:trPr>
          <w:trHeight w:val="270"/>
        </w:trPr>
        <w:tc>
          <w:tcPr>
            <w:tcW w:w="6040" w:type="dxa"/>
            <w:vAlign w:val="bottom"/>
          </w:tcPr>
          <w:p>
            <w:pPr>
              <w:spacing w:after="0"/>
              <w:rPr>
                <w:sz w:val="20"/>
                <w:szCs w:val="20"/>
                <w:color w:val="auto"/>
              </w:rPr>
            </w:pPr>
            <w:r>
              <w:rPr>
                <w:rFonts w:ascii="Arial" w:cs="Arial" w:eastAsia="Arial" w:hAnsi="Arial"/>
                <w:sz w:val="18"/>
                <w:szCs w:val="18"/>
                <w:color w:val="auto"/>
              </w:rPr>
              <w:t>D. Boone Wayson</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83,451,372</w:t>
            </w:r>
          </w:p>
        </w:tc>
        <w:tc>
          <w:tcPr>
            <w:tcW w:w="120" w:type="dxa"/>
            <w:vAlign w:val="bottom"/>
          </w:tcPr>
          <w:p>
            <w:pPr>
              <w:spacing w:after="0"/>
              <w:rPr>
                <w:sz w:val="23"/>
                <w:szCs w:val="23"/>
                <w:color w:val="auto"/>
              </w:rPr>
            </w:pPr>
          </w:p>
        </w:tc>
        <w:tc>
          <w:tcPr>
            <w:tcW w:w="1720" w:type="dxa"/>
            <w:vAlign w:val="bottom"/>
          </w:tcPr>
          <w:p>
            <w:pPr>
              <w:jc w:val="right"/>
              <w:ind w:right="496"/>
              <w:spacing w:after="0"/>
              <w:rPr>
                <w:sz w:val="20"/>
                <w:szCs w:val="20"/>
                <w:color w:val="auto"/>
              </w:rPr>
            </w:pPr>
            <w:r>
              <w:rPr>
                <w:rFonts w:ascii="Arial" w:cs="Arial" w:eastAsia="Arial" w:hAnsi="Arial"/>
                <w:sz w:val="18"/>
                <w:szCs w:val="18"/>
                <w:color w:val="auto"/>
              </w:rPr>
              <w:t>940,811</w:t>
            </w:r>
          </w:p>
        </w:tc>
        <w:tc>
          <w:tcPr>
            <w:tcW w:w="10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6,384,144</w:t>
            </w:r>
          </w:p>
        </w:tc>
      </w:tr>
    </w:tbl>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votes for each of the nominees represented over 50% of the votes cast, satisfying the Company’s Director Resignation Policy. The following Class I directors remain in office with their terms expiring in 2015: Elaine P. Wynn, J. Edward Virtue and John J. Hagenbuch. The following Class II directors remain in office with their terms expiring in 2016: Dr. Ray R. Irani, Alvin V. Shoemaker and Stephen A. Wynn.</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Proposal 2: Ratification of Appointment of Independent Registered Public Accounting Firm</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To ratify the Audit Committee’s appointment of Ernst &amp; Young LLP as the independent public accountants for the Company and its subsidiaries for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Votes For</w:t>
            </w:r>
          </w:p>
        </w:tc>
        <w:tc>
          <w:tcPr>
            <w:tcW w:w="2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Votes Against</w:t>
            </w:r>
          </w:p>
        </w:tc>
        <w:tc>
          <w:tcPr>
            <w:tcW w:w="2840" w:type="dxa"/>
            <w:vAlign w:val="bottom"/>
            <w:gridSpan w:val="2"/>
          </w:tcPr>
          <w:p>
            <w:pPr>
              <w:ind w:left="1120"/>
              <w:spacing w:after="0"/>
              <w:rPr>
                <w:sz w:val="20"/>
                <w:szCs w:val="20"/>
                <w:color w:val="auto"/>
              </w:rPr>
            </w:pPr>
            <w:r>
              <w:rPr>
                <w:rFonts w:ascii="Arial" w:cs="Arial" w:eastAsia="Arial" w:hAnsi="Arial"/>
                <w:sz w:val="14"/>
                <w:szCs w:val="14"/>
                <w:b w:val="1"/>
                <w:bCs w:val="1"/>
                <w:color w:val="auto"/>
              </w:rPr>
              <w:t>Abstain</w:t>
            </w: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243"/>
        </w:trPr>
        <w:tc>
          <w:tcPr>
            <w:tcW w:w="2880" w:type="dxa"/>
            <w:vAlign w:val="bottom"/>
            <w:tcBorders>
              <w:top w:val="single" w:sz="8" w:color="auto"/>
            </w:tcBorders>
          </w:tcPr>
          <w:p>
            <w:pPr>
              <w:jc w:val="right"/>
              <w:ind w:right="959"/>
              <w:spacing w:after="0"/>
              <w:rPr>
                <w:sz w:val="20"/>
                <w:szCs w:val="20"/>
                <w:color w:val="auto"/>
              </w:rPr>
            </w:pPr>
            <w:r>
              <w:rPr>
                <w:rFonts w:ascii="Arial" w:cs="Arial" w:eastAsia="Arial" w:hAnsi="Arial"/>
                <w:sz w:val="18"/>
                <w:szCs w:val="18"/>
                <w:color w:val="auto"/>
              </w:rPr>
              <w:t>90,385,997</w:t>
            </w:r>
          </w:p>
        </w:tc>
        <w:tc>
          <w:tcPr>
            <w:tcW w:w="120" w:type="dxa"/>
            <w:vAlign w:val="bottom"/>
          </w:tcPr>
          <w:p>
            <w:pPr>
              <w:spacing w:after="0"/>
              <w:rPr>
                <w:sz w:val="21"/>
                <w:szCs w:val="21"/>
                <w:color w:val="auto"/>
              </w:rPr>
            </w:pPr>
          </w:p>
        </w:tc>
        <w:tc>
          <w:tcPr>
            <w:tcW w:w="2740" w:type="dxa"/>
            <w:vAlign w:val="bottom"/>
            <w:tcBorders>
              <w:top w:val="single" w:sz="8" w:color="auto"/>
            </w:tcBorders>
          </w:tcPr>
          <w:p>
            <w:pPr>
              <w:jc w:val="right"/>
              <w:ind w:right="999"/>
              <w:spacing w:after="0"/>
              <w:rPr>
                <w:sz w:val="20"/>
                <w:szCs w:val="20"/>
                <w:color w:val="auto"/>
              </w:rPr>
            </w:pPr>
            <w:r>
              <w:rPr>
                <w:rFonts w:ascii="Arial" w:cs="Arial" w:eastAsia="Arial" w:hAnsi="Arial"/>
                <w:sz w:val="18"/>
                <w:szCs w:val="18"/>
                <w:color w:val="auto"/>
              </w:rPr>
              <w:t>301,744</w:t>
            </w:r>
          </w:p>
        </w:tc>
        <w:tc>
          <w:tcPr>
            <w:tcW w:w="120" w:type="dxa"/>
            <w:vAlign w:val="bottom"/>
          </w:tcPr>
          <w:p>
            <w:pPr>
              <w:spacing w:after="0"/>
              <w:rPr>
                <w:sz w:val="21"/>
                <w:szCs w:val="21"/>
                <w:color w:val="auto"/>
              </w:rPr>
            </w:pPr>
          </w:p>
        </w:tc>
        <w:tc>
          <w:tcPr>
            <w:tcW w:w="2720" w:type="dxa"/>
            <w:vAlign w:val="bottom"/>
            <w:tcBorders>
              <w:top w:val="single" w:sz="8" w:color="auto"/>
            </w:tcBorders>
          </w:tcPr>
          <w:p>
            <w:pPr>
              <w:ind w:left="1120"/>
              <w:spacing w:after="0"/>
              <w:rPr>
                <w:sz w:val="20"/>
                <w:szCs w:val="20"/>
                <w:color w:val="auto"/>
              </w:rPr>
            </w:pPr>
            <w:r>
              <w:rPr>
                <w:rFonts w:ascii="Arial" w:cs="Arial" w:eastAsia="Arial" w:hAnsi="Arial"/>
                <w:sz w:val="18"/>
                <w:szCs w:val="18"/>
                <w:color w:val="auto"/>
              </w:rPr>
              <w:t>88,586</w:t>
            </w:r>
          </w:p>
        </w:tc>
        <w:tc>
          <w:tcPr>
            <w:tcW w:w="120" w:type="dxa"/>
            <w:vAlign w:val="bottom"/>
          </w:tcPr>
          <w:p>
            <w:pPr>
              <w:spacing w:after="0"/>
              <w:rPr>
                <w:sz w:val="21"/>
                <w:szCs w:val="21"/>
                <w:color w:val="auto"/>
              </w:rPr>
            </w:pPr>
          </w:p>
        </w:tc>
        <w:tc>
          <w:tcPr>
            <w:tcW w:w="2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Proposal 3: Approval, on an Advisory Basis, of our Executive Compensation</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To approve, on an advisory basis, the compensation of the Company’s named executive officers as disclosed in the Compensation Discussion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Analysis, the accompanying compensation tables and the related narrative disclosure in the Proxy Statement: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Votes For</w:t>
            </w:r>
          </w:p>
        </w:tc>
        <w:tc>
          <w:tcPr>
            <w:tcW w:w="2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Votes Against</w:t>
            </w:r>
          </w:p>
        </w:tc>
        <w:tc>
          <w:tcPr>
            <w:tcW w:w="2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Abstain</w:t>
            </w: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243"/>
        </w:trPr>
        <w:tc>
          <w:tcPr>
            <w:tcW w:w="2880" w:type="dxa"/>
            <w:vAlign w:val="bottom"/>
            <w:tcBorders>
              <w:top w:val="single" w:sz="8" w:color="auto"/>
            </w:tcBorders>
          </w:tcPr>
          <w:p>
            <w:pPr>
              <w:jc w:val="right"/>
              <w:ind w:right="959"/>
              <w:spacing w:after="0"/>
              <w:rPr>
                <w:sz w:val="20"/>
                <w:szCs w:val="20"/>
                <w:color w:val="auto"/>
              </w:rPr>
            </w:pPr>
            <w:r>
              <w:rPr>
                <w:rFonts w:ascii="Arial" w:cs="Arial" w:eastAsia="Arial" w:hAnsi="Arial"/>
                <w:sz w:val="18"/>
                <w:szCs w:val="18"/>
                <w:color w:val="auto"/>
              </w:rPr>
              <w:t>76,660,521</w:t>
            </w:r>
          </w:p>
        </w:tc>
        <w:tc>
          <w:tcPr>
            <w:tcW w:w="120" w:type="dxa"/>
            <w:vAlign w:val="bottom"/>
          </w:tcPr>
          <w:p>
            <w:pPr>
              <w:spacing w:after="0"/>
              <w:rPr>
                <w:sz w:val="21"/>
                <w:szCs w:val="21"/>
                <w:color w:val="auto"/>
              </w:rPr>
            </w:pPr>
          </w:p>
        </w:tc>
        <w:tc>
          <w:tcPr>
            <w:tcW w:w="2740" w:type="dxa"/>
            <w:vAlign w:val="bottom"/>
            <w:tcBorders>
              <w:top w:val="single" w:sz="8" w:color="auto"/>
            </w:tcBorders>
          </w:tcPr>
          <w:p>
            <w:pPr>
              <w:jc w:val="right"/>
              <w:ind w:right="939"/>
              <w:spacing w:after="0"/>
              <w:rPr>
                <w:sz w:val="20"/>
                <w:szCs w:val="20"/>
                <w:color w:val="auto"/>
              </w:rPr>
            </w:pPr>
            <w:r>
              <w:rPr>
                <w:rFonts w:ascii="Arial" w:cs="Arial" w:eastAsia="Arial" w:hAnsi="Arial"/>
                <w:sz w:val="18"/>
                <w:szCs w:val="18"/>
                <w:color w:val="auto"/>
              </w:rPr>
              <w:t>7,491,511</w:t>
            </w:r>
          </w:p>
        </w:tc>
        <w:tc>
          <w:tcPr>
            <w:tcW w:w="120" w:type="dxa"/>
            <w:vAlign w:val="bottom"/>
          </w:tcPr>
          <w:p>
            <w:pPr>
              <w:spacing w:after="0"/>
              <w:rPr>
                <w:sz w:val="21"/>
                <w:szCs w:val="21"/>
                <w:color w:val="auto"/>
              </w:rPr>
            </w:pPr>
          </w:p>
        </w:tc>
        <w:tc>
          <w:tcPr>
            <w:tcW w:w="2720" w:type="dxa"/>
            <w:vAlign w:val="bottom"/>
            <w:tcBorders>
              <w:top w:val="single" w:sz="8" w:color="auto"/>
            </w:tcBorders>
          </w:tcPr>
          <w:p>
            <w:pPr>
              <w:jc w:val="right"/>
              <w:ind w:right="979"/>
              <w:spacing w:after="0"/>
              <w:rPr>
                <w:sz w:val="20"/>
                <w:szCs w:val="20"/>
                <w:color w:val="auto"/>
              </w:rPr>
            </w:pPr>
            <w:r>
              <w:rPr>
                <w:rFonts w:ascii="Arial" w:cs="Arial" w:eastAsia="Arial" w:hAnsi="Arial"/>
                <w:sz w:val="18"/>
                <w:szCs w:val="18"/>
                <w:color w:val="auto"/>
              </w:rPr>
              <w:t>240,151</w:t>
            </w:r>
          </w:p>
        </w:tc>
        <w:tc>
          <w:tcPr>
            <w:tcW w:w="120" w:type="dxa"/>
            <w:vAlign w:val="bottom"/>
          </w:tcPr>
          <w:p>
            <w:pPr>
              <w:spacing w:after="0"/>
              <w:rPr>
                <w:sz w:val="21"/>
                <w:szCs w:val="21"/>
                <w:color w:val="auto"/>
              </w:rPr>
            </w:pPr>
          </w:p>
        </w:tc>
        <w:tc>
          <w:tcPr>
            <w:tcW w:w="2720" w:type="dxa"/>
            <w:vAlign w:val="bottom"/>
            <w:tcBorders>
              <w:top w:val="single" w:sz="8" w:color="auto"/>
            </w:tcBorders>
          </w:tcPr>
          <w:p>
            <w:pPr>
              <w:jc w:val="right"/>
              <w:ind w:right="919"/>
              <w:spacing w:after="0"/>
              <w:rPr>
                <w:sz w:val="20"/>
                <w:szCs w:val="20"/>
                <w:color w:val="auto"/>
              </w:rPr>
            </w:pPr>
            <w:r>
              <w:rPr>
                <w:rFonts w:ascii="Arial" w:cs="Arial" w:eastAsia="Arial" w:hAnsi="Arial"/>
                <w:sz w:val="18"/>
                <w:szCs w:val="18"/>
                <w:color w:val="auto"/>
              </w:rPr>
              <w:t>6,384,144</w:t>
            </w: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Proposal 4: Approval of the Adoption of the 2014 Omnibus Incentive Plan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 approve the Company's 2014 Omnibus Incentive Plan as presented in Appendix A to the Proxy Statement:</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Votes For</w:t>
            </w:r>
          </w:p>
        </w:tc>
        <w:tc>
          <w:tcPr>
            <w:tcW w:w="2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Votes Against</w:t>
            </w:r>
          </w:p>
        </w:tc>
        <w:tc>
          <w:tcPr>
            <w:tcW w:w="2840" w:type="dxa"/>
            <w:vAlign w:val="bottom"/>
            <w:gridSpan w:val="2"/>
          </w:tcPr>
          <w:p>
            <w:pPr>
              <w:ind w:left="1120"/>
              <w:spacing w:after="0"/>
              <w:rPr>
                <w:sz w:val="20"/>
                <w:szCs w:val="20"/>
                <w:color w:val="auto"/>
              </w:rPr>
            </w:pPr>
            <w:r>
              <w:rPr>
                <w:rFonts w:ascii="Arial" w:cs="Arial" w:eastAsia="Arial" w:hAnsi="Arial"/>
                <w:sz w:val="14"/>
                <w:szCs w:val="14"/>
                <w:b w:val="1"/>
                <w:bCs w:val="1"/>
                <w:color w:val="auto"/>
              </w:rPr>
              <w:t>Abstain</w:t>
            </w: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243"/>
        </w:trPr>
        <w:tc>
          <w:tcPr>
            <w:tcW w:w="2880" w:type="dxa"/>
            <w:vAlign w:val="bottom"/>
            <w:tcBorders>
              <w:top w:val="single" w:sz="8" w:color="auto"/>
            </w:tcBorders>
          </w:tcPr>
          <w:p>
            <w:pPr>
              <w:jc w:val="right"/>
              <w:ind w:right="959"/>
              <w:spacing w:after="0"/>
              <w:rPr>
                <w:sz w:val="20"/>
                <w:szCs w:val="20"/>
                <w:color w:val="auto"/>
              </w:rPr>
            </w:pPr>
            <w:r>
              <w:rPr>
                <w:rFonts w:ascii="Arial" w:cs="Arial" w:eastAsia="Arial" w:hAnsi="Arial"/>
                <w:sz w:val="18"/>
                <w:szCs w:val="18"/>
                <w:color w:val="auto"/>
              </w:rPr>
              <w:t>77,623,528</w:t>
            </w:r>
          </w:p>
        </w:tc>
        <w:tc>
          <w:tcPr>
            <w:tcW w:w="120" w:type="dxa"/>
            <w:vAlign w:val="bottom"/>
          </w:tcPr>
          <w:p>
            <w:pPr>
              <w:spacing w:after="0"/>
              <w:rPr>
                <w:sz w:val="21"/>
                <w:szCs w:val="21"/>
                <w:color w:val="auto"/>
              </w:rPr>
            </w:pPr>
          </w:p>
        </w:tc>
        <w:tc>
          <w:tcPr>
            <w:tcW w:w="2740" w:type="dxa"/>
            <w:vAlign w:val="bottom"/>
            <w:tcBorders>
              <w:top w:val="single" w:sz="8" w:color="auto"/>
            </w:tcBorders>
          </w:tcPr>
          <w:p>
            <w:pPr>
              <w:jc w:val="right"/>
              <w:ind w:right="939"/>
              <w:spacing w:after="0"/>
              <w:rPr>
                <w:sz w:val="20"/>
                <w:szCs w:val="20"/>
                <w:color w:val="auto"/>
              </w:rPr>
            </w:pPr>
            <w:r>
              <w:rPr>
                <w:rFonts w:ascii="Arial" w:cs="Arial" w:eastAsia="Arial" w:hAnsi="Arial"/>
                <w:sz w:val="18"/>
                <w:szCs w:val="18"/>
                <w:color w:val="auto"/>
              </w:rPr>
              <w:t>6,679,341</w:t>
            </w:r>
          </w:p>
        </w:tc>
        <w:tc>
          <w:tcPr>
            <w:tcW w:w="120" w:type="dxa"/>
            <w:vAlign w:val="bottom"/>
          </w:tcPr>
          <w:p>
            <w:pPr>
              <w:spacing w:after="0"/>
              <w:rPr>
                <w:sz w:val="21"/>
                <w:szCs w:val="21"/>
                <w:color w:val="auto"/>
              </w:rPr>
            </w:pPr>
          </w:p>
        </w:tc>
        <w:tc>
          <w:tcPr>
            <w:tcW w:w="2720" w:type="dxa"/>
            <w:vAlign w:val="bottom"/>
            <w:tcBorders>
              <w:top w:val="single" w:sz="8" w:color="auto"/>
            </w:tcBorders>
          </w:tcPr>
          <w:p>
            <w:pPr>
              <w:ind w:left="1120"/>
              <w:spacing w:after="0"/>
              <w:rPr>
                <w:sz w:val="20"/>
                <w:szCs w:val="20"/>
                <w:color w:val="auto"/>
              </w:rPr>
            </w:pPr>
            <w:r>
              <w:rPr>
                <w:rFonts w:ascii="Arial" w:cs="Arial" w:eastAsia="Arial" w:hAnsi="Arial"/>
                <w:sz w:val="18"/>
                <w:szCs w:val="18"/>
                <w:color w:val="auto"/>
              </w:rPr>
              <w:t>89,314</w:t>
            </w:r>
          </w:p>
        </w:tc>
        <w:tc>
          <w:tcPr>
            <w:tcW w:w="120" w:type="dxa"/>
            <w:vAlign w:val="bottom"/>
          </w:tcPr>
          <w:p>
            <w:pPr>
              <w:spacing w:after="0"/>
              <w:rPr>
                <w:sz w:val="21"/>
                <w:szCs w:val="21"/>
                <w:color w:val="auto"/>
              </w:rPr>
            </w:pPr>
          </w:p>
        </w:tc>
        <w:tc>
          <w:tcPr>
            <w:tcW w:w="2720" w:type="dxa"/>
            <w:vAlign w:val="bottom"/>
            <w:tcBorders>
              <w:top w:val="single" w:sz="8" w:color="auto"/>
            </w:tcBorders>
          </w:tcPr>
          <w:p>
            <w:pPr>
              <w:jc w:val="right"/>
              <w:ind w:right="919"/>
              <w:spacing w:after="0"/>
              <w:rPr>
                <w:sz w:val="20"/>
                <w:szCs w:val="20"/>
                <w:color w:val="auto"/>
              </w:rPr>
            </w:pPr>
            <w:r>
              <w:rPr>
                <w:rFonts w:ascii="Arial" w:cs="Arial" w:eastAsia="Arial" w:hAnsi="Arial"/>
                <w:sz w:val="18"/>
                <w:szCs w:val="18"/>
                <w:color w:val="auto"/>
              </w:rPr>
              <w:t>6,384,144</w:t>
            </w: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Proposal 5: Ratification, on an Advisory Basis, of Director Qualification Bylaw Amendment</w:t>
      </w:r>
    </w:p>
    <w:p>
      <w:pPr>
        <w:spacing w:after="0" w:line="225"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To ratify, on an advisory basis, a bylaw amendment adopted by the Company's Board of Directors, as set forth in Appendix B to the Proxy Statement, that imposes additional qualification requirements on director nominees: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Votes For</w:t>
            </w:r>
          </w:p>
        </w:tc>
        <w:tc>
          <w:tcPr>
            <w:tcW w:w="2860" w:type="dxa"/>
            <w:vAlign w:val="bottom"/>
            <w:gridSpan w:val="2"/>
          </w:tcPr>
          <w:p>
            <w:pPr>
              <w:ind w:left="940"/>
              <w:spacing w:after="0"/>
              <w:rPr>
                <w:sz w:val="20"/>
                <w:szCs w:val="20"/>
                <w:color w:val="auto"/>
              </w:rPr>
            </w:pPr>
            <w:r>
              <w:rPr>
                <w:rFonts w:ascii="Arial" w:cs="Arial" w:eastAsia="Arial" w:hAnsi="Arial"/>
                <w:sz w:val="14"/>
                <w:szCs w:val="14"/>
                <w:b w:val="1"/>
                <w:bCs w:val="1"/>
                <w:color w:val="auto"/>
              </w:rPr>
              <w:t>Votes Against</w:t>
            </w:r>
          </w:p>
        </w:tc>
        <w:tc>
          <w:tcPr>
            <w:tcW w:w="2840" w:type="dxa"/>
            <w:vAlign w:val="bottom"/>
            <w:gridSpan w:val="2"/>
          </w:tcPr>
          <w:p>
            <w:pPr>
              <w:ind w:left="1120"/>
              <w:spacing w:after="0"/>
              <w:rPr>
                <w:sz w:val="20"/>
                <w:szCs w:val="20"/>
                <w:color w:val="auto"/>
              </w:rPr>
            </w:pPr>
            <w:r>
              <w:rPr>
                <w:rFonts w:ascii="Arial" w:cs="Arial" w:eastAsia="Arial" w:hAnsi="Arial"/>
                <w:sz w:val="14"/>
                <w:szCs w:val="14"/>
                <w:b w:val="1"/>
                <w:bCs w:val="1"/>
                <w:color w:val="auto"/>
              </w:rPr>
              <w:t>Abstain</w:t>
            </w: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243"/>
        </w:trPr>
        <w:tc>
          <w:tcPr>
            <w:tcW w:w="2880" w:type="dxa"/>
            <w:vAlign w:val="bottom"/>
            <w:tcBorders>
              <w:top w:val="single" w:sz="8" w:color="auto"/>
            </w:tcBorders>
          </w:tcPr>
          <w:p>
            <w:pPr>
              <w:jc w:val="right"/>
              <w:ind w:right="959"/>
              <w:spacing w:after="0"/>
              <w:rPr>
                <w:sz w:val="20"/>
                <w:szCs w:val="20"/>
                <w:color w:val="auto"/>
              </w:rPr>
            </w:pPr>
            <w:r>
              <w:rPr>
                <w:rFonts w:ascii="Arial" w:cs="Arial" w:eastAsia="Arial" w:hAnsi="Arial"/>
                <w:sz w:val="18"/>
                <w:szCs w:val="18"/>
                <w:color w:val="auto"/>
              </w:rPr>
              <w:t>33,649,454</w:t>
            </w:r>
          </w:p>
        </w:tc>
        <w:tc>
          <w:tcPr>
            <w:tcW w:w="120" w:type="dxa"/>
            <w:vAlign w:val="bottom"/>
          </w:tcPr>
          <w:p>
            <w:pPr>
              <w:spacing w:after="0"/>
              <w:rPr>
                <w:sz w:val="21"/>
                <w:szCs w:val="21"/>
                <w:color w:val="auto"/>
              </w:rPr>
            </w:pPr>
          </w:p>
        </w:tc>
        <w:tc>
          <w:tcPr>
            <w:tcW w:w="274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50,649,678</w:t>
            </w:r>
          </w:p>
        </w:tc>
        <w:tc>
          <w:tcPr>
            <w:tcW w:w="120" w:type="dxa"/>
            <w:vAlign w:val="bottom"/>
          </w:tcPr>
          <w:p>
            <w:pPr>
              <w:spacing w:after="0"/>
              <w:rPr>
                <w:sz w:val="21"/>
                <w:szCs w:val="21"/>
                <w:color w:val="auto"/>
              </w:rPr>
            </w:pPr>
          </w:p>
        </w:tc>
        <w:tc>
          <w:tcPr>
            <w:tcW w:w="2720" w:type="dxa"/>
            <w:vAlign w:val="bottom"/>
            <w:tcBorders>
              <w:top w:val="single" w:sz="8" w:color="auto"/>
            </w:tcBorders>
          </w:tcPr>
          <w:p>
            <w:pPr>
              <w:ind w:left="1120"/>
              <w:spacing w:after="0"/>
              <w:rPr>
                <w:sz w:val="20"/>
                <w:szCs w:val="20"/>
                <w:color w:val="auto"/>
              </w:rPr>
            </w:pPr>
            <w:r>
              <w:rPr>
                <w:rFonts w:ascii="Arial" w:cs="Arial" w:eastAsia="Arial" w:hAnsi="Arial"/>
                <w:sz w:val="18"/>
                <w:szCs w:val="18"/>
                <w:color w:val="auto"/>
              </w:rPr>
              <w:t>93,051</w:t>
            </w:r>
          </w:p>
        </w:tc>
        <w:tc>
          <w:tcPr>
            <w:tcW w:w="120" w:type="dxa"/>
            <w:vAlign w:val="bottom"/>
          </w:tcPr>
          <w:p>
            <w:pPr>
              <w:spacing w:after="0"/>
              <w:rPr>
                <w:sz w:val="21"/>
                <w:szCs w:val="21"/>
                <w:color w:val="auto"/>
              </w:rPr>
            </w:pPr>
          </w:p>
        </w:tc>
        <w:tc>
          <w:tcPr>
            <w:tcW w:w="2720" w:type="dxa"/>
            <w:vAlign w:val="bottom"/>
            <w:tcBorders>
              <w:top w:val="single" w:sz="8" w:color="auto"/>
            </w:tcBorders>
          </w:tcPr>
          <w:p>
            <w:pPr>
              <w:jc w:val="right"/>
              <w:ind w:right="919"/>
              <w:spacing w:after="0"/>
              <w:rPr>
                <w:sz w:val="20"/>
                <w:szCs w:val="20"/>
                <w:color w:val="auto"/>
              </w:rPr>
            </w:pPr>
            <w:r>
              <w:rPr>
                <w:rFonts w:ascii="Arial" w:cs="Arial" w:eastAsia="Arial" w:hAnsi="Arial"/>
                <w:sz w:val="18"/>
                <w:szCs w:val="18"/>
                <w:color w:val="auto"/>
              </w:rPr>
              <w:t>6,384,144</w:t>
            </w: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Proposal 6: Stockholder Proposal Regarding A Political Contributions Report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 request that the Company provide a political contributions report, updated semiannually, setting forth specified information:</w:t>
      </w:r>
    </w:p>
    <w:p>
      <w:pPr>
        <w:sectPr>
          <w:pgSz w:w="11900" w:h="16838" w:orient="portrait"/>
          <w:cols w:equalWidth="0" w:num="1">
            <w:col w:w="11420"/>
          </w:cols>
          <w:pgMar w:left="240" w:top="58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2"/>
        </w:trPr>
        <w:tc>
          <w:tcPr>
            <w:tcW w:w="3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Votes For</w:t>
            </w:r>
          </w:p>
        </w:tc>
        <w:tc>
          <w:tcPr>
            <w:tcW w:w="2860" w:type="dxa"/>
            <w:vAlign w:val="bottom"/>
            <w:gridSpan w:val="2"/>
          </w:tcPr>
          <w:p>
            <w:pPr>
              <w:ind w:left="940"/>
              <w:spacing w:after="0"/>
              <w:rPr>
                <w:sz w:val="20"/>
                <w:szCs w:val="20"/>
                <w:color w:val="auto"/>
              </w:rPr>
            </w:pPr>
            <w:r>
              <w:rPr>
                <w:rFonts w:ascii="Arial" w:cs="Arial" w:eastAsia="Arial" w:hAnsi="Arial"/>
                <w:sz w:val="14"/>
                <w:szCs w:val="14"/>
                <w:b w:val="1"/>
                <w:bCs w:val="1"/>
                <w:color w:val="auto"/>
              </w:rPr>
              <w:t>Votes Against</w:t>
            </w:r>
          </w:p>
        </w:tc>
        <w:tc>
          <w:tcPr>
            <w:tcW w:w="2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Abstain</w:t>
            </w: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243"/>
        </w:trPr>
        <w:tc>
          <w:tcPr>
            <w:tcW w:w="2880" w:type="dxa"/>
            <w:vAlign w:val="bottom"/>
            <w:tcBorders>
              <w:top w:val="single" w:sz="8" w:color="auto"/>
            </w:tcBorders>
          </w:tcPr>
          <w:p>
            <w:pPr>
              <w:jc w:val="right"/>
              <w:ind w:right="959"/>
              <w:spacing w:after="0"/>
              <w:rPr>
                <w:sz w:val="20"/>
                <w:szCs w:val="20"/>
                <w:color w:val="auto"/>
              </w:rPr>
            </w:pPr>
            <w:r>
              <w:rPr>
                <w:rFonts w:ascii="Arial" w:cs="Arial" w:eastAsia="Arial" w:hAnsi="Arial"/>
                <w:sz w:val="18"/>
                <w:szCs w:val="18"/>
                <w:color w:val="auto"/>
              </w:rPr>
              <w:t>21,181,849</w:t>
            </w:r>
          </w:p>
        </w:tc>
        <w:tc>
          <w:tcPr>
            <w:tcW w:w="120" w:type="dxa"/>
            <w:vAlign w:val="bottom"/>
          </w:tcPr>
          <w:p>
            <w:pPr>
              <w:spacing w:after="0"/>
              <w:rPr>
                <w:sz w:val="21"/>
                <w:szCs w:val="21"/>
                <w:color w:val="auto"/>
              </w:rPr>
            </w:pPr>
          </w:p>
        </w:tc>
        <w:tc>
          <w:tcPr>
            <w:tcW w:w="274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59,998,897</w:t>
            </w:r>
          </w:p>
        </w:tc>
        <w:tc>
          <w:tcPr>
            <w:tcW w:w="120" w:type="dxa"/>
            <w:vAlign w:val="bottom"/>
          </w:tcPr>
          <w:p>
            <w:pPr>
              <w:spacing w:after="0"/>
              <w:rPr>
                <w:sz w:val="21"/>
                <w:szCs w:val="21"/>
                <w:color w:val="auto"/>
              </w:rPr>
            </w:pPr>
          </w:p>
        </w:tc>
        <w:tc>
          <w:tcPr>
            <w:tcW w:w="2720" w:type="dxa"/>
            <w:vAlign w:val="bottom"/>
            <w:tcBorders>
              <w:top w:val="single" w:sz="8" w:color="auto"/>
            </w:tcBorders>
          </w:tcPr>
          <w:p>
            <w:pPr>
              <w:jc w:val="right"/>
              <w:ind w:right="919"/>
              <w:spacing w:after="0"/>
              <w:rPr>
                <w:sz w:val="20"/>
                <w:szCs w:val="20"/>
                <w:color w:val="auto"/>
              </w:rPr>
            </w:pPr>
            <w:r>
              <w:rPr>
                <w:rFonts w:ascii="Arial" w:cs="Arial" w:eastAsia="Arial" w:hAnsi="Arial"/>
                <w:sz w:val="18"/>
                <w:szCs w:val="18"/>
                <w:color w:val="auto"/>
              </w:rPr>
              <w:t>3,211,437</w:t>
            </w:r>
          </w:p>
        </w:tc>
        <w:tc>
          <w:tcPr>
            <w:tcW w:w="120" w:type="dxa"/>
            <w:vAlign w:val="bottom"/>
          </w:tcPr>
          <w:p>
            <w:pPr>
              <w:spacing w:after="0"/>
              <w:rPr>
                <w:sz w:val="21"/>
                <w:szCs w:val="21"/>
                <w:color w:val="auto"/>
              </w:rPr>
            </w:pPr>
          </w:p>
        </w:tc>
        <w:tc>
          <w:tcPr>
            <w:tcW w:w="2720" w:type="dxa"/>
            <w:vAlign w:val="bottom"/>
            <w:tcBorders>
              <w:top w:val="single" w:sz="8" w:color="auto"/>
            </w:tcBorders>
          </w:tcPr>
          <w:p>
            <w:pPr>
              <w:jc w:val="right"/>
              <w:ind w:right="919"/>
              <w:spacing w:after="0"/>
              <w:rPr>
                <w:sz w:val="20"/>
                <w:szCs w:val="20"/>
                <w:color w:val="auto"/>
              </w:rPr>
            </w:pPr>
            <w:r>
              <w:rPr>
                <w:rFonts w:ascii="Arial" w:cs="Arial" w:eastAsia="Arial" w:hAnsi="Arial"/>
                <w:sz w:val="18"/>
                <w:szCs w:val="18"/>
                <w:color w:val="auto"/>
              </w:rPr>
              <w:t>6,384,144</w:t>
            </w:r>
          </w:p>
        </w:tc>
      </w:tr>
    </w:tbl>
    <w:p>
      <w:pPr>
        <w:sectPr>
          <w:pgSz w:w="11900" w:h="16838" w:orient="portrait"/>
          <w:cols w:equalWidth="0" w:num="1">
            <w:col w:w="11420"/>
          </w:cols>
          <w:pgMar w:left="240" w:top="806" w:right="239" w:bottom="1440" w:gutter="0" w:footer="0" w:header="0"/>
        </w:sectPr>
      </w:pPr>
    </w:p>
    <w:bookmarkStart w:id="4" w:name="page5"/>
    <w:bookmarkEnd w:id="4"/>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460"/>
        <w:spacing w:after="0"/>
        <w:rPr>
          <w:sz w:val="20"/>
          <w:szCs w:val="20"/>
          <w:color w:val="auto"/>
        </w:rPr>
      </w:pPr>
      <w:r>
        <w:rPr>
          <w:rFonts w:ascii="Arial" w:cs="Arial" w:eastAsia="Arial" w:hAnsi="Arial"/>
          <w:sz w:val="18"/>
          <w:szCs w:val="18"/>
          <w:b w:val="1"/>
          <w:bCs w:val="1"/>
          <w:color w:val="auto"/>
        </w:rPr>
        <w:t>WYNN RESORTS, LIMITED</w:t>
      </w:r>
    </w:p>
    <w:p>
      <w:pPr>
        <w:spacing w:after="0" w:line="391" w:lineRule="exact"/>
        <w:rPr>
          <w:sz w:val="20"/>
          <w:szCs w:val="20"/>
          <w:color w:val="auto"/>
        </w:rPr>
      </w:pPr>
    </w:p>
    <w:p>
      <w:pPr>
        <w:ind w:left="40"/>
        <w:spacing w:after="0"/>
        <w:tabs>
          <w:tab w:leader="none" w:pos="6800" w:val="left"/>
          <w:tab w:leader="none" w:pos="7320" w:val="left"/>
        </w:tabs>
        <w:rPr>
          <w:sz w:val="20"/>
          <w:szCs w:val="20"/>
          <w:color w:val="auto"/>
        </w:rPr>
      </w:pPr>
      <w:r>
        <w:rPr>
          <w:rFonts w:ascii="Arial" w:cs="Arial" w:eastAsia="Arial" w:hAnsi="Arial"/>
          <w:sz w:val="18"/>
          <w:szCs w:val="18"/>
          <w:color w:val="auto"/>
        </w:rPr>
        <w:t>Date: May 20,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31750</wp:posOffset>
            </wp:positionV>
            <wp:extent cx="26073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4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Name: Kim Sinatra</w:t>
      </w:r>
    </w:p>
    <w:p>
      <w:pPr>
        <w:spacing w:after="0" w:line="6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Title: Executive Vice President and General Counsel</w:t>
      </w:r>
    </w:p>
    <w:sectPr>
      <w:pgSz w:w="11900" w:h="16838" w:orient="portrait"/>
      <w:cols w:equalWidth="0" w:num="1">
        <w:col w:w="11220"/>
      </w:cols>
      <w:pgMar w:left="240" w:top="79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2019-12-07T03:42:27Z</dcterms:created>
  <dcterms:modified xsi:type="dcterms:W3CDTF">2019-12-07T03:42:27Z</dcterms:modified>
</cp:coreProperties>
</file>